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ascii="Times New Roman" w:hAnsi="Times New Roman" w:cs="Times New Roman"/>
          <w:sz w:val="56"/>
          <w:szCs w:val="56"/>
        </w:rPr>
      </w:pPr>
    </w:p>
    <w:p>
      <w:pPr>
        <w:pStyle w:val="18"/>
        <w:jc w:val="both"/>
        <w:rPr>
          <w:rFonts w:ascii="Times New Roman" w:hAnsi="Times New Roman" w:cs="Times New Roman"/>
          <w:sz w:val="56"/>
          <w:szCs w:val="56"/>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8"/>
        <w:jc w:val="center"/>
        <w:rPr>
          <w:rFonts w:ascii="Times New Roman" w:hAnsi="Times New Roman" w:cs="Times New Roman"/>
        </w:rPr>
      </w:pPr>
      <w:r>
        <w:rPr>
          <w:rFonts w:hint="eastAsia" w:ascii="Times New Roman" w:hAnsi="Times New Roman" w:eastAsia="方正小标宋简体" w:cs="方正小标宋简体"/>
          <w:sz w:val="72"/>
          <w:szCs w:val="72"/>
          <w:lang w:eastAsia="zh-CN"/>
        </w:rPr>
        <w:t>株洲市石峰区优化营商环境协调事务中心</w:t>
      </w:r>
    </w:p>
    <w:p>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8"/>
        <w:jc w:val="both"/>
        <w:rPr>
          <w:rFonts w:ascii="Times New Roman" w:hAnsi="Times New Roman" w:cs="Times New Roman"/>
          <w:sz w:val="32"/>
          <w:szCs w:val="32"/>
        </w:rPr>
      </w:pPr>
    </w:p>
    <w:p>
      <w:pPr>
        <w:pStyle w:val="18"/>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b w:val="0"/>
          <w:bCs w:val="0"/>
          <w:sz w:val="32"/>
          <w:szCs w:val="32"/>
          <w:lang w:eastAsia="zh-CN"/>
        </w:rPr>
        <w:t>株洲市石峰区优化营商环境协调事务中</w:t>
      </w:r>
      <w:r>
        <w:rPr>
          <w:rFonts w:ascii="Times New Roman" w:hAnsi="Times New Roman" w:cs="Times New Roman"/>
          <w:b w:val="0"/>
          <w:bCs w:val="0"/>
          <w:sz w:val="32"/>
          <w:szCs w:val="32"/>
        </w:rPr>
        <w:t>单位概况</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8"/>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w w:val="90"/>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8"/>
        <w:jc w:val="center"/>
        <w:rPr>
          <w:rFonts w:ascii="Times New Roman" w:hAnsi="Times New Roman" w:eastAsia="方正小标宋简体" w:cs="Times New Roman"/>
          <w:sz w:val="76"/>
          <w:szCs w:val="76"/>
        </w:rPr>
      </w:pPr>
    </w:p>
    <w:p>
      <w:pPr>
        <w:pStyle w:val="18"/>
        <w:jc w:val="center"/>
        <w:rPr>
          <w:rFonts w:hint="eastAsia" w:ascii="Times New Roman" w:hAnsi="Times New Roman" w:eastAsia="方正小标宋简体" w:cs="方正小标宋简体"/>
          <w:sz w:val="76"/>
          <w:szCs w:val="76"/>
          <w:lang w:eastAsia="zh-CN"/>
        </w:rPr>
      </w:pPr>
      <w:r>
        <w:rPr>
          <w:rFonts w:hint="eastAsia" w:ascii="Times New Roman" w:hAnsi="Times New Roman" w:eastAsia="方正小标宋简体" w:cs="方正小标宋简体"/>
          <w:sz w:val="76"/>
          <w:szCs w:val="76"/>
          <w:lang w:eastAsia="zh-CN"/>
        </w:rPr>
        <w:t>株洲市石峰区优化营商环境协调事务中心</w:t>
      </w: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9"/>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spacing w:line="59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（一）负责统筹协调推进我区优化营商环境工作。负责协调推进全区“放管服”改革中涉及企业、产业项目等方面的优化营商环境事务性工作。</w:t>
      </w:r>
    </w:p>
    <w:p>
      <w:pPr>
        <w:spacing w:line="59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（二）负责统筹全区优化营商环境相关政策措施出台及宣传落实的事务性工作，承担对区优化营商环境建设政策法规落实情况督导考核的事务性工作。</w:t>
      </w:r>
    </w:p>
    <w:p>
      <w:pPr>
        <w:spacing w:line="59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负责组织对全区营商环境日常监测的事务性工作；负责对政务诚信工作的日常监测，负责对“双随机、一公开”跨部门随机联查工作的日常监测。负责受理、转办、跟踪涉及营商环境的投诉举报；协同配合相关部门对全区优化营商环境工作中的违纪违规行为进行调查、处理。</w:t>
      </w:r>
    </w:p>
    <w:p>
      <w:pPr>
        <w:spacing w:line="596"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（四）负责全区企业、产业项目服务管理平台的搭建和运营，承担产业项目代办帮办等政策落实的事务性工作。</w:t>
      </w:r>
    </w:p>
    <w:p>
      <w:pPr>
        <w:spacing w:line="596"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（五）负责辖区内企业政务服务工作，对接承办市民中心涉及企业、产业项目方面相关职能的事务性工作。</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 w:hAnsi="仿宋" w:eastAsia="仿宋" w:cs="仿宋"/>
          <w:kern w:val="0"/>
          <w:sz w:val="32"/>
          <w:szCs w:val="32"/>
        </w:rPr>
        <w:t>（六）承办区委、区政府和上级部门交办的其他工作。</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（一）内设机构设置。</w:t>
      </w:r>
      <w:r>
        <w:rPr>
          <w:rFonts w:hint="eastAsia" w:ascii="仿宋" w:hAnsi="仿宋" w:eastAsia="仿宋" w:cs="仿宋"/>
          <w:bCs/>
          <w:kern w:val="0"/>
          <w:sz w:val="32"/>
          <w:szCs w:val="32"/>
          <w:lang w:val="en-US" w:eastAsia="zh-CN"/>
        </w:rPr>
        <w:t>株洲市石峰区优化营商环境协调事务中心</w:t>
      </w:r>
      <w:r>
        <w:rPr>
          <w:rFonts w:hint="eastAsia" w:ascii="仿宋" w:hAnsi="仿宋" w:eastAsia="仿宋" w:cs="仿宋"/>
          <w:bCs/>
          <w:kern w:val="0"/>
          <w:sz w:val="32"/>
          <w:szCs w:val="32"/>
        </w:rPr>
        <w:t>内设机构包括：</w:t>
      </w:r>
      <w:r>
        <w:rPr>
          <w:rFonts w:hint="eastAsia" w:ascii="仿宋" w:hAnsi="仿宋" w:eastAsia="仿宋" w:cs="仿宋"/>
          <w:sz w:val="32"/>
          <w:szCs w:val="32"/>
          <w:lang w:val="en-US" w:eastAsia="zh-CN"/>
        </w:rPr>
        <w:t>综合</w:t>
      </w:r>
      <w:r>
        <w:rPr>
          <w:rFonts w:hint="eastAsia" w:ascii="仿宋" w:hAnsi="仿宋" w:eastAsia="仿宋" w:cs="仿宋"/>
          <w:sz w:val="32"/>
          <w:szCs w:val="32"/>
        </w:rPr>
        <w:t>办公室、企业服务</w:t>
      </w:r>
      <w:r>
        <w:rPr>
          <w:rFonts w:hint="eastAsia" w:ascii="仿宋" w:hAnsi="仿宋" w:eastAsia="仿宋" w:cs="仿宋"/>
          <w:sz w:val="32"/>
          <w:szCs w:val="32"/>
          <w:lang w:val="en-US" w:eastAsia="zh-CN"/>
        </w:rPr>
        <w:t>室</w:t>
      </w:r>
      <w:r>
        <w:rPr>
          <w:rFonts w:hint="eastAsia" w:ascii="仿宋" w:hAnsi="仿宋" w:eastAsia="仿宋" w:cs="仿宋"/>
          <w:sz w:val="32"/>
          <w:szCs w:val="32"/>
        </w:rPr>
        <w:t>、</w:t>
      </w:r>
      <w:r>
        <w:rPr>
          <w:rFonts w:hint="eastAsia" w:ascii="仿宋" w:hAnsi="仿宋" w:eastAsia="仿宋" w:cs="仿宋"/>
          <w:sz w:val="32"/>
          <w:szCs w:val="32"/>
          <w:lang w:val="en-US" w:eastAsia="zh-CN"/>
        </w:rPr>
        <w:t>投诉</w:t>
      </w:r>
      <w:r>
        <w:rPr>
          <w:rFonts w:hint="eastAsia" w:ascii="仿宋" w:hAnsi="仿宋" w:eastAsia="仿宋" w:cs="仿宋"/>
          <w:sz w:val="32"/>
          <w:szCs w:val="32"/>
        </w:rPr>
        <w:t>协调</w:t>
      </w:r>
      <w:r>
        <w:rPr>
          <w:rFonts w:hint="eastAsia" w:ascii="仿宋" w:hAnsi="仿宋" w:eastAsia="仿宋" w:cs="仿宋"/>
          <w:sz w:val="32"/>
          <w:szCs w:val="32"/>
          <w:lang w:val="en-US" w:eastAsia="zh-CN"/>
        </w:rPr>
        <w:t>室</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rPr>
        <w:t>（二）决算单位构成。</w:t>
      </w:r>
      <w:r>
        <w:rPr>
          <w:rFonts w:hint="eastAsia" w:ascii="仿宋" w:hAnsi="仿宋" w:eastAsia="仿宋" w:cs="仿宋"/>
          <w:bCs/>
          <w:kern w:val="0"/>
          <w:sz w:val="32"/>
          <w:szCs w:val="32"/>
          <w:lang w:val="en-US" w:eastAsia="zh-CN"/>
        </w:rPr>
        <w:t>株洲市石峰区优化营商环境协调事务中心</w:t>
      </w:r>
      <w:r>
        <w:rPr>
          <w:rFonts w:hint="eastAsia" w:ascii="仿宋" w:hAnsi="仿宋" w:eastAsia="仿宋" w:cs="仿宋"/>
          <w:bCs/>
          <w:kern w:val="0"/>
          <w:sz w:val="32"/>
          <w:szCs w:val="32"/>
        </w:rPr>
        <w:t>202</w:t>
      </w: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年部门决算汇总公开单位构成包括：</w:t>
      </w:r>
      <w:r>
        <w:rPr>
          <w:rFonts w:hint="eastAsia" w:ascii="仿宋" w:hAnsi="仿宋" w:eastAsia="仿宋" w:cs="仿宋"/>
          <w:bCs/>
          <w:kern w:val="0"/>
          <w:sz w:val="32"/>
          <w:szCs w:val="32"/>
          <w:lang w:val="en-US" w:eastAsia="zh-CN"/>
        </w:rPr>
        <w:t>株洲市石峰区优化营商环境协调事务中心</w:t>
      </w:r>
      <w:r>
        <w:rPr>
          <w:rFonts w:hint="eastAsia" w:ascii="仿宋" w:hAnsi="仿宋" w:eastAsia="仿宋" w:cs="仿宋"/>
          <w:bCs/>
          <w:kern w:val="0"/>
          <w:sz w:val="32"/>
          <w:szCs w:val="32"/>
        </w:rPr>
        <w:t>本级</w:t>
      </w:r>
      <w:r>
        <w:rPr>
          <w:rFonts w:hint="eastAsia" w:ascii="仿宋" w:hAnsi="仿宋" w:eastAsia="仿宋" w:cs="仿宋"/>
          <w:kern w:val="0"/>
          <w:sz w:val="24"/>
          <w:szCs w:val="24"/>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8"/>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一、收入支出决算总体情况说明</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133.85</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16.68</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13</w:t>
      </w:r>
      <w:r>
        <w:rPr>
          <w:rFonts w:hint="eastAsia" w:ascii="仿宋" w:hAnsi="仿宋" w:eastAsia="仿宋" w:cs="仿宋"/>
          <w:sz w:val="32"/>
          <w:szCs w:val="32"/>
        </w:rPr>
        <w:t>%，主要</w:t>
      </w:r>
      <w:r>
        <w:rPr>
          <w:rFonts w:hint="eastAsia" w:ascii="仿宋" w:hAnsi="仿宋" w:eastAsia="仿宋" w:cs="仿宋"/>
          <w:sz w:val="32"/>
          <w:szCs w:val="32"/>
          <w:lang w:eastAsia="zh-CN"/>
        </w:rPr>
        <w:t>原因</w:t>
      </w:r>
      <w:r>
        <w:rPr>
          <w:rFonts w:hint="eastAsia" w:ascii="仿宋" w:hAnsi="仿宋" w:eastAsia="仿宋" w:cs="仿宋"/>
          <w:sz w:val="32"/>
          <w:szCs w:val="32"/>
        </w:rPr>
        <w:t>是</w:t>
      </w:r>
      <w:r>
        <w:rPr>
          <w:rFonts w:hint="eastAsia" w:ascii="仿宋" w:hAnsi="仿宋" w:eastAsia="仿宋" w:cs="仿宋"/>
          <w:sz w:val="32"/>
          <w:szCs w:val="32"/>
          <w:lang w:eastAsia="zh-CN"/>
        </w:rPr>
        <w:t>项目经费增加。</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pPr>
        <w:pStyle w:val="18"/>
        <w:ind w:firstLine="640" w:firstLineChars="200"/>
        <w:rPr>
          <w:rFonts w:hint="eastAsia" w:ascii="Times New Roman" w:hAnsi="Times New Roman"/>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133.85</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133.85</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pPr>
        <w:pStyle w:val="18"/>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133.85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121.48</w:t>
      </w:r>
      <w:r>
        <w:rPr>
          <w:rFonts w:hint="eastAsia" w:ascii="仿宋" w:hAnsi="仿宋" w:eastAsia="仿宋" w:cs="仿宋"/>
          <w:sz w:val="32"/>
          <w:szCs w:val="32"/>
        </w:rPr>
        <w:t>万元，占</w:t>
      </w:r>
      <w:r>
        <w:rPr>
          <w:rFonts w:hint="eastAsia" w:ascii="仿宋" w:hAnsi="仿宋" w:eastAsia="仿宋" w:cs="仿宋"/>
          <w:sz w:val="32"/>
          <w:szCs w:val="32"/>
          <w:lang w:val="en-US" w:eastAsia="zh-CN"/>
        </w:rPr>
        <w:t>91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12.38</w:t>
      </w:r>
      <w:r>
        <w:rPr>
          <w:rFonts w:hint="eastAsia" w:ascii="仿宋" w:hAnsi="仿宋" w:eastAsia="仿宋" w:cs="仿宋"/>
          <w:sz w:val="32"/>
          <w:szCs w:val="32"/>
        </w:rPr>
        <w:t>万元，占</w:t>
      </w:r>
      <w:r>
        <w:rPr>
          <w:rFonts w:hint="eastAsia" w:ascii="仿宋" w:hAnsi="仿宋" w:eastAsia="仿宋" w:cs="仿宋"/>
          <w:sz w:val="32"/>
          <w:szCs w:val="32"/>
          <w:lang w:val="en-US" w:eastAsia="zh-CN"/>
        </w:rPr>
        <w:t>9</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18"/>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133.85</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28.05</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27</w:t>
      </w:r>
      <w:r>
        <w:rPr>
          <w:rFonts w:hint="eastAsia" w:ascii="仿宋" w:hAnsi="仿宋" w:eastAsia="仿宋" w:cs="仿宋"/>
          <w:sz w:val="32"/>
          <w:szCs w:val="32"/>
        </w:rPr>
        <w:t>%，主要</w:t>
      </w:r>
      <w:r>
        <w:rPr>
          <w:rFonts w:hint="eastAsia" w:ascii="仿宋" w:hAnsi="仿宋" w:eastAsia="仿宋" w:cs="仿宋"/>
          <w:sz w:val="32"/>
          <w:szCs w:val="32"/>
          <w:lang w:eastAsia="zh-CN"/>
        </w:rPr>
        <w:t>原因</w:t>
      </w:r>
      <w:r>
        <w:rPr>
          <w:rFonts w:hint="eastAsia" w:ascii="仿宋" w:hAnsi="仿宋" w:eastAsia="仿宋" w:cs="仿宋"/>
          <w:sz w:val="32"/>
          <w:szCs w:val="32"/>
        </w:rPr>
        <w:t>是是</w:t>
      </w:r>
      <w:r>
        <w:rPr>
          <w:rFonts w:hint="eastAsia" w:ascii="仿宋" w:hAnsi="仿宋" w:eastAsia="仿宋" w:cs="仿宋"/>
          <w:sz w:val="32"/>
          <w:szCs w:val="32"/>
          <w:lang w:eastAsia="zh-CN"/>
        </w:rPr>
        <w:t>项目经费增加。</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9"/>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pPr>
        <w:pStyle w:val="18"/>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133.85</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28.05</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27</w:t>
      </w:r>
      <w:r>
        <w:rPr>
          <w:rFonts w:hint="eastAsia" w:ascii="仿宋" w:hAnsi="仿宋" w:eastAsia="仿宋" w:cs="仿宋"/>
          <w:sz w:val="32"/>
          <w:szCs w:val="32"/>
        </w:rPr>
        <w:t>%，</w:t>
      </w:r>
      <w:r>
        <w:rPr>
          <w:rFonts w:hint="eastAsia" w:ascii="仿宋" w:hAnsi="仿宋" w:eastAsia="仿宋" w:cs="仿宋"/>
          <w:sz w:val="32"/>
          <w:szCs w:val="32"/>
          <w:lang w:eastAsia="zh-CN"/>
        </w:rPr>
        <w:t>主要原因是项目经费增加。</w:t>
      </w:r>
    </w:p>
    <w:p>
      <w:pPr>
        <w:pStyle w:val="9"/>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pPr>
        <w:pStyle w:val="18"/>
        <w:ind w:firstLine="640" w:firstLineChars="200"/>
        <w:rPr>
          <w:rFonts w:hint="eastAsia" w:ascii="Times New Roman" w:hAnsi="Times New Roman" w:eastAsia="楷体_GB2312" w:cs="楷体_GB2312"/>
          <w:b/>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133.85</w:t>
      </w:r>
      <w:r>
        <w:rPr>
          <w:rFonts w:hint="eastAsia" w:ascii="仿宋" w:hAnsi="仿宋" w:eastAsia="仿宋" w:cs="仿宋"/>
          <w:sz w:val="32"/>
          <w:szCs w:val="32"/>
        </w:rPr>
        <w:t>万元，主要用于以下方面：一般公共服务（类）支出</w:t>
      </w:r>
      <w:r>
        <w:rPr>
          <w:rFonts w:hint="eastAsia" w:ascii="仿宋" w:hAnsi="仿宋" w:eastAsia="仿宋" w:cs="仿宋"/>
          <w:sz w:val="32"/>
          <w:szCs w:val="32"/>
          <w:lang w:val="en-US" w:eastAsia="zh-CN"/>
        </w:rPr>
        <w:t>132.14</w:t>
      </w:r>
      <w:r>
        <w:rPr>
          <w:rFonts w:hint="eastAsia" w:ascii="仿宋" w:hAnsi="仿宋" w:eastAsia="仿宋" w:cs="仿宋"/>
          <w:sz w:val="32"/>
          <w:szCs w:val="32"/>
        </w:rPr>
        <w:t>万元，占</w:t>
      </w:r>
      <w:r>
        <w:rPr>
          <w:rFonts w:hint="eastAsia" w:ascii="仿宋" w:hAnsi="仿宋" w:eastAsia="仿宋" w:cs="仿宋"/>
          <w:sz w:val="32"/>
          <w:szCs w:val="32"/>
          <w:lang w:val="en-US" w:eastAsia="zh-CN"/>
        </w:rPr>
        <w:t>99</w:t>
      </w:r>
      <w:r>
        <w:rPr>
          <w:rFonts w:hint="eastAsia" w:ascii="仿宋" w:hAnsi="仿宋" w:eastAsia="仿宋" w:cs="仿宋"/>
          <w:sz w:val="32"/>
          <w:szCs w:val="32"/>
        </w:rPr>
        <w:t>%；</w:t>
      </w:r>
      <w:r>
        <w:rPr>
          <w:rFonts w:hint="eastAsia" w:ascii="仿宋" w:hAnsi="仿宋" w:eastAsia="仿宋" w:cs="仿宋"/>
          <w:sz w:val="32"/>
          <w:szCs w:val="32"/>
          <w:lang w:eastAsia="zh-CN"/>
        </w:rPr>
        <w:t>科学技术（类）</w:t>
      </w:r>
      <w:r>
        <w:rPr>
          <w:rFonts w:hint="eastAsia" w:ascii="仿宋" w:hAnsi="仿宋" w:eastAsia="仿宋" w:cs="仿宋"/>
          <w:sz w:val="32"/>
          <w:szCs w:val="32"/>
          <w:lang w:val="en-US" w:eastAsia="zh-CN"/>
        </w:rPr>
        <w:t>1.71万元，占1％</w:t>
      </w:r>
      <w:r>
        <w:rPr>
          <w:rFonts w:hint="eastAsia" w:ascii="仿宋" w:hAnsi="仿宋" w:eastAsia="仿宋" w:cs="仿宋"/>
          <w:sz w:val="32"/>
          <w:szCs w:val="32"/>
        </w:rPr>
        <w:t>。</w:t>
      </w:r>
    </w:p>
    <w:p>
      <w:pPr>
        <w:pStyle w:val="9"/>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115.62</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133.85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%，其中：</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1、一般公共服务支出（类）</w:t>
      </w:r>
      <w:r>
        <w:rPr>
          <w:rFonts w:hint="eastAsia" w:ascii="仿宋" w:hAnsi="仿宋" w:eastAsia="仿宋" w:cs="仿宋"/>
          <w:sz w:val="32"/>
          <w:szCs w:val="32"/>
          <w:lang w:eastAsia="zh-CN"/>
        </w:rPr>
        <w:t>政府办公厅及相关机构事务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行政运行</w:t>
      </w:r>
      <w:r>
        <w:rPr>
          <w:rFonts w:hint="eastAsia" w:ascii="仿宋" w:hAnsi="仿宋" w:eastAsia="仿宋" w:cs="仿宋"/>
          <w:sz w:val="32"/>
          <w:szCs w:val="32"/>
        </w:rPr>
        <w:t>（项）。</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111.62</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121.48</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决算数大于年初预算数的主要原因是：人员工资的调整</w:t>
      </w:r>
      <w:r>
        <w:rPr>
          <w:rFonts w:hint="eastAsia" w:ascii="仿宋" w:hAnsi="仿宋" w:eastAsia="仿宋" w:cs="仿宋"/>
          <w:sz w:val="32"/>
          <w:szCs w:val="32"/>
        </w:rPr>
        <w:t>。</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政府办公厅及相关机构事务</w:t>
      </w:r>
      <w:r>
        <w:rPr>
          <w:rFonts w:hint="eastAsia" w:ascii="仿宋" w:hAnsi="仿宋" w:eastAsia="仿宋" w:cs="仿宋"/>
          <w:sz w:val="32"/>
          <w:szCs w:val="32"/>
        </w:rPr>
        <w:t>（款）</w:t>
      </w:r>
      <w:r>
        <w:rPr>
          <w:rFonts w:hint="eastAsia" w:ascii="仿宋" w:hAnsi="仿宋" w:eastAsia="仿宋" w:cs="仿宋"/>
          <w:sz w:val="32"/>
          <w:szCs w:val="32"/>
          <w:lang w:eastAsia="zh-CN"/>
        </w:rPr>
        <w:t>一般行政管理事务</w:t>
      </w:r>
      <w:r>
        <w:rPr>
          <w:rFonts w:hint="eastAsia" w:ascii="仿宋" w:hAnsi="仿宋" w:eastAsia="仿宋" w:cs="仿宋"/>
          <w:sz w:val="32"/>
          <w:szCs w:val="32"/>
        </w:rPr>
        <w:t>（项）。</w:t>
      </w:r>
    </w:p>
    <w:p>
      <w:pPr>
        <w:pStyle w:val="18"/>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4</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决算数与年初预算数持平</w:t>
      </w:r>
      <w:r>
        <w:rPr>
          <w:rFonts w:hint="eastAsia" w:ascii="仿宋" w:hAnsi="仿宋" w:eastAsia="仿宋" w:cs="仿宋"/>
          <w:sz w:val="32"/>
          <w:szCs w:val="32"/>
        </w:rPr>
        <w:t>。</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、一般公共服务支出（类）</w:t>
      </w:r>
      <w:r>
        <w:rPr>
          <w:rFonts w:hint="eastAsia" w:ascii="仿宋" w:hAnsi="仿宋" w:eastAsia="仿宋" w:cs="仿宋"/>
          <w:sz w:val="32"/>
          <w:szCs w:val="32"/>
          <w:lang w:eastAsia="zh-CN"/>
        </w:rPr>
        <w:t>发展与改革事务</w:t>
      </w:r>
      <w:r>
        <w:rPr>
          <w:rFonts w:hint="eastAsia" w:ascii="仿宋" w:hAnsi="仿宋" w:eastAsia="仿宋" w:cs="仿宋"/>
          <w:sz w:val="32"/>
          <w:szCs w:val="32"/>
        </w:rPr>
        <w:t>（款）</w:t>
      </w:r>
      <w:r>
        <w:rPr>
          <w:rFonts w:hint="eastAsia" w:ascii="仿宋" w:hAnsi="仿宋" w:eastAsia="仿宋" w:cs="仿宋"/>
          <w:sz w:val="32"/>
          <w:szCs w:val="32"/>
          <w:lang w:eastAsia="zh-CN"/>
        </w:rPr>
        <w:t>其他发展与改革事务支出</w:t>
      </w:r>
      <w:r>
        <w:rPr>
          <w:rFonts w:hint="eastAsia" w:ascii="仿宋" w:hAnsi="仿宋" w:eastAsia="仿宋" w:cs="仿宋"/>
          <w:sz w:val="32"/>
          <w:szCs w:val="32"/>
        </w:rPr>
        <w:t>（项）。</w:t>
      </w:r>
    </w:p>
    <w:p>
      <w:pPr>
        <w:pStyle w:val="18"/>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0.55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上年度的专项资金支出</w:t>
      </w:r>
      <w:r>
        <w:rPr>
          <w:rFonts w:hint="eastAsia" w:ascii="仿宋" w:hAnsi="仿宋" w:eastAsia="仿宋" w:cs="仿宋"/>
          <w:sz w:val="32"/>
          <w:szCs w:val="32"/>
        </w:rPr>
        <w:t>。</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一般公共服务支出</w:t>
      </w:r>
      <w:r>
        <w:rPr>
          <w:rFonts w:hint="eastAsia" w:ascii="仿宋" w:hAnsi="仿宋" w:eastAsia="仿宋" w:cs="仿宋"/>
          <w:sz w:val="32"/>
          <w:szCs w:val="32"/>
        </w:rPr>
        <w:t>（类）</w:t>
      </w:r>
      <w:r>
        <w:rPr>
          <w:rFonts w:hint="eastAsia" w:ascii="仿宋" w:hAnsi="仿宋" w:eastAsia="仿宋" w:cs="仿宋"/>
          <w:sz w:val="32"/>
          <w:szCs w:val="32"/>
          <w:lang w:eastAsia="zh-CN"/>
        </w:rPr>
        <w:t>其他一般公共服务支出</w:t>
      </w:r>
      <w:r>
        <w:rPr>
          <w:rFonts w:hint="eastAsia" w:ascii="仿宋" w:hAnsi="仿宋" w:eastAsia="仿宋" w:cs="仿宋"/>
          <w:sz w:val="32"/>
          <w:szCs w:val="32"/>
        </w:rPr>
        <w:t>（款）</w:t>
      </w:r>
      <w:r>
        <w:rPr>
          <w:rFonts w:hint="eastAsia" w:ascii="仿宋" w:hAnsi="仿宋" w:eastAsia="仿宋" w:cs="仿宋"/>
          <w:sz w:val="32"/>
          <w:szCs w:val="32"/>
          <w:lang w:eastAsia="zh-CN"/>
        </w:rPr>
        <w:t>其他一般公共服务支出</w:t>
      </w:r>
      <w:r>
        <w:rPr>
          <w:rFonts w:hint="eastAsia" w:ascii="仿宋" w:hAnsi="仿宋" w:eastAsia="仿宋" w:cs="仿宋"/>
          <w:sz w:val="32"/>
          <w:szCs w:val="32"/>
        </w:rPr>
        <w:t>（项）。</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6.11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上级追加的专项资金支出</w:t>
      </w:r>
      <w:r>
        <w:rPr>
          <w:rFonts w:hint="eastAsia" w:ascii="仿宋" w:hAnsi="仿宋" w:eastAsia="仿宋" w:cs="仿宋"/>
          <w:sz w:val="32"/>
          <w:szCs w:val="32"/>
        </w:rPr>
        <w:t>。</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科学技术支出（</w:t>
      </w:r>
      <w:r>
        <w:rPr>
          <w:rFonts w:hint="eastAsia" w:ascii="仿宋" w:hAnsi="仿宋" w:eastAsia="仿宋" w:cs="仿宋"/>
          <w:sz w:val="32"/>
          <w:szCs w:val="32"/>
        </w:rPr>
        <w:t>类）</w:t>
      </w:r>
      <w:r>
        <w:rPr>
          <w:rFonts w:hint="eastAsia" w:ascii="仿宋" w:hAnsi="仿宋" w:eastAsia="仿宋" w:cs="仿宋"/>
          <w:sz w:val="32"/>
          <w:szCs w:val="32"/>
          <w:lang w:eastAsia="zh-CN"/>
        </w:rPr>
        <w:t>科学技术管理事务</w:t>
      </w:r>
      <w:r>
        <w:rPr>
          <w:rFonts w:hint="eastAsia" w:ascii="仿宋" w:hAnsi="仿宋" w:eastAsia="仿宋" w:cs="仿宋"/>
          <w:sz w:val="32"/>
          <w:szCs w:val="32"/>
        </w:rPr>
        <w:t>（款）</w:t>
      </w:r>
      <w:r>
        <w:rPr>
          <w:rFonts w:hint="eastAsia" w:ascii="仿宋" w:hAnsi="仿宋" w:eastAsia="仿宋" w:cs="仿宋"/>
          <w:sz w:val="32"/>
          <w:szCs w:val="32"/>
          <w:lang w:eastAsia="zh-CN"/>
        </w:rPr>
        <w:t>其他科学技术管理事务支出</w:t>
      </w:r>
      <w:r>
        <w:rPr>
          <w:rFonts w:hint="eastAsia" w:ascii="仿宋" w:hAnsi="仿宋" w:eastAsia="仿宋" w:cs="仿宋"/>
          <w:sz w:val="32"/>
          <w:szCs w:val="32"/>
        </w:rPr>
        <w:t>（项）。</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0.21</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上年度的专项资金支出</w:t>
      </w:r>
      <w:r>
        <w:rPr>
          <w:rFonts w:hint="eastAsia" w:ascii="仿宋" w:hAnsi="仿宋" w:eastAsia="仿宋" w:cs="仿宋"/>
          <w:sz w:val="32"/>
          <w:szCs w:val="32"/>
        </w:rPr>
        <w:t>。</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eastAsia="zh-CN"/>
        </w:rPr>
        <w:t>科学技术支出（</w:t>
      </w:r>
      <w:r>
        <w:rPr>
          <w:rFonts w:hint="eastAsia" w:ascii="仿宋" w:hAnsi="仿宋" w:eastAsia="仿宋" w:cs="仿宋"/>
          <w:sz w:val="32"/>
          <w:szCs w:val="32"/>
        </w:rPr>
        <w:t>类）</w:t>
      </w:r>
      <w:r>
        <w:rPr>
          <w:rFonts w:hint="eastAsia" w:ascii="仿宋" w:hAnsi="仿宋" w:eastAsia="仿宋" w:cs="仿宋"/>
          <w:sz w:val="32"/>
          <w:szCs w:val="32"/>
          <w:lang w:eastAsia="zh-CN"/>
        </w:rPr>
        <w:t>其他科学技术支出</w:t>
      </w:r>
      <w:r>
        <w:rPr>
          <w:rFonts w:hint="eastAsia" w:ascii="仿宋" w:hAnsi="仿宋" w:eastAsia="仿宋" w:cs="仿宋"/>
          <w:sz w:val="32"/>
          <w:szCs w:val="32"/>
        </w:rPr>
        <w:t>（款）</w:t>
      </w:r>
      <w:r>
        <w:rPr>
          <w:rFonts w:hint="eastAsia" w:ascii="仿宋" w:hAnsi="仿宋" w:eastAsia="仿宋" w:cs="仿宋"/>
          <w:sz w:val="32"/>
          <w:szCs w:val="32"/>
          <w:lang w:eastAsia="zh-CN"/>
        </w:rPr>
        <w:t>其他科学技术支出</w:t>
      </w:r>
      <w:r>
        <w:rPr>
          <w:rFonts w:hint="eastAsia" w:ascii="仿宋" w:hAnsi="仿宋" w:eastAsia="仿宋" w:cs="仿宋"/>
          <w:sz w:val="32"/>
          <w:szCs w:val="32"/>
        </w:rPr>
        <w:t>（项）。</w:t>
      </w:r>
    </w:p>
    <w:p>
      <w:pPr>
        <w:pStyle w:val="18"/>
        <w:ind w:firstLine="800" w:firstLineChars="250"/>
        <w:rPr>
          <w:rFonts w:hint="eastAsia"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上年度的的专项资金支出</w:t>
      </w:r>
      <w:r>
        <w:rPr>
          <w:rFonts w:hint="eastAsia" w:ascii="仿宋" w:hAnsi="仿宋" w:eastAsia="仿宋" w:cs="仿宋"/>
          <w:sz w:val="32"/>
          <w:szCs w:val="32"/>
        </w:rPr>
        <w:t>。</w:t>
      </w:r>
    </w:p>
    <w:p>
      <w:pPr>
        <w:pStyle w:val="9"/>
        <w:autoSpaceDE w:val="0"/>
        <w:autoSpaceDN w:val="0"/>
        <w:adjustRightInd w:val="0"/>
        <w:spacing w:line="570" w:lineRule="exact"/>
        <w:ind w:firstLine="640" w:firstLineChars="200"/>
        <w:rPr>
          <w:rFonts w:hint="eastAsia" w:ascii="Times New Roman" w:hAnsi="Times New Roman" w:eastAsia="黑体" w:cs="黑体"/>
          <w:color w:val="000000"/>
          <w:kern w:val="0"/>
          <w:sz w:val="32"/>
          <w:szCs w:val="32"/>
        </w:rPr>
      </w:pPr>
      <w:r>
        <w:rPr>
          <w:rFonts w:hint="eastAsia" w:ascii="Times New Roman" w:hAnsi="Times New Roman" w:eastAsia="黑体" w:cs="黑体"/>
          <w:color w:val="000000"/>
          <w:kern w:val="0"/>
          <w:sz w:val="32"/>
          <w:szCs w:val="32"/>
        </w:rPr>
        <w:t>六、一般公共预算财政拨款基本支出决算情况说明</w:t>
      </w:r>
    </w:p>
    <w:p>
      <w:pPr>
        <w:pStyle w:val="18"/>
        <w:ind w:firstLine="640" w:firstLineChars="200"/>
        <w:rPr>
          <w:rFonts w:hint="eastAsia" w:ascii="Times New Roman" w:hAnsi="Times New Roman" w:eastAsia="黑体" w:cs="黑体"/>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121.48</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107.42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88</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等</w:t>
      </w:r>
      <w:r>
        <w:rPr>
          <w:rFonts w:hint="eastAsia" w:ascii="仿宋" w:hAnsi="仿宋" w:eastAsia="仿宋" w:cs="仿宋"/>
          <w:sz w:val="32"/>
          <w:szCs w:val="32"/>
        </w:rPr>
        <w:t>；公用经费</w:t>
      </w:r>
      <w:r>
        <w:rPr>
          <w:rFonts w:hint="eastAsia" w:ascii="仿宋" w:hAnsi="仿宋" w:eastAsia="仿宋" w:cs="仿宋"/>
          <w:sz w:val="32"/>
          <w:szCs w:val="32"/>
          <w:lang w:val="en-US" w:eastAsia="zh-CN"/>
        </w:rPr>
        <w:t>14.05</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12</w:t>
      </w:r>
      <w:r>
        <w:rPr>
          <w:rFonts w:hint="eastAsia" w:ascii="仿宋" w:hAnsi="仿宋" w:eastAsia="仿宋" w:cs="仿宋"/>
          <w:sz w:val="32"/>
          <w:szCs w:val="32"/>
        </w:rPr>
        <w:t>%，主要包括办公费、印刷费、咨询费、手续</w:t>
      </w:r>
      <w:r>
        <w:rPr>
          <w:rFonts w:hint="eastAsia" w:ascii="仿宋" w:hAnsi="仿宋" w:eastAsia="仿宋" w:cs="仿宋"/>
          <w:sz w:val="32"/>
          <w:szCs w:val="32"/>
          <w:lang w:eastAsia="zh-CN"/>
        </w:rPr>
        <w:t>费等</w:t>
      </w:r>
      <w:r>
        <w:rPr>
          <w:rFonts w:hint="eastAsia" w:ascii="仿宋" w:hAnsi="仿宋" w:eastAsia="仿宋" w:cs="仿宋"/>
          <w:sz w:val="32"/>
          <w:szCs w:val="32"/>
        </w:rPr>
        <w:t>。</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rPr>
        <w:t>20</w:t>
      </w:r>
      <w:r>
        <w:rPr>
          <w:rFonts w:ascii="Times New Roman" w:hAnsi="Times New Roman" w:eastAsia="仿宋" w:cs="Times New Roman"/>
          <w:sz w:val="32"/>
          <w:szCs w:val="32"/>
          <w:highlight w:val="none"/>
        </w:rPr>
        <w:t>23年度“三公”经费财政拨款支出预算为</w:t>
      </w:r>
      <w:r>
        <w:rPr>
          <w:rFonts w:hint="eastAsia" w:ascii="Times New Roman" w:hAnsi="Times New Roman" w:eastAsia="仿宋" w:cs="Times New Roman"/>
          <w:sz w:val="32"/>
          <w:szCs w:val="32"/>
          <w:highlight w:val="none"/>
          <w:lang w:val="en-US" w:eastAsia="zh-CN"/>
        </w:rPr>
        <w:t>0.3</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w:t>
      </w:r>
      <w:r>
        <w:rPr>
          <w:rFonts w:ascii="Times New Roman" w:hAnsi="Times New Roman" w:eastAsia="仿宋" w:cs="Times New Roman"/>
          <w:sz w:val="32"/>
          <w:szCs w:val="32"/>
          <w:highlight w:val="none"/>
          <w:shd w:val="clear"/>
        </w:rPr>
        <w:t>完成预算的</w:t>
      </w:r>
      <w:r>
        <w:rPr>
          <w:rFonts w:hint="eastAsia" w:ascii="Times New Roman" w:hAnsi="Times New Roman" w:eastAsia="仿宋" w:cs="Times New Roman"/>
          <w:sz w:val="32"/>
          <w:szCs w:val="32"/>
          <w:highlight w:val="none"/>
          <w:shd w:val="clear"/>
          <w:lang w:val="en-US" w:eastAsia="zh-CN"/>
        </w:rPr>
        <w:t>0</w:t>
      </w:r>
      <w:r>
        <w:rPr>
          <w:rFonts w:ascii="Times New Roman" w:hAnsi="Times New Roman" w:eastAsia="仿宋" w:cs="Times New Roman"/>
          <w:sz w:val="32"/>
          <w:szCs w:val="32"/>
          <w:highlight w:val="none"/>
          <w:shd w:val="clear"/>
        </w:rPr>
        <w:t>%,</w:t>
      </w:r>
      <w:r>
        <w:rPr>
          <w:rFonts w:ascii="Times New Roman" w:hAnsi="Times New Roman" w:eastAsia="仿宋" w:cs="Times New Roman"/>
          <w:sz w:val="32"/>
          <w:szCs w:val="32"/>
          <w:highlight w:val="none"/>
        </w:rPr>
        <w:t>其中：</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hint="eastAsia" w:ascii="Times New Roman" w:hAnsi="Times New Roman" w:eastAsia="仿宋" w:cs="Times New Roman"/>
          <w:sz w:val="32"/>
          <w:szCs w:val="32"/>
          <w:highlight w:val="none"/>
          <w:lang w:eastAsia="zh-CN"/>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0.3</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%。与上年</w:t>
      </w:r>
      <w:r>
        <w:rPr>
          <w:rFonts w:hint="eastAsia" w:ascii="Times New Roman" w:hAnsi="Times New Roman" w:eastAsia="仿宋" w:cs="Times New Roman"/>
          <w:sz w:val="32"/>
          <w:szCs w:val="32"/>
          <w:highlight w:val="none"/>
          <w:lang w:eastAsia="zh-CN"/>
        </w:rPr>
        <w:t>持平。</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p>
    <w:p>
      <w:pPr>
        <w:pStyle w:val="18"/>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640" w:firstLineChars="200"/>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（二）“三公”经费财政拨款支出决算具体情况说明</w:t>
      </w:r>
    </w:p>
    <w:p>
      <w:pPr>
        <w:pStyle w:val="18"/>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2023年度“三公”经费财政拨款支出决算中，公务接待费支出决算</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万元，因公出国（境）费支出决算</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万元，公务用车购置费及运行维护费支出决算</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万元。其中：</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1、因公出国（境）费支出决算为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万元，全年安排因公出国（境）团组</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个，累计</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 xml:space="preserve">人次。    </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2、公务接待费支出决算为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万元，全年共接待来访团组</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个、来宾</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highlight w:val="none"/>
        </w:rPr>
        <w:t>3、公务用车购置费及运行维护费支出决算为</w:t>
      </w:r>
      <w:r>
        <w:rPr>
          <w:rFonts w:hint="eastAsia" w:ascii="Times New Roman" w:hAnsi="Times New Roman" w:eastAsia="仿宋" w:cs="Times New Roman"/>
          <w:color w:val="000000"/>
          <w:kern w:val="0"/>
          <w:sz w:val="32"/>
          <w:szCs w:val="32"/>
          <w:highlight w:val="none"/>
          <w:lang w:val="en-US" w:eastAsia="zh-CN"/>
        </w:rPr>
        <w:t>0</w:t>
      </w:r>
      <w:r>
        <w:rPr>
          <w:rFonts w:ascii="Times New Roman" w:hAnsi="Times New Roman" w:eastAsia="仿宋" w:cs="Times New Roman"/>
          <w:color w:val="000000"/>
          <w:kern w:val="0"/>
          <w:sz w:val="32"/>
          <w:szCs w:val="32"/>
          <w:highlight w:val="none"/>
        </w:rPr>
        <w:t>万元，其中：公务用车购置费</w:t>
      </w:r>
      <w:r>
        <w:rPr>
          <w:rFonts w:hint="eastAsia" w:ascii="Times New Roman" w:hAnsi="Times New Roman" w:eastAsia="仿宋" w:cs="Times New Roman"/>
          <w:color w:val="000000"/>
          <w:kern w:val="0"/>
          <w:sz w:val="32"/>
          <w:szCs w:val="32"/>
          <w:highlight w:val="none"/>
          <w:lang w:val="en-US" w:eastAsia="zh-CN"/>
        </w:rPr>
        <w:t>0</w:t>
      </w:r>
      <w:r>
        <w:rPr>
          <w:rFonts w:ascii="Times New Roman" w:hAnsi="Times New Roman" w:eastAsia="仿宋" w:cs="Times New Roman"/>
          <w:color w:val="000000"/>
          <w:kern w:val="0"/>
          <w:sz w:val="32"/>
          <w:szCs w:val="32"/>
          <w:highlight w:val="none"/>
        </w:rPr>
        <w:t>万元，购置公务用车</w:t>
      </w:r>
      <w:r>
        <w:rPr>
          <w:rFonts w:hint="eastAsia" w:ascii="Times New Roman" w:hAnsi="Times New Roman" w:eastAsia="仿宋" w:cs="Times New Roman"/>
          <w:color w:val="000000"/>
          <w:kern w:val="0"/>
          <w:sz w:val="32"/>
          <w:szCs w:val="32"/>
          <w:highlight w:val="none"/>
          <w:lang w:val="en-US" w:eastAsia="zh-CN"/>
        </w:rPr>
        <w:t>0</w:t>
      </w:r>
      <w:r>
        <w:rPr>
          <w:rFonts w:ascii="Times New Roman" w:hAnsi="Times New Roman" w:eastAsia="仿宋" w:cs="Times New Roman"/>
          <w:color w:val="000000"/>
          <w:kern w:val="0"/>
          <w:sz w:val="32"/>
          <w:szCs w:val="32"/>
          <w:highlight w:val="none"/>
        </w:rPr>
        <w:t>辆。公务用车运行维护费</w:t>
      </w:r>
      <w:r>
        <w:rPr>
          <w:rFonts w:hint="eastAsia" w:ascii="Times New Roman" w:hAnsi="Times New Roman" w:eastAsia="仿宋" w:cs="Times New Roman"/>
          <w:color w:val="000000"/>
          <w:kern w:val="0"/>
          <w:sz w:val="32"/>
          <w:szCs w:val="32"/>
          <w:highlight w:val="none"/>
          <w:lang w:val="en-US" w:eastAsia="zh-CN"/>
        </w:rPr>
        <w:t>0</w:t>
      </w:r>
      <w:r>
        <w:rPr>
          <w:rFonts w:ascii="Times New Roman" w:hAnsi="Times New Roman" w:eastAsia="仿宋" w:cs="Times New Roman"/>
          <w:color w:val="000000"/>
          <w:kern w:val="0"/>
          <w:sz w:val="32"/>
          <w:szCs w:val="32"/>
          <w:highlight w:val="none"/>
        </w:rPr>
        <w:t>万元，截止2023年12月31日，我单</w:t>
      </w:r>
      <w:r>
        <w:rPr>
          <w:rFonts w:ascii="Times New Roman" w:hAnsi="Times New Roman" w:eastAsia="仿宋" w:cs="Times New Roman"/>
          <w:color w:val="000000"/>
          <w:kern w:val="0"/>
          <w:sz w:val="32"/>
          <w:szCs w:val="32"/>
        </w:rPr>
        <w:t>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pPr>
        <w:pStyle w:val="18"/>
        <w:rPr>
          <w:rFonts w:hint="eastAsia" w:ascii="仿宋" w:hAnsi="仿宋" w:eastAsia="仿宋" w:cs="仿宋"/>
          <w:i/>
          <w:color w:val="FF0000"/>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年度政府性基金预算财政拨款收入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万元；年初结转和结余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9"/>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pPr>
        <w:pStyle w:val="18"/>
        <w:ind w:firstLine="640" w:firstLineChars="200"/>
        <w:rPr>
          <w:rFonts w:hint="eastAsia" w:ascii="Times New Roman" w:hAnsi="Times New Roman" w:eastAsia="黑体" w:cs="黑体"/>
          <w:color w:val="000000"/>
          <w:kern w:val="0"/>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万元，比年初预算数减少</w:t>
      </w:r>
      <w:r>
        <w:rPr>
          <w:rFonts w:hint="eastAsia" w:ascii="仿宋" w:hAnsi="仿宋" w:eastAsia="仿宋" w:cs="仿宋"/>
          <w:sz w:val="32"/>
          <w:szCs w:val="32"/>
          <w:lang w:val="en-US" w:eastAsia="zh-CN"/>
        </w:rPr>
        <w:t>17.02</w:t>
      </w:r>
      <w:r>
        <w:rPr>
          <w:rFonts w:hint="eastAsia" w:ascii="仿宋" w:hAnsi="仿宋" w:eastAsia="仿宋" w:cs="仿宋"/>
          <w:sz w:val="32"/>
          <w:szCs w:val="32"/>
        </w:rPr>
        <w:t>万元，降低</w:t>
      </w:r>
      <w:r>
        <w:rPr>
          <w:rFonts w:hint="eastAsia" w:ascii="仿宋" w:hAnsi="仿宋" w:eastAsia="仿宋" w:cs="仿宋"/>
          <w:sz w:val="32"/>
          <w:szCs w:val="32"/>
          <w:lang w:val="en-US" w:eastAsia="zh-CN"/>
        </w:rPr>
        <w:t>100</w:t>
      </w:r>
      <w:r>
        <w:rPr>
          <w:rFonts w:hint="eastAsia" w:ascii="仿宋" w:hAnsi="仿宋" w:eastAsia="仿宋" w:cs="仿宋"/>
          <w:sz w:val="32"/>
          <w:szCs w:val="32"/>
        </w:rPr>
        <w:t>%。主要原因是：</w:t>
      </w:r>
      <w:r>
        <w:rPr>
          <w:rFonts w:hint="eastAsia" w:ascii="仿宋" w:hAnsi="仿宋" w:eastAsia="仿宋" w:cs="仿宋"/>
          <w:sz w:val="32"/>
          <w:szCs w:val="32"/>
          <w:lang w:eastAsia="zh-CN"/>
        </w:rPr>
        <w:t>节约开支</w:t>
      </w:r>
      <w:r>
        <w:rPr>
          <w:rFonts w:hint="eastAsia" w:ascii="仿宋" w:hAnsi="仿宋" w:eastAsia="仿宋" w:cs="仿宋"/>
          <w:sz w:val="32"/>
          <w:szCs w:val="32"/>
        </w:rPr>
        <w:t>。</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pPr>
        <w:pStyle w:val="9"/>
        <w:autoSpaceDE w:val="0"/>
        <w:autoSpaceDN w:val="0"/>
        <w:adjustRightInd w:val="0"/>
        <w:spacing w:line="570" w:lineRule="exact"/>
        <w:ind w:firstLine="640" w:firstLineChars="200"/>
        <w:rPr>
          <w:rFonts w:hint="eastAsia" w:ascii="Times New Roman" w:hAnsi="Times New Roman" w:eastAsia="黑体" w:cs="黑体"/>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年本部门开支会议费</w:t>
      </w:r>
      <w:r>
        <w:rPr>
          <w:rFonts w:hint="eastAsia" w:ascii="仿宋" w:hAnsi="仿宋" w:eastAsia="仿宋" w:cs="仿宋"/>
          <w:sz w:val="32"/>
          <w:szCs w:val="32"/>
          <w:lang w:val="en-US" w:eastAsia="zh-CN"/>
        </w:rPr>
        <w:t>0</w:t>
      </w:r>
      <w:r>
        <w:rPr>
          <w:rFonts w:hint="eastAsia" w:ascii="仿宋" w:hAnsi="仿宋" w:eastAsia="仿宋" w:cs="仿宋"/>
          <w:sz w:val="32"/>
          <w:szCs w:val="32"/>
        </w:rPr>
        <w:t>万元；开支培训费</w:t>
      </w:r>
      <w:r>
        <w:rPr>
          <w:rFonts w:hint="eastAsia" w:ascii="仿宋" w:hAnsi="仿宋" w:eastAsia="仿宋" w:cs="仿宋"/>
          <w:sz w:val="32"/>
          <w:szCs w:val="32"/>
          <w:lang w:val="en-US" w:eastAsia="zh-CN"/>
        </w:rPr>
        <w:t>0.05</w:t>
      </w:r>
      <w:r>
        <w:rPr>
          <w:rFonts w:hint="eastAsia" w:ascii="仿宋" w:hAnsi="仿宋" w:eastAsia="仿宋" w:cs="仿宋"/>
          <w:sz w:val="32"/>
          <w:szCs w:val="32"/>
        </w:rPr>
        <w:t>万元，用于开展</w:t>
      </w:r>
      <w:r>
        <w:rPr>
          <w:rFonts w:hint="eastAsia" w:ascii="仿宋" w:hAnsi="仿宋" w:eastAsia="仿宋" w:cs="仿宋"/>
          <w:sz w:val="32"/>
          <w:szCs w:val="32"/>
          <w:lang w:eastAsia="zh-CN"/>
        </w:rPr>
        <w:t>中小企业人才</w:t>
      </w:r>
      <w:r>
        <w:rPr>
          <w:rFonts w:hint="eastAsia" w:ascii="仿宋" w:hAnsi="仿宋" w:eastAsia="仿宋" w:cs="仿宋"/>
          <w:sz w:val="32"/>
          <w:szCs w:val="32"/>
        </w:rPr>
        <w:t>培训，人数</w:t>
      </w:r>
      <w:r>
        <w:rPr>
          <w:rFonts w:hint="eastAsia" w:ascii="仿宋" w:hAnsi="仿宋" w:eastAsia="仿宋" w:cs="仿宋"/>
          <w:sz w:val="32"/>
          <w:szCs w:val="32"/>
          <w:lang w:val="en-US" w:eastAsia="zh-CN"/>
        </w:rPr>
        <w:t>80</w:t>
      </w:r>
      <w:r>
        <w:rPr>
          <w:rFonts w:hint="eastAsia" w:ascii="仿宋" w:hAnsi="仿宋" w:eastAsia="仿宋" w:cs="仿宋"/>
          <w:sz w:val="32"/>
          <w:szCs w:val="32"/>
        </w:rPr>
        <w:t>人，内容为</w:t>
      </w:r>
      <w:r>
        <w:rPr>
          <w:rFonts w:hint="eastAsia" w:ascii="仿宋" w:hAnsi="仿宋" w:eastAsia="仿宋" w:cs="仿宋"/>
          <w:sz w:val="32"/>
          <w:szCs w:val="32"/>
          <w:lang w:eastAsia="zh-CN"/>
        </w:rPr>
        <w:t>技能培训，为中小企业输送人才</w:t>
      </w:r>
      <w:r>
        <w:rPr>
          <w:rFonts w:hint="eastAsia" w:ascii="仿宋" w:hAnsi="仿宋" w:eastAsia="仿宋" w:cs="仿宋"/>
          <w:sz w:val="32"/>
          <w:szCs w:val="32"/>
        </w:rPr>
        <w:t>。</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pPr>
        <w:pStyle w:val="18"/>
        <w:ind w:firstLine="640" w:firstLineChars="200"/>
        <w:rPr>
          <w:rFonts w:hint="eastAsia" w:ascii="Times New Roman" w:hAnsi="Times New Roman" w:eastAsia="黑体" w:cs="黑体"/>
          <w:color w:val="000000"/>
          <w:kern w:val="0"/>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18.6</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2.83</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15.77</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rPr>
        <w:t>万元，占授予中小企业合同金额的</w:t>
      </w:r>
      <w:r>
        <w:rPr>
          <w:rFonts w:hint="eastAsia" w:ascii="仿宋" w:hAnsi="仿宋" w:eastAsia="仿宋" w:cs="仿宋"/>
          <w:sz w:val="32"/>
          <w:szCs w:val="32"/>
          <w:lang w:val="en-US" w:eastAsia="zh-CN"/>
        </w:rPr>
        <w:t>0</w:t>
      </w:r>
      <w:r>
        <w:rPr>
          <w:rFonts w:hint="eastAsia" w:ascii="仿宋" w:hAnsi="仿宋" w:eastAsia="仿宋" w:cs="仿宋"/>
          <w:sz w:val="32"/>
          <w:szCs w:val="32"/>
        </w:rPr>
        <w:t>%；货物采购授予中小企业合同金额占货物支出金额的</w:t>
      </w:r>
      <w:r>
        <w:rPr>
          <w:rFonts w:hint="eastAsia" w:ascii="仿宋" w:hAnsi="仿宋" w:eastAsia="仿宋" w:cs="仿宋"/>
          <w:sz w:val="32"/>
          <w:szCs w:val="32"/>
          <w:lang w:val="en-US" w:eastAsia="zh-CN"/>
        </w:rPr>
        <w:t>0</w:t>
      </w:r>
      <w:r>
        <w:rPr>
          <w:rFonts w:hint="eastAsia" w:ascii="仿宋" w:hAnsi="仿宋" w:eastAsia="仿宋" w:cs="仿宋"/>
          <w:sz w:val="32"/>
          <w:szCs w:val="32"/>
        </w:rPr>
        <w:t>%，工程采购授予中小企业合同金额占工程支出金额的</w:t>
      </w:r>
      <w:r>
        <w:rPr>
          <w:rFonts w:hint="eastAsia" w:ascii="仿宋" w:hAnsi="仿宋" w:eastAsia="仿宋" w:cs="仿宋"/>
          <w:sz w:val="32"/>
          <w:szCs w:val="32"/>
          <w:lang w:val="en-US" w:eastAsia="zh-CN"/>
        </w:rPr>
        <w:t>0</w:t>
      </w:r>
      <w:r>
        <w:rPr>
          <w:rFonts w:hint="eastAsia" w:ascii="仿宋" w:hAnsi="仿宋" w:eastAsia="仿宋" w:cs="仿宋"/>
          <w:sz w:val="32"/>
          <w:szCs w:val="32"/>
        </w:rPr>
        <w:t>%，服务采购授予中小企业合同金额占服务支出金额的</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18"/>
        <w:ind w:firstLine="640" w:firstLineChars="200"/>
        <w:rPr>
          <w:rFonts w:hint="eastAsia" w:ascii="Times New Roman" w:hAnsi="Times New Roman" w:eastAsia="黑体" w:cs="黑体"/>
          <w:color w:val="000000"/>
          <w:kern w:val="0"/>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年12月31日，部门（单位）共有车辆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w:t>
      </w:r>
      <w:r>
        <w:rPr>
          <w:rFonts w:hint="eastAsia" w:ascii="仿宋" w:hAnsi="仿宋" w:eastAsia="仿宋" w:cs="仿宋"/>
          <w:sz w:val="32"/>
          <w:szCs w:val="32"/>
          <w:lang w:val="en-US" w:eastAsia="zh-CN"/>
        </w:rPr>
        <w:t>0</w:t>
      </w:r>
      <w:r>
        <w:rPr>
          <w:rFonts w:hint="eastAsia" w:ascii="仿宋" w:hAnsi="仿宋" w:eastAsia="仿宋" w:cs="仿宋"/>
          <w:sz w:val="32"/>
          <w:szCs w:val="32"/>
        </w:rPr>
        <w:t>；单位价值50万元以上通用设备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 w:hAnsi="仿宋" w:eastAsia="仿宋" w:cs="仿宋"/>
          <w:sz w:val="32"/>
          <w:szCs w:val="32"/>
        </w:rPr>
        <w:t>根据预算绩效管理要求，本单位组织对 202</w:t>
      </w:r>
      <w:r>
        <w:rPr>
          <w:rFonts w:hint="eastAsia" w:ascii="仿宋" w:hAnsi="仿宋" w:eastAsia="仿宋" w:cs="仿宋"/>
          <w:sz w:val="32"/>
          <w:szCs w:val="32"/>
          <w:lang w:val="en-US" w:eastAsia="zh-CN"/>
        </w:rPr>
        <w:t>3</w:t>
      </w:r>
      <w:r>
        <w:rPr>
          <w:rFonts w:hint="eastAsia" w:ascii="仿宋" w:hAnsi="仿宋" w:eastAsia="仿宋" w:cs="仿宋"/>
          <w:sz w:val="32"/>
          <w:szCs w:val="32"/>
        </w:rPr>
        <w:t>年度部门整体支出开展了绩效自评，从评价情况来看，预算执行及时、有效，绩效目标得到较好实现，绩效管理水平不断提高。</w:t>
      </w:r>
    </w:p>
    <w:p>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8"/>
        <w:jc w:val="both"/>
        <w:rPr>
          <w:rFonts w:hint="eastAsia" w:ascii="Times New Roman" w:hAnsi="Times New Roman" w:cs="Times New Roman"/>
          <w:sz w:val="72"/>
          <w:szCs w:val="72"/>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8"/>
        <w:jc w:val="center"/>
        <w:rPr>
          <w:rFonts w:ascii="Times New Roman" w:hAnsi="Times New Roman" w:eastAsia="方正小标宋简体" w:cs="Times New Roman"/>
          <w:sz w:val="56"/>
          <w:szCs w:val="56"/>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8"/>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8"/>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pPr>
        <w:pStyle w:val="18"/>
        <w:spacing w:line="596" w:lineRule="exact"/>
        <w:jc w:val="center"/>
        <w:rPr>
          <w:rFonts w:hint="eastAsia" w:ascii="Times New Roman" w:hAnsi="Times New Roman" w:eastAsia="方正小标宋简体" w:cs="Times New Roman"/>
          <w:sz w:val="32"/>
          <w:szCs w:val="32"/>
          <w:lang w:eastAsia="zh-CN"/>
        </w:rPr>
      </w:pPr>
    </w:p>
    <w:p>
      <w:pPr>
        <w:pStyle w:val="18"/>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ODNkM2Y1MmY3MTIwZThlY2RmOWQwNzQ5NzFlMjk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47A5639"/>
    <w:rsid w:val="06915006"/>
    <w:rsid w:val="0751274D"/>
    <w:rsid w:val="07634BF4"/>
    <w:rsid w:val="07A77932"/>
    <w:rsid w:val="08F14AE1"/>
    <w:rsid w:val="0B567F72"/>
    <w:rsid w:val="0C7C6B53"/>
    <w:rsid w:val="0D3F15F5"/>
    <w:rsid w:val="0EF6245F"/>
    <w:rsid w:val="11E43B98"/>
    <w:rsid w:val="13692089"/>
    <w:rsid w:val="16264C75"/>
    <w:rsid w:val="167309F2"/>
    <w:rsid w:val="18985D2F"/>
    <w:rsid w:val="18FA38C9"/>
    <w:rsid w:val="19056169"/>
    <w:rsid w:val="1B323160"/>
    <w:rsid w:val="1B714E5F"/>
    <w:rsid w:val="1E532BCB"/>
    <w:rsid w:val="1EBE63A2"/>
    <w:rsid w:val="1F041D62"/>
    <w:rsid w:val="1F6317DE"/>
    <w:rsid w:val="1F745786"/>
    <w:rsid w:val="21B1218A"/>
    <w:rsid w:val="22B229C9"/>
    <w:rsid w:val="238B2E7B"/>
    <w:rsid w:val="25DA02D2"/>
    <w:rsid w:val="2AD95BF4"/>
    <w:rsid w:val="2F101369"/>
    <w:rsid w:val="2F645EAA"/>
    <w:rsid w:val="321612FC"/>
    <w:rsid w:val="32B56379"/>
    <w:rsid w:val="38090922"/>
    <w:rsid w:val="38D75D21"/>
    <w:rsid w:val="395219B1"/>
    <w:rsid w:val="44994399"/>
    <w:rsid w:val="46BE0A2A"/>
    <w:rsid w:val="472236C4"/>
    <w:rsid w:val="47867568"/>
    <w:rsid w:val="47C05439"/>
    <w:rsid w:val="4B1C68ED"/>
    <w:rsid w:val="4B8003CD"/>
    <w:rsid w:val="4F976C0B"/>
    <w:rsid w:val="523F5138"/>
    <w:rsid w:val="538D47D7"/>
    <w:rsid w:val="538E105C"/>
    <w:rsid w:val="53BF69FD"/>
    <w:rsid w:val="56E07478"/>
    <w:rsid w:val="591A5257"/>
    <w:rsid w:val="59C61682"/>
    <w:rsid w:val="5D2E7409"/>
    <w:rsid w:val="605C2B42"/>
    <w:rsid w:val="60841B7E"/>
    <w:rsid w:val="635D15B9"/>
    <w:rsid w:val="64714AD2"/>
    <w:rsid w:val="64857E64"/>
    <w:rsid w:val="65965345"/>
    <w:rsid w:val="65F04BE5"/>
    <w:rsid w:val="66EE2A22"/>
    <w:rsid w:val="6A161EFE"/>
    <w:rsid w:val="6A484E25"/>
    <w:rsid w:val="6E0F6D2F"/>
    <w:rsid w:val="6EAE4254"/>
    <w:rsid w:val="72556787"/>
    <w:rsid w:val="74205B29"/>
    <w:rsid w:val="75F714AD"/>
    <w:rsid w:val="774C5DB2"/>
    <w:rsid w:val="78081C98"/>
    <w:rsid w:val="78AD4CA3"/>
    <w:rsid w:val="79E06962"/>
    <w:rsid w:val="7DC2177C"/>
    <w:rsid w:val="7EAA7C1A"/>
    <w:rsid w:val="7EC346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rPr>
  </w:style>
  <w:style w:type="paragraph" w:styleId="3">
    <w:name w:val="Body Text Indent"/>
    <w:basedOn w:val="1"/>
    <w:qFormat/>
    <w:uiPriority w:val="0"/>
    <w:pPr>
      <w:spacing w:after="120"/>
      <w:ind w:left="420" w:leftChars="200"/>
    </w:pPr>
  </w:style>
  <w:style w:type="paragraph" w:styleId="4">
    <w:name w:val="annotation text"/>
    <w:basedOn w:val="1"/>
    <w:link w:val="13"/>
    <w:semiHidden/>
    <w:qFormat/>
    <w:uiPriority w:val="99"/>
    <w:pPr>
      <w:jc w:val="left"/>
    </w:pPr>
  </w:style>
  <w:style w:type="paragraph" w:styleId="5">
    <w:name w:val="Body Text"/>
    <w:basedOn w:val="1"/>
    <w:link w:val="14"/>
    <w:qFormat/>
    <w:uiPriority w:val="99"/>
    <w:pPr>
      <w:spacing w:before="100" w:beforeAutospacing="1" w:after="120"/>
    </w:pPr>
    <w:rPr>
      <w:rFonts w:ascii="Times New Roman" w:hAnsi="Times New Roman" w:cs="Times New Roman"/>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character" w:styleId="12">
    <w:name w:val="annotation reference"/>
    <w:basedOn w:val="11"/>
    <w:semiHidden/>
    <w:qFormat/>
    <w:uiPriority w:val="99"/>
    <w:rPr>
      <w:sz w:val="21"/>
      <w:szCs w:val="21"/>
    </w:rPr>
  </w:style>
  <w:style w:type="character" w:customStyle="1" w:styleId="13">
    <w:name w:val="批注文字 Char"/>
    <w:basedOn w:val="11"/>
    <w:link w:val="4"/>
    <w:semiHidden/>
    <w:qFormat/>
    <w:locked/>
    <w:uiPriority w:val="99"/>
    <w:rPr>
      <w:rFonts w:ascii="Calibri" w:hAnsi="Calibri" w:cs="Calibri"/>
      <w:sz w:val="21"/>
      <w:szCs w:val="21"/>
    </w:rPr>
  </w:style>
  <w:style w:type="character" w:customStyle="1" w:styleId="14">
    <w:name w:val="正文文本 Char"/>
    <w:basedOn w:val="11"/>
    <w:link w:val="5"/>
    <w:qFormat/>
    <w:locked/>
    <w:uiPriority w:val="99"/>
    <w:rPr>
      <w:rFonts w:eastAsia="宋体"/>
      <w:kern w:val="2"/>
      <w:sz w:val="21"/>
      <w:szCs w:val="21"/>
      <w:lang w:val="en-US" w:eastAsia="zh-CN"/>
    </w:rPr>
  </w:style>
  <w:style w:type="character" w:customStyle="1" w:styleId="15">
    <w:name w:val="批注框文本 Char"/>
    <w:basedOn w:val="11"/>
    <w:link w:val="6"/>
    <w:semiHidden/>
    <w:qFormat/>
    <w:locked/>
    <w:uiPriority w:val="99"/>
    <w:rPr>
      <w:sz w:val="18"/>
      <w:szCs w:val="18"/>
    </w:rPr>
  </w:style>
  <w:style w:type="character" w:customStyle="1" w:styleId="16">
    <w:name w:val="页脚 Char"/>
    <w:basedOn w:val="11"/>
    <w:link w:val="7"/>
    <w:qFormat/>
    <w:locked/>
    <w:uiPriority w:val="99"/>
    <w:rPr>
      <w:sz w:val="18"/>
      <w:szCs w:val="18"/>
    </w:rPr>
  </w:style>
  <w:style w:type="character" w:customStyle="1" w:styleId="17">
    <w:name w:val="页眉 Char"/>
    <w:basedOn w:val="11"/>
    <w:link w:val="8"/>
    <w:qFormat/>
    <w:locked/>
    <w:uiPriority w:val="99"/>
    <w:rPr>
      <w:sz w:val="18"/>
      <w:szCs w:val="18"/>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99"/>
    <w:pPr>
      <w:ind w:firstLine="420" w:firstLineChars="200"/>
    </w:pPr>
  </w:style>
  <w:style w:type="paragraph" w:customStyle="1" w:styleId="2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3976</Words>
  <Characters>4248</Characters>
  <Lines>56</Lines>
  <Paragraphs>15</Paragraphs>
  <TotalTime>22</TotalTime>
  <ScaleCrop>false</ScaleCrop>
  <LinksUpToDate>false</LinksUpToDate>
  <CharactersWithSpaces>4269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2024-11-21T02:40:59Z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