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jc w:val="both"/>
        <w:rPr>
          <w:rFonts w:ascii="Times New Roman" w:hAnsi="Times New Roman" w:cs="Times New Roman"/>
          <w:sz w:val="56"/>
          <w:szCs w:val="56"/>
        </w:rPr>
      </w:pPr>
    </w:p>
    <w:p>
      <w:pPr>
        <w:pStyle w:val="18"/>
        <w:jc w:val="both"/>
        <w:rPr>
          <w:rFonts w:ascii="Times New Roman" w:hAnsi="Times New Roman" w:cs="Times New Roman"/>
          <w:sz w:val="56"/>
          <w:szCs w:val="56"/>
        </w:rPr>
      </w:pPr>
    </w:p>
    <w:p>
      <w:pPr>
        <w:pStyle w:val="18"/>
        <w:jc w:val="both"/>
        <w:rPr>
          <w:rFonts w:ascii="Times New Roman" w:hAnsi="Times New Roman" w:cs="Times New Roman"/>
          <w:sz w:val="84"/>
          <w:szCs w:val="84"/>
        </w:rPr>
      </w:pPr>
    </w:p>
    <w:p>
      <w:pPr>
        <w:pStyle w:val="18"/>
        <w:jc w:val="center"/>
        <w:rPr>
          <w:rFonts w:ascii="Times New Roman" w:hAnsi="Times New Roman" w:eastAsia="方正小标宋简体" w:cs="Times New Roman"/>
          <w:sz w:val="76"/>
          <w:szCs w:val="76"/>
        </w:rPr>
      </w:pPr>
    </w:p>
    <w:p>
      <w:pPr>
        <w:pStyle w:val="18"/>
        <w:jc w:val="center"/>
        <w:rPr>
          <w:rFonts w:hint="eastAsia" w:ascii="黑体" w:hAnsi="黑体" w:eastAsia="黑体" w:cs="黑体"/>
          <w:sz w:val="72"/>
          <w:szCs w:val="72"/>
          <w:lang w:eastAsia="zh-CN"/>
        </w:rPr>
      </w:pPr>
      <w:r>
        <w:rPr>
          <w:rFonts w:hint="eastAsia" w:ascii="黑体" w:hAnsi="黑体" w:eastAsia="黑体" w:cs="黑体"/>
          <w:sz w:val="72"/>
          <w:szCs w:val="72"/>
          <w:lang w:eastAsia="zh-CN"/>
        </w:rPr>
        <w:t>2023年度</w:t>
      </w:r>
    </w:p>
    <w:p>
      <w:pPr>
        <w:pStyle w:val="18"/>
        <w:jc w:val="center"/>
        <w:rPr>
          <w:rFonts w:hint="eastAsia" w:ascii="黑体" w:hAnsi="黑体" w:eastAsia="黑体" w:cs="黑体"/>
          <w:sz w:val="72"/>
          <w:szCs w:val="72"/>
          <w:lang w:eastAsia="zh-CN"/>
        </w:rPr>
      </w:pPr>
      <w:r>
        <w:rPr>
          <w:rFonts w:hint="eastAsia" w:ascii="黑体" w:hAnsi="黑体" w:eastAsia="黑体" w:cs="黑体"/>
          <w:sz w:val="72"/>
          <w:szCs w:val="72"/>
          <w:lang w:eastAsia="zh-CN"/>
        </w:rPr>
        <w:t>株洲市石峰区统计局</w:t>
      </w:r>
    </w:p>
    <w:p>
      <w:pPr>
        <w:pStyle w:val="18"/>
        <w:jc w:val="center"/>
        <w:rPr>
          <w:rFonts w:hint="eastAsia" w:ascii="黑体" w:hAnsi="黑体" w:eastAsia="黑体" w:cs="黑体"/>
          <w:sz w:val="72"/>
          <w:szCs w:val="72"/>
          <w:lang w:eastAsia="zh-CN"/>
        </w:rPr>
      </w:pPr>
      <w:r>
        <w:rPr>
          <w:rFonts w:hint="eastAsia" w:ascii="黑体" w:hAnsi="黑体" w:eastAsia="黑体" w:cs="黑体"/>
          <w:sz w:val="72"/>
          <w:szCs w:val="72"/>
          <w:lang w:eastAsia="zh-CN"/>
        </w:rPr>
        <w:t>部门决算</w:t>
      </w:r>
    </w:p>
    <w:p>
      <w:pPr>
        <w:pStyle w:val="18"/>
        <w:jc w:val="both"/>
        <w:rPr>
          <w:rFonts w:ascii="Times New Roman" w:hAnsi="Times New Roman" w:cs="Times New Roman"/>
          <w:sz w:val="32"/>
          <w:szCs w:val="32"/>
        </w:rPr>
      </w:pPr>
    </w:p>
    <w:p>
      <w:pPr>
        <w:pStyle w:val="18"/>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cs="Times New Roman"/>
          <w:sz w:val="32"/>
          <w:szCs w:val="32"/>
          <w:lang w:eastAsia="zh-CN"/>
        </w:rPr>
        <w:t>株洲市石峰区统计局</w:t>
      </w:r>
      <w:r>
        <w:rPr>
          <w:rFonts w:ascii="Times New Roman" w:hAnsi="Times New Roman" w:cs="Times New Roman"/>
          <w:sz w:val="32"/>
          <w:szCs w:val="32"/>
        </w:rPr>
        <w:t>单位概况</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pPr>
        <w:pStyle w:val="18"/>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center"/>
        <w:rPr>
          <w:rFonts w:ascii="Times New Roman" w:hAnsi="Times New Roman" w:eastAsia="方正小标宋简体" w:cs="Times New Roman"/>
          <w:w w:val="90"/>
          <w:sz w:val="76"/>
          <w:szCs w:val="76"/>
        </w:rPr>
      </w:pPr>
    </w:p>
    <w:p>
      <w:pPr>
        <w:pStyle w:val="18"/>
        <w:jc w:val="center"/>
        <w:rPr>
          <w:rFonts w:hint="eastAsia" w:ascii="黑体" w:hAnsi="黑体" w:eastAsia="黑体" w:cs="黑体"/>
          <w:sz w:val="72"/>
          <w:szCs w:val="72"/>
          <w:lang w:eastAsia="zh-CN"/>
        </w:rPr>
      </w:pPr>
      <w:r>
        <w:rPr>
          <w:rFonts w:hint="eastAsia" w:ascii="黑体" w:hAnsi="黑体" w:eastAsia="黑体" w:cs="黑体"/>
          <w:sz w:val="72"/>
          <w:szCs w:val="72"/>
          <w:lang w:eastAsia="zh-CN"/>
        </w:rPr>
        <w:t>第一部分</w:t>
      </w:r>
    </w:p>
    <w:p>
      <w:pPr>
        <w:pStyle w:val="18"/>
        <w:jc w:val="center"/>
        <w:rPr>
          <w:rFonts w:hint="eastAsia" w:ascii="黑体" w:hAnsi="黑体" w:eastAsia="黑体" w:cs="黑体"/>
          <w:sz w:val="72"/>
          <w:szCs w:val="72"/>
          <w:lang w:eastAsia="zh-CN"/>
        </w:rPr>
      </w:pPr>
    </w:p>
    <w:p>
      <w:pPr>
        <w:pStyle w:val="18"/>
        <w:jc w:val="center"/>
        <w:rPr>
          <w:rFonts w:hint="eastAsia" w:ascii="黑体" w:hAnsi="黑体" w:eastAsia="黑体" w:cs="黑体"/>
          <w:sz w:val="72"/>
          <w:szCs w:val="72"/>
          <w:lang w:eastAsia="zh-CN"/>
        </w:rPr>
      </w:pPr>
      <w:r>
        <w:rPr>
          <w:rFonts w:hint="eastAsia" w:ascii="黑体" w:hAnsi="黑体" w:eastAsia="黑体" w:cs="黑体"/>
          <w:sz w:val="72"/>
          <w:szCs w:val="72"/>
          <w:lang w:eastAsia="zh-CN"/>
        </w:rPr>
        <w:t>株洲市石峰区统计局</w:t>
      </w:r>
    </w:p>
    <w:p>
      <w:pPr>
        <w:pStyle w:val="18"/>
        <w:jc w:val="center"/>
        <w:rPr>
          <w:rFonts w:hint="eastAsia" w:ascii="黑体" w:hAnsi="黑体" w:eastAsia="黑体" w:cs="黑体"/>
          <w:sz w:val="72"/>
          <w:szCs w:val="72"/>
          <w:lang w:eastAsia="zh-CN"/>
        </w:rPr>
      </w:pPr>
      <w:r>
        <w:rPr>
          <w:rFonts w:hint="eastAsia" w:ascii="黑体" w:hAnsi="黑体" w:eastAsia="黑体" w:cs="黑体"/>
          <w:sz w:val="72"/>
          <w:szCs w:val="72"/>
          <w:lang w:eastAsia="zh-CN"/>
        </w:rPr>
        <w:t>单位概况</w:t>
      </w:r>
    </w:p>
    <w:p>
      <w:pPr>
        <w:pStyle w:val="19"/>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pPr>
        <w:widowControl/>
        <w:spacing w:line="600" w:lineRule="exact"/>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lang w:val="en-US" w:eastAsia="zh-CN"/>
        </w:rPr>
        <w:t>株洲市石峰区统计局</w:t>
      </w:r>
      <w:r>
        <w:rPr>
          <w:rFonts w:hint="eastAsia" w:ascii="仿宋" w:hAnsi="仿宋" w:eastAsia="仿宋" w:cs="仿宋"/>
          <w:bCs/>
          <w:kern w:val="0"/>
          <w:sz w:val="32"/>
          <w:szCs w:val="32"/>
        </w:rPr>
        <w:t>的主要职责是：</w:t>
      </w:r>
    </w:p>
    <w:p>
      <w:pPr>
        <w:pStyle w:val="8"/>
        <w:shd w:val="clear" w:color="auto" w:fill="FFFFFF"/>
        <w:wordWrap w:val="0"/>
        <w:spacing w:before="0" w:beforeAutospacing="0" w:after="0" w:afterAutospacing="0" w:line="600" w:lineRule="atLeast"/>
        <w:ind w:firstLine="645"/>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1).贯彻执行统计工作的方针、政策和法律法规，研究国民经济和社会发展和年度计划。</w:t>
      </w:r>
    </w:p>
    <w:p>
      <w:pPr>
        <w:pStyle w:val="8"/>
        <w:shd w:val="clear" w:color="auto" w:fill="FFFFFF"/>
        <w:wordWrap w:val="0"/>
        <w:spacing w:before="0" w:beforeAutospacing="0" w:after="0" w:afterAutospacing="0" w:line="600" w:lineRule="atLeast"/>
        <w:ind w:firstLine="645"/>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2).完成国家统计调查任务，制订本行政区域统计工作规划和统计调查方案。</w:t>
      </w:r>
    </w:p>
    <w:p>
      <w:pPr>
        <w:numPr>
          <w:ilvl w:val="0"/>
          <w:numId w:val="0"/>
        </w:numPr>
        <w:overflowPunct w:val="0"/>
        <w:spacing w:line="596" w:lineRule="exact"/>
        <w:ind w:left="640" w:leftChars="0"/>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3).负责地方统计调查任务、指导和协调区部门统计工作和企事业单位统计工作，监督经济社会运行情况，搜集、整理、开发应用和发布统计信息。</w:t>
      </w:r>
    </w:p>
    <w:p>
      <w:pPr>
        <w:widowControl/>
        <w:spacing w:line="600" w:lineRule="exact"/>
        <w:ind w:firstLine="320" w:firstLineChars="100"/>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pStyle w:val="8"/>
        <w:keepNext w:val="0"/>
        <w:keepLines w:val="0"/>
        <w:widowControl/>
        <w:suppressLineNumbers w:val="0"/>
        <w:spacing w:before="0" w:beforeAutospacing="0" w:after="0" w:afterAutospacing="0" w:line="450" w:lineRule="atLeast"/>
        <w:ind w:right="0"/>
        <w:jc w:val="both"/>
        <w:rPr>
          <w:rFonts w:hint="eastAsia" w:asciiTheme="minorEastAsia" w:hAnsiTheme="minorEastAsia"/>
          <w:bCs/>
          <w:kern w:val="0"/>
          <w:sz w:val="32"/>
          <w:szCs w:val="32"/>
        </w:rPr>
      </w:pPr>
      <w:r>
        <w:rPr>
          <w:rFonts w:hint="eastAsia" w:asciiTheme="minorEastAsia" w:hAnsiTheme="minorEastAsia"/>
          <w:bCs/>
          <w:kern w:val="0"/>
          <w:sz w:val="32"/>
          <w:szCs w:val="32"/>
        </w:rPr>
        <w:t>（一）内设机构设置。</w:t>
      </w:r>
    </w:p>
    <w:p>
      <w:pPr>
        <w:pStyle w:val="8"/>
        <w:shd w:val="clear" w:color="auto" w:fill="FFFFFF"/>
        <w:wordWrap w:val="0"/>
        <w:spacing w:before="0" w:beforeAutospacing="0" w:after="0" w:afterAutospacing="0" w:line="600" w:lineRule="atLeast"/>
        <w:ind w:firstLine="645"/>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株洲市石峰区统计局内设机构包括：我单位属于石峰区一级预算单位，现有预算单位1个。本部门共有行政编制5名；事业编13名；机关工勤人员编制1名。实有人数14人，其中：在职人员14人，退休6人。我单位内设处室2个，分别是办公室和统计业务股。纳入本年部门决算编制范围。</w:t>
      </w:r>
    </w:p>
    <w:p>
      <w:pPr>
        <w:widowControl/>
        <w:numPr>
          <w:ilvl w:val="0"/>
          <w:numId w:val="2"/>
        </w:numPr>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决算单位构成。</w:t>
      </w:r>
    </w:p>
    <w:p>
      <w:pPr>
        <w:pStyle w:val="18"/>
        <w:ind w:firstLine="640" w:firstLineChars="200"/>
        <w:jc w:val="both"/>
        <w:rPr>
          <w:rFonts w:ascii="Times New Roman" w:hAnsi="Times New Roman" w:cs="Times New Roman"/>
          <w:sz w:val="84"/>
          <w:szCs w:val="84"/>
        </w:rPr>
      </w:pPr>
      <w:r>
        <w:rPr>
          <w:rFonts w:hint="eastAsia" w:ascii="仿宋" w:hAnsi="仿宋" w:eastAsia="仿宋" w:cs="仿宋"/>
          <w:bCs/>
          <w:color w:val="auto"/>
          <w:kern w:val="0"/>
          <w:sz w:val="32"/>
          <w:szCs w:val="32"/>
          <w:lang w:val="en-US" w:eastAsia="zh-CN" w:bidi="ar-SA"/>
        </w:rPr>
        <w:t>从决算单位构成看，株洲市石峰区统计局2023年部门决算汇总公开单位构成包括：株洲市石峰区统计局本级，我单位没有其他二级决算单位。</w:t>
      </w: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pPr>
        <w:pStyle w:val="18"/>
        <w:jc w:val="center"/>
        <w:rPr>
          <w:rFonts w:ascii="Times New Roman" w:hAnsi="Times New Roman" w:eastAsia="方正小标宋简体" w:cs="Times New Roman"/>
          <w:sz w:val="76"/>
          <w:szCs w:val="76"/>
        </w:rPr>
      </w:pPr>
    </w:p>
    <w:p>
      <w:pPr>
        <w:pStyle w:val="18"/>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pPr>
        <w:rPr>
          <w:rFonts w:ascii="Times New Roman" w:hAnsi="Times New Roman" w:eastAsia="仿宋_GB2312" w:cs="Times New Roman"/>
          <w:sz w:val="72"/>
          <w:szCs w:val="72"/>
        </w:rPr>
      </w:pPr>
    </w:p>
    <w:p>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pPr>
        <w:pStyle w:val="18"/>
        <w:jc w:val="center"/>
        <w:rPr>
          <w:rFonts w:ascii="Times New Roman" w:hAnsi="Times New Roman" w:eastAsia="方正小标宋简体" w:cs="Times New Roman"/>
          <w:sz w:val="76"/>
          <w:szCs w:val="76"/>
        </w:rPr>
      </w:pPr>
    </w:p>
    <w:p>
      <w:pPr>
        <w:pStyle w:val="18"/>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pPr>
        <w:pStyle w:val="18"/>
        <w:numPr>
          <w:ilvl w:val="0"/>
          <w:numId w:val="3"/>
        </w:numPr>
        <w:ind w:firstLine="640" w:firstLineChars="200"/>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收入支出决算总体情况说明</w:t>
      </w:r>
    </w:p>
    <w:p>
      <w:pPr>
        <w:pStyle w:val="18"/>
        <w:numPr>
          <w:ilvl w:val="0"/>
          <w:numId w:val="0"/>
        </w:numPr>
        <w:ind w:firstLine="640" w:firstLineChars="200"/>
        <w:rPr>
          <w:rFonts w:ascii="Times New Roman" w:hAnsi="Times New Roman" w:cs="Times New Roman"/>
          <w:sz w:val="32"/>
          <w:szCs w:val="32"/>
        </w:rPr>
      </w:pPr>
      <w:r>
        <w:rPr>
          <w:rFonts w:hint="eastAsia" w:ascii="仿宋" w:hAnsi="仿宋" w:eastAsia="仿宋"/>
          <w:sz w:val="32"/>
          <w:szCs w:val="32"/>
          <w:lang w:val="en-US" w:eastAsia="zh-CN"/>
        </w:rPr>
        <w:t>2023年度收、支总计423.75万元。与上年相比，增加93.95万元，增加28.49%，主要是因为项目经费增加，增加了全国第五次经济普查经费。</w:t>
      </w:r>
    </w:p>
    <w:p>
      <w:pPr>
        <w:pStyle w:val="18"/>
        <w:spacing w:line="570" w:lineRule="exact"/>
        <w:ind w:firstLine="640" w:firstLineChars="200"/>
        <w:jc w:val="both"/>
        <w:rPr>
          <w:rFonts w:ascii="Times New Roman" w:hAnsi="Times New Roman" w:eastAsia="仿宋_GB2312" w:cs="Times New Roman"/>
          <w:sz w:val="32"/>
          <w:szCs w:val="32"/>
        </w:rPr>
      </w:pPr>
      <w:r>
        <w:rPr>
          <w:rFonts w:ascii="Times New Roman" w:hAnsi="Times New Roman" w:cs="Times New Roman"/>
          <w:sz w:val="32"/>
          <w:szCs w:val="32"/>
        </w:rPr>
        <w:t>二、收入决算情况说明</w:t>
      </w:r>
    </w:p>
    <w:p>
      <w:pPr>
        <w:pStyle w:val="18"/>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2023年度收入合计423.75万元，其中：财政拨款收入409.19万元，占96.56%；上级补助收入0万元，占0%；事业收入0万元，占0%；经营收入0万元，占0%；附属单位上缴收入0万元;其他收入14.56万元，占3.44%。</w:t>
      </w:r>
    </w:p>
    <w:p>
      <w:pPr>
        <w:pStyle w:val="18"/>
        <w:spacing w:line="570" w:lineRule="exact"/>
        <w:ind w:firstLine="640" w:firstLineChars="200"/>
        <w:jc w:val="both"/>
        <w:rPr>
          <w:rFonts w:ascii="Times New Roman" w:hAnsi="Times New Roman" w:eastAsia="仿宋_GB2312" w:cs="Times New Roman"/>
          <w:sz w:val="32"/>
          <w:szCs w:val="32"/>
        </w:rPr>
      </w:pPr>
      <w:r>
        <w:rPr>
          <w:rFonts w:ascii="Times New Roman" w:hAnsi="Times New Roman" w:cs="Times New Roman"/>
          <w:sz w:val="32"/>
          <w:szCs w:val="32"/>
        </w:rPr>
        <w:t>三、支出决算情况说明</w:t>
      </w:r>
    </w:p>
    <w:p>
      <w:pPr>
        <w:pStyle w:val="18"/>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2023年度支出合计423.75元，其中：基本支出322.25万元，占76.05%；项目支出101.50万元，占23.95%。</w:t>
      </w:r>
    </w:p>
    <w:p>
      <w:pPr>
        <w:pStyle w:val="18"/>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四、财政拨款收入支出决算总体情况说明</w:t>
      </w:r>
    </w:p>
    <w:p>
      <w:pPr>
        <w:pStyle w:val="18"/>
        <w:numPr>
          <w:ilvl w:val="0"/>
          <w:numId w:val="0"/>
        </w:numPr>
        <w:ind w:firstLine="640" w:firstLineChars="200"/>
        <w:rPr>
          <w:rFonts w:hint="eastAsia" w:asciiTheme="minorEastAsia" w:hAnsiTheme="minorEastAsia" w:eastAsiaTheme="minorEastAsia"/>
          <w:sz w:val="32"/>
          <w:szCs w:val="32"/>
          <w:lang w:eastAsia="zh-CN"/>
        </w:rPr>
      </w:pPr>
      <w:r>
        <w:rPr>
          <w:rFonts w:hint="eastAsia" w:ascii="仿宋" w:hAnsi="仿宋" w:eastAsia="仿宋"/>
          <w:sz w:val="32"/>
          <w:szCs w:val="32"/>
          <w:lang w:val="en-US" w:eastAsia="zh-CN"/>
        </w:rPr>
        <w:t>2023年度财政拨款收、支总计409.19万元，与上年相比，增加79.39万元,增加24.07%，主要是因为项目经费增加，增加了全国第五次经济普查经费。</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pPr>
        <w:pStyle w:val="8"/>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（一）财政拨款支出决算总体情况</w:t>
      </w:r>
    </w:p>
    <w:p>
      <w:pPr>
        <w:pStyle w:val="18"/>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2023年度财政拨款支出409.19万元，占本年支出合计的100%，与上年相比，财政拨款支出增加79.39万元,增加24.07%，主要是因为项目经费增加，增加了全国第五次经济普查经费。</w:t>
      </w:r>
    </w:p>
    <w:p>
      <w:pPr>
        <w:pStyle w:val="8"/>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（二）财政拨款支出决算结构情况</w:t>
      </w:r>
    </w:p>
    <w:p>
      <w:pPr>
        <w:pStyle w:val="18"/>
        <w:ind w:firstLine="800" w:firstLineChars="250"/>
        <w:rPr>
          <w:rFonts w:hint="eastAsia" w:ascii="仿宋" w:hAnsi="仿宋" w:eastAsia="仿宋"/>
          <w:sz w:val="32"/>
          <w:szCs w:val="32"/>
          <w:lang w:eastAsia="zh-CN"/>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年度财政拨款支出</w:t>
      </w:r>
      <w:r>
        <w:rPr>
          <w:rFonts w:hint="eastAsia" w:ascii="仿宋" w:hAnsi="仿宋" w:eastAsia="仿宋"/>
          <w:sz w:val="32"/>
          <w:szCs w:val="32"/>
          <w:lang w:val="en-US" w:eastAsia="zh-CN"/>
        </w:rPr>
        <w:t>409.19</w:t>
      </w:r>
      <w:r>
        <w:rPr>
          <w:rFonts w:hint="eastAsia" w:ascii="仿宋" w:hAnsi="仿宋" w:eastAsia="仿宋"/>
          <w:sz w:val="32"/>
          <w:szCs w:val="32"/>
        </w:rPr>
        <w:t>万元，主要用于以下方面：一般公共服务（类）支出</w:t>
      </w:r>
      <w:r>
        <w:rPr>
          <w:rFonts w:hint="eastAsia" w:ascii="仿宋" w:hAnsi="仿宋" w:eastAsia="仿宋"/>
          <w:sz w:val="32"/>
          <w:szCs w:val="32"/>
          <w:lang w:val="en-US" w:eastAsia="zh-CN"/>
        </w:rPr>
        <w:t>409.19</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hint="eastAsia" w:ascii="仿宋" w:hAnsi="仿宋" w:eastAsia="仿宋"/>
          <w:sz w:val="32"/>
          <w:szCs w:val="32"/>
        </w:rPr>
        <w:t>%</w:t>
      </w:r>
      <w:r>
        <w:rPr>
          <w:rFonts w:hint="eastAsia" w:ascii="仿宋" w:hAnsi="仿宋" w:eastAsia="仿宋"/>
          <w:sz w:val="32"/>
          <w:szCs w:val="32"/>
          <w:lang w:eastAsia="zh-CN"/>
        </w:rPr>
        <w:t>。</w:t>
      </w:r>
    </w:p>
    <w:p>
      <w:pPr>
        <w:pStyle w:val="8"/>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（三）财政拨款支出决算具体情况</w:t>
      </w:r>
    </w:p>
    <w:p>
      <w:pPr>
        <w:pStyle w:val="18"/>
        <w:ind w:firstLine="800" w:firstLineChars="25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年度财政拨款支出年初预算数为</w:t>
      </w:r>
      <w:r>
        <w:rPr>
          <w:rFonts w:hint="eastAsia" w:ascii="仿宋" w:hAnsi="仿宋" w:eastAsia="仿宋"/>
          <w:sz w:val="32"/>
          <w:szCs w:val="32"/>
          <w:lang w:val="en-US" w:eastAsia="zh-CN"/>
        </w:rPr>
        <w:t>378.59</w:t>
      </w:r>
      <w:r>
        <w:rPr>
          <w:rFonts w:hint="eastAsia" w:ascii="仿宋" w:hAnsi="仿宋" w:eastAsia="仿宋"/>
          <w:sz w:val="32"/>
          <w:szCs w:val="32"/>
        </w:rPr>
        <w:t>万元，支出决算数为</w:t>
      </w:r>
      <w:r>
        <w:rPr>
          <w:rFonts w:hint="eastAsia" w:ascii="仿宋" w:hAnsi="仿宋" w:eastAsia="仿宋"/>
          <w:sz w:val="32"/>
          <w:szCs w:val="32"/>
          <w:lang w:val="en-US" w:eastAsia="zh-CN"/>
        </w:rPr>
        <w:t>409.19</w:t>
      </w:r>
      <w:r>
        <w:rPr>
          <w:rFonts w:hint="eastAsia" w:ascii="仿宋" w:hAnsi="仿宋" w:eastAsia="仿宋"/>
          <w:sz w:val="32"/>
          <w:szCs w:val="32"/>
        </w:rPr>
        <w:t>万元，完成年初预算的</w:t>
      </w:r>
      <w:r>
        <w:rPr>
          <w:rFonts w:hint="eastAsia" w:ascii="仿宋" w:hAnsi="仿宋" w:eastAsia="仿宋"/>
          <w:sz w:val="32"/>
          <w:szCs w:val="32"/>
          <w:lang w:val="en-US" w:eastAsia="zh-CN"/>
        </w:rPr>
        <w:t>108.08</w:t>
      </w:r>
      <w:r>
        <w:rPr>
          <w:rFonts w:hint="eastAsia" w:ascii="仿宋" w:hAnsi="仿宋" w:eastAsia="仿宋"/>
          <w:sz w:val="32"/>
          <w:szCs w:val="32"/>
        </w:rPr>
        <w:t>%，其中：</w:t>
      </w:r>
    </w:p>
    <w:p>
      <w:pPr>
        <w:pStyle w:val="18"/>
        <w:ind w:firstLine="800" w:firstLineChars="250"/>
        <w:rPr>
          <w:rFonts w:hint="eastAsia" w:ascii="仿宋" w:hAnsi="仿宋" w:eastAsia="仿宋"/>
          <w:sz w:val="32"/>
          <w:szCs w:val="32"/>
        </w:rPr>
      </w:pPr>
      <w:r>
        <w:rPr>
          <w:rFonts w:hint="eastAsia" w:ascii="仿宋" w:hAnsi="仿宋" w:eastAsia="仿宋"/>
          <w:sz w:val="32"/>
          <w:szCs w:val="32"/>
        </w:rPr>
        <w:t>1、一般公共服务支出（类）</w:t>
      </w:r>
      <w:r>
        <w:rPr>
          <w:rFonts w:hint="eastAsia" w:ascii="仿宋" w:hAnsi="仿宋" w:eastAsia="仿宋"/>
          <w:sz w:val="32"/>
          <w:szCs w:val="32"/>
          <w:lang w:eastAsia="zh-CN"/>
        </w:rPr>
        <w:t>统计信息事务</w:t>
      </w:r>
      <w:r>
        <w:rPr>
          <w:rFonts w:hint="eastAsia" w:ascii="仿宋" w:hAnsi="仿宋" w:eastAsia="仿宋"/>
          <w:sz w:val="32"/>
          <w:szCs w:val="32"/>
        </w:rPr>
        <w:t>（款）</w:t>
      </w:r>
      <w:r>
        <w:rPr>
          <w:rFonts w:hint="eastAsia" w:ascii="仿宋" w:hAnsi="仿宋" w:eastAsia="仿宋"/>
          <w:sz w:val="32"/>
          <w:szCs w:val="32"/>
          <w:lang w:eastAsia="zh-CN"/>
        </w:rPr>
        <w:t>行政运行</w:t>
      </w:r>
      <w:r>
        <w:rPr>
          <w:rFonts w:hint="eastAsia" w:ascii="仿宋" w:hAnsi="仿宋" w:eastAsia="仿宋"/>
          <w:sz w:val="32"/>
          <w:szCs w:val="32"/>
        </w:rPr>
        <w:t>（项）。</w:t>
      </w:r>
    </w:p>
    <w:p>
      <w:pPr>
        <w:pStyle w:val="18"/>
        <w:ind w:firstLine="800" w:firstLineChars="250"/>
        <w:rPr>
          <w:rFonts w:hint="eastAsia" w:ascii="仿宋" w:hAnsi="仿宋" w:eastAsia="仿宋"/>
          <w:sz w:val="32"/>
          <w:szCs w:val="32"/>
          <w:lang w:eastAsia="zh-CN"/>
        </w:rPr>
      </w:pPr>
      <w:r>
        <w:rPr>
          <w:rFonts w:hint="eastAsia" w:ascii="仿宋" w:hAnsi="仿宋" w:eastAsia="仿宋"/>
          <w:sz w:val="32"/>
          <w:szCs w:val="32"/>
        </w:rPr>
        <w:t>年初预算为</w:t>
      </w:r>
      <w:r>
        <w:rPr>
          <w:rFonts w:hint="eastAsia" w:ascii="仿宋" w:hAnsi="仿宋" w:eastAsia="仿宋"/>
          <w:sz w:val="32"/>
          <w:szCs w:val="32"/>
          <w:lang w:val="en-US" w:eastAsia="zh-CN"/>
        </w:rPr>
        <w:t>288.59</w:t>
      </w:r>
      <w:r>
        <w:rPr>
          <w:rFonts w:hint="eastAsia" w:ascii="仿宋" w:hAnsi="仿宋" w:eastAsia="仿宋"/>
          <w:sz w:val="32"/>
          <w:szCs w:val="32"/>
        </w:rPr>
        <w:t>万元，支出决算为</w:t>
      </w:r>
      <w:r>
        <w:rPr>
          <w:rFonts w:hint="eastAsia" w:ascii="仿宋" w:hAnsi="仿宋" w:eastAsia="仿宋"/>
          <w:sz w:val="32"/>
          <w:szCs w:val="32"/>
          <w:lang w:val="en-US" w:eastAsia="zh-CN"/>
        </w:rPr>
        <w:t>307.69</w:t>
      </w:r>
      <w:r>
        <w:rPr>
          <w:rFonts w:hint="eastAsia" w:ascii="仿宋" w:hAnsi="仿宋" w:eastAsia="仿宋"/>
          <w:sz w:val="32"/>
          <w:szCs w:val="32"/>
        </w:rPr>
        <w:t>万元，完成年初预算的</w:t>
      </w:r>
      <w:r>
        <w:rPr>
          <w:rFonts w:hint="eastAsia" w:ascii="仿宋" w:hAnsi="仿宋" w:eastAsia="仿宋"/>
          <w:sz w:val="32"/>
          <w:szCs w:val="32"/>
          <w:lang w:val="en-US" w:eastAsia="zh-CN"/>
        </w:rPr>
        <w:t>106.62</w:t>
      </w:r>
      <w:r>
        <w:rPr>
          <w:rFonts w:hint="eastAsia" w:ascii="仿宋" w:hAnsi="仿宋" w:eastAsia="仿宋"/>
          <w:sz w:val="32"/>
          <w:szCs w:val="32"/>
        </w:rPr>
        <w:t>%，决算数大于年初预算数的主要原因是：</w:t>
      </w:r>
      <w:r>
        <w:rPr>
          <w:rFonts w:hint="eastAsia" w:ascii="仿宋" w:hAnsi="仿宋" w:eastAsia="仿宋"/>
          <w:sz w:val="32"/>
          <w:szCs w:val="32"/>
          <w:lang w:eastAsia="zh-CN"/>
        </w:rPr>
        <w:t>人员增加，人员经费和保险费增加。</w:t>
      </w:r>
    </w:p>
    <w:p>
      <w:pPr>
        <w:pStyle w:val="18"/>
        <w:ind w:firstLine="800" w:firstLineChars="250"/>
        <w:rPr>
          <w:rFonts w:hint="eastAsia" w:ascii="仿宋" w:hAnsi="仿宋" w:eastAsia="仿宋"/>
          <w:sz w:val="32"/>
          <w:szCs w:val="32"/>
        </w:rPr>
      </w:pPr>
      <w:r>
        <w:rPr>
          <w:rFonts w:hint="eastAsia" w:ascii="仿宋" w:hAnsi="仿宋" w:eastAsia="仿宋"/>
          <w:sz w:val="32"/>
          <w:szCs w:val="32"/>
        </w:rPr>
        <w:t>2、一般公共服务支出（类）</w:t>
      </w:r>
      <w:r>
        <w:rPr>
          <w:rFonts w:hint="eastAsia" w:ascii="仿宋" w:hAnsi="仿宋" w:eastAsia="仿宋"/>
          <w:sz w:val="32"/>
          <w:szCs w:val="32"/>
          <w:lang w:eastAsia="zh-CN"/>
        </w:rPr>
        <w:t>统计信息事务</w:t>
      </w:r>
      <w:r>
        <w:rPr>
          <w:rFonts w:hint="eastAsia" w:ascii="仿宋" w:hAnsi="仿宋" w:eastAsia="仿宋"/>
          <w:sz w:val="32"/>
          <w:szCs w:val="32"/>
        </w:rPr>
        <w:t>（款）</w:t>
      </w:r>
      <w:r>
        <w:rPr>
          <w:rFonts w:hint="eastAsia" w:ascii="仿宋" w:hAnsi="仿宋" w:eastAsia="仿宋"/>
          <w:sz w:val="32"/>
          <w:szCs w:val="32"/>
          <w:lang w:eastAsia="zh-CN"/>
        </w:rPr>
        <w:t>一般行政管理事务（</w:t>
      </w:r>
      <w:r>
        <w:rPr>
          <w:rFonts w:hint="eastAsia" w:ascii="仿宋" w:hAnsi="仿宋" w:eastAsia="仿宋"/>
          <w:sz w:val="32"/>
          <w:szCs w:val="32"/>
        </w:rPr>
        <w:t>项）。</w:t>
      </w:r>
    </w:p>
    <w:p>
      <w:pPr>
        <w:pStyle w:val="18"/>
        <w:ind w:firstLine="800" w:firstLineChars="250"/>
        <w:rPr>
          <w:rFonts w:hint="eastAsia" w:ascii="仿宋" w:hAnsi="仿宋" w:eastAsia="仿宋"/>
          <w:sz w:val="32"/>
          <w:szCs w:val="32"/>
          <w:lang w:eastAsia="zh-CN"/>
        </w:rPr>
      </w:pPr>
      <w:r>
        <w:rPr>
          <w:rFonts w:hint="eastAsia" w:ascii="仿宋" w:hAnsi="仿宋" w:eastAsia="仿宋"/>
          <w:sz w:val="32"/>
          <w:szCs w:val="32"/>
        </w:rPr>
        <w:t>年初预算为</w:t>
      </w:r>
      <w:r>
        <w:rPr>
          <w:rFonts w:hint="eastAsia" w:ascii="仿宋" w:hAnsi="仿宋" w:eastAsia="仿宋"/>
          <w:sz w:val="32"/>
          <w:szCs w:val="32"/>
          <w:lang w:val="en-US" w:eastAsia="zh-CN"/>
        </w:rPr>
        <w:t>0</w:t>
      </w:r>
      <w:r>
        <w:rPr>
          <w:rFonts w:hint="eastAsia" w:ascii="仿宋" w:hAnsi="仿宋" w:eastAsia="仿宋"/>
          <w:sz w:val="32"/>
          <w:szCs w:val="32"/>
        </w:rPr>
        <w:t>万元，支出决算为</w:t>
      </w:r>
      <w:r>
        <w:rPr>
          <w:rFonts w:hint="eastAsia" w:ascii="仿宋" w:hAnsi="仿宋" w:eastAsia="仿宋"/>
          <w:sz w:val="32"/>
          <w:szCs w:val="32"/>
          <w:lang w:val="en-US" w:eastAsia="zh-CN"/>
        </w:rPr>
        <w:t>0.96</w:t>
      </w:r>
      <w:r>
        <w:rPr>
          <w:rFonts w:hint="eastAsia" w:ascii="仿宋" w:hAnsi="仿宋" w:eastAsia="仿宋"/>
          <w:sz w:val="32"/>
          <w:szCs w:val="32"/>
        </w:rPr>
        <w:t>万元，完成年初预算的</w:t>
      </w:r>
      <w:r>
        <w:rPr>
          <w:rFonts w:hint="eastAsia" w:ascii="仿宋" w:hAnsi="仿宋" w:eastAsia="仿宋"/>
          <w:sz w:val="32"/>
          <w:szCs w:val="32"/>
          <w:lang w:val="en-US" w:eastAsia="zh-CN"/>
        </w:rPr>
        <w:t>100</w:t>
      </w:r>
      <w:r>
        <w:rPr>
          <w:rFonts w:hint="eastAsia" w:ascii="仿宋" w:hAnsi="仿宋" w:eastAsia="仿宋"/>
          <w:sz w:val="32"/>
          <w:szCs w:val="32"/>
        </w:rPr>
        <w:t>%，决算数大于年初预算数的主要原因是：</w:t>
      </w:r>
      <w:r>
        <w:rPr>
          <w:rFonts w:hint="eastAsia" w:ascii="仿宋" w:hAnsi="仿宋" w:eastAsia="仿宋"/>
          <w:sz w:val="32"/>
          <w:szCs w:val="32"/>
          <w:lang w:eastAsia="zh-CN"/>
        </w:rPr>
        <w:t>增加了统计项目经费。</w:t>
      </w:r>
    </w:p>
    <w:p>
      <w:pPr>
        <w:pStyle w:val="18"/>
        <w:ind w:firstLine="800" w:firstLineChars="25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、一般公共服务支出（类）</w:t>
      </w:r>
      <w:r>
        <w:rPr>
          <w:rFonts w:hint="eastAsia" w:ascii="仿宋" w:hAnsi="仿宋" w:eastAsia="仿宋"/>
          <w:sz w:val="32"/>
          <w:szCs w:val="32"/>
          <w:lang w:eastAsia="zh-CN"/>
        </w:rPr>
        <w:t>统计信息事务</w:t>
      </w:r>
      <w:r>
        <w:rPr>
          <w:rFonts w:hint="eastAsia" w:ascii="仿宋" w:hAnsi="仿宋" w:eastAsia="仿宋"/>
          <w:sz w:val="32"/>
          <w:szCs w:val="32"/>
        </w:rPr>
        <w:t>（款）</w:t>
      </w:r>
      <w:r>
        <w:rPr>
          <w:rFonts w:hint="eastAsia" w:ascii="仿宋" w:hAnsi="仿宋" w:eastAsia="仿宋"/>
          <w:sz w:val="32"/>
          <w:szCs w:val="32"/>
          <w:lang w:eastAsia="zh-CN"/>
        </w:rPr>
        <w:t>专项普查活动</w:t>
      </w:r>
      <w:r>
        <w:rPr>
          <w:rFonts w:hint="eastAsia" w:ascii="仿宋" w:hAnsi="仿宋" w:eastAsia="仿宋"/>
          <w:sz w:val="32"/>
          <w:szCs w:val="32"/>
        </w:rPr>
        <w:t>（项）。</w:t>
      </w:r>
    </w:p>
    <w:p>
      <w:pPr>
        <w:pStyle w:val="18"/>
        <w:ind w:firstLine="800" w:firstLineChars="250"/>
        <w:rPr>
          <w:rFonts w:hint="eastAsia" w:ascii="仿宋" w:hAnsi="仿宋" w:eastAsia="仿宋"/>
          <w:sz w:val="32"/>
          <w:szCs w:val="32"/>
          <w:lang w:eastAsia="zh-CN"/>
        </w:rPr>
      </w:pPr>
      <w:r>
        <w:rPr>
          <w:rFonts w:hint="eastAsia" w:ascii="仿宋" w:hAnsi="仿宋" w:eastAsia="仿宋"/>
          <w:sz w:val="32"/>
          <w:szCs w:val="32"/>
        </w:rPr>
        <w:t>年初预算为</w:t>
      </w:r>
      <w:r>
        <w:rPr>
          <w:rFonts w:hint="eastAsia" w:ascii="仿宋" w:hAnsi="仿宋" w:eastAsia="仿宋"/>
          <w:sz w:val="32"/>
          <w:szCs w:val="32"/>
          <w:lang w:val="en-US" w:eastAsia="zh-CN"/>
        </w:rPr>
        <w:t>30.00</w:t>
      </w:r>
      <w:r>
        <w:rPr>
          <w:rFonts w:hint="eastAsia" w:ascii="仿宋" w:hAnsi="仿宋" w:eastAsia="仿宋"/>
          <w:sz w:val="32"/>
          <w:szCs w:val="32"/>
        </w:rPr>
        <w:t>万元，支出决算为</w:t>
      </w:r>
      <w:r>
        <w:rPr>
          <w:rFonts w:hint="eastAsia" w:ascii="仿宋" w:hAnsi="仿宋" w:eastAsia="仿宋"/>
          <w:sz w:val="32"/>
          <w:szCs w:val="32"/>
          <w:lang w:val="en-US" w:eastAsia="zh-CN"/>
        </w:rPr>
        <w:t>20.43</w:t>
      </w:r>
      <w:r>
        <w:rPr>
          <w:rFonts w:hint="eastAsia" w:ascii="仿宋" w:hAnsi="仿宋" w:eastAsia="仿宋"/>
          <w:sz w:val="32"/>
          <w:szCs w:val="32"/>
        </w:rPr>
        <w:t>万元，完成年初预算的</w:t>
      </w:r>
      <w:r>
        <w:rPr>
          <w:rFonts w:hint="eastAsia" w:ascii="仿宋" w:hAnsi="仿宋" w:eastAsia="仿宋"/>
          <w:sz w:val="32"/>
          <w:szCs w:val="32"/>
          <w:lang w:val="en-US" w:eastAsia="zh-CN"/>
        </w:rPr>
        <w:t>68.10</w:t>
      </w:r>
      <w:r>
        <w:rPr>
          <w:rFonts w:hint="eastAsia" w:ascii="仿宋" w:hAnsi="仿宋" w:eastAsia="仿宋"/>
          <w:sz w:val="32"/>
          <w:szCs w:val="32"/>
        </w:rPr>
        <w:t>%，决算数</w:t>
      </w:r>
      <w:r>
        <w:rPr>
          <w:rFonts w:hint="eastAsia" w:ascii="仿宋" w:hAnsi="仿宋" w:eastAsia="仿宋"/>
          <w:sz w:val="32"/>
          <w:szCs w:val="32"/>
          <w:lang w:eastAsia="zh-CN"/>
        </w:rPr>
        <w:t>小</w:t>
      </w:r>
      <w:r>
        <w:rPr>
          <w:rFonts w:hint="eastAsia" w:ascii="仿宋" w:hAnsi="仿宋" w:eastAsia="仿宋"/>
          <w:sz w:val="32"/>
          <w:szCs w:val="32"/>
        </w:rPr>
        <w:t>于年初预算数的主要原因是：</w:t>
      </w:r>
      <w:r>
        <w:rPr>
          <w:rFonts w:hint="eastAsia" w:ascii="仿宋" w:hAnsi="仿宋" w:eastAsia="仿宋"/>
          <w:sz w:val="32"/>
          <w:szCs w:val="32"/>
          <w:lang w:eastAsia="zh-CN"/>
        </w:rPr>
        <w:t>厉行节约，减少项目经费。</w:t>
      </w:r>
    </w:p>
    <w:p>
      <w:pPr>
        <w:pStyle w:val="18"/>
        <w:ind w:firstLine="800" w:firstLineChars="25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、一般公共服务支出（类）</w:t>
      </w:r>
      <w:r>
        <w:rPr>
          <w:rFonts w:hint="eastAsia" w:ascii="仿宋" w:hAnsi="仿宋" w:eastAsia="仿宋"/>
          <w:sz w:val="32"/>
          <w:szCs w:val="32"/>
          <w:lang w:eastAsia="zh-CN"/>
        </w:rPr>
        <w:t>统计信息事务</w:t>
      </w:r>
      <w:r>
        <w:rPr>
          <w:rFonts w:hint="eastAsia" w:ascii="仿宋" w:hAnsi="仿宋" w:eastAsia="仿宋"/>
          <w:sz w:val="32"/>
          <w:szCs w:val="32"/>
        </w:rPr>
        <w:t>（款）</w:t>
      </w:r>
      <w:r>
        <w:rPr>
          <w:rFonts w:hint="eastAsia" w:ascii="仿宋" w:hAnsi="仿宋" w:eastAsia="仿宋"/>
          <w:sz w:val="32"/>
          <w:szCs w:val="32"/>
          <w:lang w:eastAsia="zh-CN"/>
        </w:rPr>
        <w:t>其他统计信息事务支出</w:t>
      </w:r>
      <w:r>
        <w:rPr>
          <w:rFonts w:hint="eastAsia" w:ascii="仿宋" w:hAnsi="仿宋" w:eastAsia="仿宋"/>
          <w:sz w:val="32"/>
          <w:szCs w:val="32"/>
        </w:rPr>
        <w:t>（项）。</w:t>
      </w:r>
    </w:p>
    <w:p>
      <w:pPr>
        <w:pStyle w:val="18"/>
        <w:ind w:firstLine="800" w:firstLineChars="250"/>
        <w:rPr>
          <w:rFonts w:hint="eastAsia" w:ascii="仿宋" w:hAnsi="仿宋" w:eastAsia="仿宋"/>
          <w:sz w:val="32"/>
          <w:szCs w:val="32"/>
          <w:lang w:eastAsia="zh-CN"/>
        </w:rPr>
      </w:pPr>
      <w:r>
        <w:rPr>
          <w:rFonts w:hint="eastAsia" w:ascii="仿宋" w:hAnsi="仿宋" w:eastAsia="仿宋"/>
          <w:sz w:val="32"/>
          <w:szCs w:val="32"/>
        </w:rPr>
        <w:t>年初预算为</w:t>
      </w:r>
      <w:r>
        <w:rPr>
          <w:rFonts w:hint="eastAsia" w:ascii="仿宋" w:hAnsi="仿宋" w:eastAsia="仿宋"/>
          <w:sz w:val="32"/>
          <w:szCs w:val="32"/>
          <w:lang w:val="en-US" w:eastAsia="zh-CN"/>
        </w:rPr>
        <w:t>60</w:t>
      </w:r>
      <w:r>
        <w:rPr>
          <w:rFonts w:hint="eastAsia" w:ascii="仿宋" w:hAnsi="仿宋" w:eastAsia="仿宋"/>
          <w:sz w:val="32"/>
          <w:szCs w:val="32"/>
        </w:rPr>
        <w:t>万元，支出决算为</w:t>
      </w:r>
      <w:r>
        <w:rPr>
          <w:rFonts w:hint="eastAsia" w:ascii="仿宋" w:hAnsi="仿宋" w:eastAsia="仿宋"/>
          <w:sz w:val="32"/>
          <w:szCs w:val="32"/>
          <w:lang w:val="en-US" w:eastAsia="zh-CN"/>
        </w:rPr>
        <w:t>80.11</w:t>
      </w:r>
      <w:r>
        <w:rPr>
          <w:rFonts w:hint="eastAsia" w:ascii="仿宋" w:hAnsi="仿宋" w:eastAsia="仿宋"/>
          <w:sz w:val="32"/>
          <w:szCs w:val="32"/>
        </w:rPr>
        <w:t>万元，完成年初预算的</w:t>
      </w:r>
      <w:r>
        <w:rPr>
          <w:rFonts w:hint="eastAsia" w:ascii="仿宋" w:hAnsi="仿宋" w:eastAsia="仿宋"/>
          <w:sz w:val="32"/>
          <w:szCs w:val="32"/>
          <w:lang w:val="en-US" w:eastAsia="zh-CN"/>
        </w:rPr>
        <w:t>133.52</w:t>
      </w:r>
      <w:r>
        <w:rPr>
          <w:rFonts w:hint="eastAsia" w:ascii="仿宋" w:hAnsi="仿宋" w:eastAsia="仿宋"/>
          <w:sz w:val="32"/>
          <w:szCs w:val="32"/>
        </w:rPr>
        <w:t>%，决算数大于年初预算数的主要原因是：</w:t>
      </w:r>
      <w:r>
        <w:rPr>
          <w:rFonts w:hint="eastAsia" w:ascii="仿宋" w:hAnsi="仿宋" w:eastAsia="仿宋"/>
          <w:sz w:val="32"/>
          <w:szCs w:val="32"/>
          <w:lang w:eastAsia="zh-CN"/>
        </w:rPr>
        <w:t>追加统计项目经费及全国第五次经济普查经费。</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六、一般公共预算财政拨款基本支出决算情况说明</w:t>
      </w:r>
    </w:p>
    <w:p>
      <w:pPr>
        <w:pStyle w:val="8"/>
        <w:autoSpaceDE w:val="0"/>
        <w:autoSpaceDN w:val="0"/>
        <w:adjustRightInd w:val="0"/>
        <w:spacing w:line="570" w:lineRule="exact"/>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年度财政拨款基本支出</w:t>
      </w:r>
      <w:r>
        <w:rPr>
          <w:rFonts w:hint="eastAsia" w:ascii="仿宋" w:hAnsi="仿宋" w:eastAsia="仿宋"/>
          <w:sz w:val="32"/>
          <w:szCs w:val="32"/>
          <w:lang w:val="en-US" w:eastAsia="zh-CN"/>
        </w:rPr>
        <w:t>307.69</w:t>
      </w:r>
      <w:r>
        <w:rPr>
          <w:rFonts w:hint="eastAsia" w:ascii="仿宋" w:hAnsi="仿宋" w:eastAsia="仿宋"/>
          <w:sz w:val="32"/>
          <w:szCs w:val="32"/>
        </w:rPr>
        <w:t>万元，其中：人员经费</w:t>
      </w:r>
      <w:r>
        <w:rPr>
          <w:rFonts w:hint="eastAsia" w:ascii="仿宋" w:hAnsi="仿宋" w:eastAsia="仿宋"/>
          <w:sz w:val="32"/>
          <w:szCs w:val="32"/>
          <w:lang w:val="en-US" w:eastAsia="zh-CN"/>
        </w:rPr>
        <w:t>286.43</w:t>
      </w:r>
      <w:r>
        <w:rPr>
          <w:rFonts w:hint="eastAsia" w:ascii="仿宋" w:hAnsi="仿宋" w:eastAsia="仿宋"/>
          <w:sz w:val="32"/>
          <w:szCs w:val="32"/>
        </w:rPr>
        <w:t>万元，占基本支出的</w:t>
      </w:r>
      <w:r>
        <w:rPr>
          <w:rFonts w:hint="eastAsia" w:ascii="仿宋" w:hAnsi="仿宋" w:eastAsia="仿宋"/>
          <w:sz w:val="32"/>
          <w:szCs w:val="32"/>
          <w:lang w:val="en-US" w:eastAsia="zh-CN"/>
        </w:rPr>
        <w:t>93.09</w:t>
      </w:r>
      <w:r>
        <w:rPr>
          <w:rFonts w:hint="eastAsia" w:ascii="仿宋" w:hAnsi="仿宋" w:eastAsia="仿宋"/>
          <w:sz w:val="32"/>
          <w:szCs w:val="32"/>
        </w:rPr>
        <w:t>%,主要包括基本工资、津贴补贴、奖金、、 机关事业单位基本养老保险缴费</w:t>
      </w:r>
      <w:r>
        <w:rPr>
          <w:rFonts w:hint="eastAsia" w:ascii="仿宋" w:hAnsi="仿宋" w:eastAsia="仿宋"/>
          <w:sz w:val="32"/>
          <w:szCs w:val="32"/>
          <w:lang w:eastAsia="zh-CN"/>
        </w:rPr>
        <w:t>、职工基本医疗保险缴费、公务员医疗补助缴费等</w:t>
      </w:r>
      <w:r>
        <w:rPr>
          <w:rFonts w:hint="eastAsia" w:ascii="仿宋" w:hAnsi="仿宋" w:eastAsia="仿宋"/>
          <w:sz w:val="32"/>
          <w:szCs w:val="32"/>
        </w:rPr>
        <w:t>；公用经费</w:t>
      </w:r>
      <w:r>
        <w:rPr>
          <w:rFonts w:hint="eastAsia" w:ascii="仿宋" w:hAnsi="仿宋" w:eastAsia="仿宋"/>
          <w:sz w:val="32"/>
          <w:szCs w:val="32"/>
          <w:lang w:val="en-US" w:eastAsia="zh-CN"/>
        </w:rPr>
        <w:t>21.26</w:t>
      </w:r>
      <w:r>
        <w:rPr>
          <w:rFonts w:hint="eastAsia" w:ascii="仿宋" w:hAnsi="仿宋" w:eastAsia="仿宋"/>
          <w:sz w:val="32"/>
          <w:szCs w:val="32"/>
        </w:rPr>
        <w:t>万元，占基本支出的</w:t>
      </w:r>
      <w:r>
        <w:rPr>
          <w:rFonts w:hint="eastAsia" w:ascii="仿宋" w:hAnsi="仿宋" w:eastAsia="仿宋"/>
          <w:sz w:val="32"/>
          <w:szCs w:val="32"/>
          <w:lang w:val="en-US" w:eastAsia="zh-CN"/>
        </w:rPr>
        <w:t>6.91</w:t>
      </w:r>
      <w:r>
        <w:rPr>
          <w:rFonts w:hint="eastAsia" w:ascii="仿宋" w:hAnsi="仿宋" w:eastAsia="仿宋"/>
          <w:sz w:val="32"/>
          <w:szCs w:val="32"/>
        </w:rPr>
        <w:t>%，主要包括办公费、印刷费、</w:t>
      </w:r>
      <w:r>
        <w:rPr>
          <w:rFonts w:hint="eastAsia" w:ascii="仿宋" w:hAnsi="仿宋" w:eastAsia="仿宋"/>
          <w:sz w:val="32"/>
          <w:szCs w:val="32"/>
          <w:lang w:eastAsia="zh-CN"/>
        </w:rPr>
        <w:t>邮电费、差旅费、培训费、公务接待费、专用材料费、劳务费、委托业务费等</w:t>
      </w:r>
      <w:r>
        <w:rPr>
          <w:rFonts w:hint="eastAsia" w:ascii="仿宋" w:hAnsi="仿宋" w:eastAsia="仿宋"/>
          <w:sz w:val="32"/>
          <w:szCs w:val="32"/>
        </w:rPr>
        <w:t>。</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pPr>
        <w:pStyle w:val="8"/>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pPr>
        <w:pStyle w:val="18"/>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rPr>
        <w:t>2023年度“三公”经费财政拨款支出预算为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万元，决算数等于预算数,其中：</w:t>
      </w:r>
    </w:p>
    <w:p>
      <w:pPr>
        <w:pStyle w:val="18"/>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因公出国（境）费支出预算为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w:t>
      </w:r>
    </w:p>
    <w:p>
      <w:pPr>
        <w:pStyle w:val="18"/>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公务接待费支出预算为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w:t>
      </w:r>
    </w:p>
    <w:p>
      <w:pPr>
        <w:pStyle w:val="18"/>
        <w:ind w:firstLine="800" w:firstLineChars="2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公务用车购置费支出预算为0万元，支出决算为0万元，决算数等于预算数。</w:t>
      </w:r>
    </w:p>
    <w:p>
      <w:pPr>
        <w:pStyle w:val="18"/>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公务用车运行维护费支出预算为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lang w:val="en-US" w:eastAsia="zh-CN"/>
        </w:rPr>
        <w:t>0</w:t>
      </w:r>
      <w:r>
        <w:rPr>
          <w:rFonts w:ascii="Times New Roman" w:hAnsi="Times New Roman" w:eastAsia="仿宋" w:cs="Times New Roman"/>
          <w:sz w:val="32"/>
          <w:szCs w:val="32"/>
          <w:highlight w:val="none"/>
        </w:rPr>
        <w:t>万元，决算数等于预算数。</w:t>
      </w:r>
    </w:p>
    <w:p>
      <w:pPr>
        <w:pStyle w:val="18"/>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8"/>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2023年度“三公”经费财政拨款支出决算中，公务接待费支出决算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万元，因公出国（境）费支出决算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万元，公务用车购置费及运行维护费支出决算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万元。其中：</w:t>
      </w:r>
    </w:p>
    <w:p>
      <w:pPr>
        <w:pStyle w:val="18"/>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1、因公出国（境）费支出决算为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万元，全年安排因公出国（境）团组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个，累计</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 xml:space="preserve">人次。    </w:t>
      </w:r>
    </w:p>
    <w:p>
      <w:pPr>
        <w:pStyle w:val="18"/>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2、公务接待费支出决算为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万元，全年共接待来访团组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个、来宾</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人次。</w:t>
      </w:r>
    </w:p>
    <w:p>
      <w:pPr>
        <w:ind w:firstLine="800" w:firstLineChars="2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3、公务用车购置费及运行维护费支出决算为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万元，其中：公务用车购置费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万元，购置公务用车</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辆。公务用车运行维护费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万元，截止2023年12月31日，我单位开支财政拨款的公务用车保有量为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八、政府性基金预算收入支出决算情况</w:t>
      </w:r>
    </w:p>
    <w:p>
      <w:pPr>
        <w:pStyle w:val="8"/>
        <w:autoSpaceDE w:val="0"/>
        <w:autoSpaceDN w:val="0"/>
        <w:adjustRightInd w:val="0"/>
        <w:spacing w:line="570" w:lineRule="exact"/>
        <w:ind w:firstLine="640" w:firstLineChars="200"/>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2023年度政府性基金预算财政拨款收入0万元；年初结转和结余0万元；支出0万元，其中基本支出0万元，项目支出0万元；年末结转和结余0万元。</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pPr>
        <w:pStyle w:val="8"/>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十、机关运行经费支出说明</w:t>
      </w:r>
    </w:p>
    <w:p>
      <w:pPr>
        <w:pStyle w:val="8"/>
        <w:autoSpaceDE w:val="0"/>
        <w:autoSpaceDN w:val="0"/>
        <w:adjustRightInd w:val="0"/>
        <w:spacing w:line="570" w:lineRule="exact"/>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本部门2023年度机关运行经费支出21.26万元，比上年决算数减少3.61万元，降低16.98%。主要原因是：厉行节约，公用经费减少。</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十一、一般性支出情况说明</w:t>
      </w:r>
    </w:p>
    <w:p>
      <w:pPr>
        <w:pStyle w:val="18"/>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2023年本部门开支会议费0万元，开支培训费0万元。</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十二、政府采购支出说明</w:t>
      </w:r>
    </w:p>
    <w:p>
      <w:pPr>
        <w:pStyle w:val="18"/>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本部门2023年度政府采购支出总额0万元，其中：政府采购货物支出0 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十三、国有资产占用情况说明</w:t>
      </w:r>
    </w:p>
    <w:p>
      <w:pPr>
        <w:pStyle w:val="8"/>
        <w:autoSpaceDE w:val="0"/>
        <w:autoSpaceDN w:val="0"/>
        <w:adjustRightInd w:val="0"/>
        <w:spacing w:line="570" w:lineRule="exact"/>
        <w:ind w:firstLine="640" w:firstLineChars="200"/>
        <w:rPr>
          <w:rFonts w:hint="eastAsia" w:asciiTheme="minorEastAsia" w:hAnsiTheme="minorEastAsia" w:eastAsiaTheme="minorEastAsia"/>
          <w:sz w:val="32"/>
          <w:szCs w:val="32"/>
        </w:rPr>
      </w:pPr>
      <w:r>
        <w:rPr>
          <w:rFonts w:hint="eastAsia" w:ascii="Times New Roman" w:hAnsi="Times New Roman" w:eastAsia="仿宋_GB2312" w:cs="仿宋_GB2312"/>
          <w:color w:val="000000"/>
          <w:kern w:val="0"/>
          <w:sz w:val="32"/>
          <w:szCs w:val="32"/>
          <w:lang w:val="en-US" w:eastAsia="zh-CN" w:bidi="ar-SA"/>
        </w:rPr>
        <w:t>截至2023年12月31日，部门（单位）共有车辆0辆，其中，主要领导干部用车0辆，机要通信用车0辆、应急保障用车0辆、执法执勤用车0辆、特种专业技术用车0辆、其他用车0辆；单位价值50万元以上通用设备0台（套）；单位价值100万元以上专用设备0台（套）</w:t>
      </w:r>
      <w:r>
        <w:rPr>
          <w:rFonts w:hint="eastAsia" w:asciiTheme="minorEastAsia" w:hAnsiTheme="minorEastAsia" w:eastAsiaTheme="minorEastAsia"/>
          <w:sz w:val="32"/>
          <w:szCs w:val="32"/>
        </w:rPr>
        <w:t>。</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pPr>
        <w:pStyle w:val="8"/>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（一）绩效管理评价工作开展情况。</w:t>
      </w:r>
    </w:p>
    <w:p>
      <w:pPr>
        <w:autoSpaceDE w:val="0"/>
        <w:autoSpaceDN w:val="0"/>
        <w:adjustRightInd w:val="0"/>
        <w:ind w:firstLine="640" w:firstLineChars="200"/>
        <w:jc w:val="left"/>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根据预算绩效管理要求，我部门组织对2023年度一般公共预算项目支出全面开展绩效自评，其中，一级项目2个，二级项目0 个，共涉及资金101.50万元，占一般公共预算项目支出总额的100%。组织对“</w:t>
      </w:r>
      <w:r>
        <w:rPr>
          <w:rFonts w:hint="eastAsia" w:ascii="Times New Roman" w:hAnsi="Times New Roman" w:eastAsia="仿宋_GB2312" w:cs="Times New Roman"/>
          <w:color w:val="auto"/>
          <w:sz w:val="32"/>
          <w:szCs w:val="32"/>
          <w:lang w:eastAsia="zh-CN"/>
        </w:rPr>
        <w:t>统计专项经费</w:t>
      </w:r>
      <w:r>
        <w:rPr>
          <w:rFonts w:hint="eastAsia" w:ascii="Times New Roman" w:hAnsi="Times New Roman" w:eastAsia="仿宋_GB2312" w:cs="仿宋_GB2312"/>
          <w:color w:val="000000"/>
          <w:kern w:val="0"/>
          <w:sz w:val="32"/>
          <w:szCs w:val="32"/>
          <w:lang w:val="en-US" w:eastAsia="zh-CN" w:bidi="ar-SA"/>
        </w:rPr>
        <w:t>”“</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全国第五次经济普查工作经费</w:t>
      </w:r>
      <w:r>
        <w:rPr>
          <w:rFonts w:hint="default" w:ascii="Times New Roman" w:hAnsi="Times New Roman" w:eastAsia="仿宋_GB2312" w:cs="Times New Roman"/>
          <w:color w:val="auto"/>
          <w:sz w:val="32"/>
          <w:szCs w:val="32"/>
        </w:rPr>
        <w:t>”</w:t>
      </w:r>
      <w:r>
        <w:rPr>
          <w:rFonts w:hint="eastAsia" w:ascii="Times New Roman" w:hAnsi="Times New Roman" w:eastAsia="仿宋_GB2312" w:cs="仿宋_GB2312"/>
          <w:color w:val="000000"/>
          <w:kern w:val="0"/>
          <w:sz w:val="32"/>
          <w:szCs w:val="32"/>
          <w:lang w:val="en-US" w:eastAsia="zh-CN" w:bidi="ar-SA"/>
        </w:rPr>
        <w:t>”等2 个项目开展了部门评价，涉及一般公共预算支出101.50万元。</w:t>
      </w:r>
    </w:p>
    <w:p>
      <w:pPr>
        <w:pStyle w:val="8"/>
        <w:autoSpaceDE w:val="0"/>
        <w:autoSpaceDN w:val="0"/>
        <w:adjustRightInd w:val="0"/>
        <w:spacing w:line="570"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color w:val="000000"/>
          <w:kern w:val="0"/>
          <w:sz w:val="32"/>
          <w:szCs w:val="32"/>
        </w:rPr>
        <w:t>（二）部门评价项目绩效评价结果。</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对应年初预算申报及年中预算调整的子项目分别描述绩效情况（可单独提供项目绩效评价报告），格式参考如下：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统计专项经费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60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9.32</w:t>
      </w:r>
      <w:r>
        <w:rPr>
          <w:rFonts w:hint="default" w:ascii="Times New Roman" w:hAnsi="Times New Roman" w:eastAsia="仿宋_GB2312" w:cs="Times New Roman"/>
          <w:color w:val="auto"/>
          <w:sz w:val="32"/>
          <w:szCs w:val="32"/>
        </w:rPr>
        <w:t>万元，年中调减</w:t>
      </w:r>
      <w:r>
        <w:rPr>
          <w:rFonts w:hint="eastAsia" w:ascii="Times New Roman" w:hAnsi="Times New Roman" w:eastAsia="仿宋_GB2312" w:cs="Times New Roman"/>
          <w:color w:val="auto"/>
          <w:sz w:val="32"/>
          <w:szCs w:val="32"/>
          <w:lang w:val="en-US" w:eastAsia="zh-CN"/>
        </w:rPr>
        <w:t>1.53</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w:t>
      </w:r>
      <w:r>
        <w:rPr>
          <w:rFonts w:hint="eastAsia" w:ascii="Times New Roman" w:hAnsi="Times New Roman" w:eastAsia="仿宋_GB2312" w:cs="Times New Roman"/>
          <w:color w:val="auto"/>
          <w:sz w:val="32"/>
          <w:szCs w:val="32"/>
          <w:lang w:val="en-US" w:eastAsia="zh-CN"/>
        </w:rPr>
        <w:t>23.05万元，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81.07</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9.77</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统计专项经费项目</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81.07</w:t>
      </w:r>
      <w:r>
        <w:rPr>
          <w:rFonts w:hint="default" w:ascii="Times New Roman" w:hAnsi="Times New Roman" w:eastAsia="仿宋_GB2312" w:cs="Times New Roman"/>
          <w:color w:val="auto"/>
          <w:sz w:val="32"/>
          <w:szCs w:val="32"/>
        </w:rPr>
        <w:t>万元，</w:t>
      </w:r>
      <w:r>
        <w:rPr>
          <w:rFonts w:hint="eastAsia" w:ascii="仿宋_GB2312" w:eastAsia="仿宋_GB2312"/>
          <w:color w:val="auto"/>
          <w:sz w:val="32"/>
          <w:szCs w:val="32"/>
        </w:rPr>
        <w:t>主要用于开展国家、省、市统计局调查制度统计及各类调查，提供大量的统计数字和统计分析所发生的费用</w:t>
      </w:r>
      <w:r>
        <w:rPr>
          <w:rFonts w:hint="eastAsia" w:ascii="仿宋_GB2312" w:eastAsia="仿宋_GB2312"/>
          <w:color w:val="auto"/>
          <w:sz w:val="32"/>
          <w:szCs w:val="32"/>
          <w:lang w:eastAsia="zh-CN"/>
        </w:rPr>
        <w:t>。</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全国第五次经济普查工作经费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6.09</w:t>
      </w:r>
      <w:r>
        <w:rPr>
          <w:rFonts w:hint="default" w:ascii="Times New Roman" w:hAnsi="Times New Roman" w:eastAsia="仿宋_GB2312" w:cs="Times New Roman"/>
          <w:color w:val="auto"/>
          <w:sz w:val="32"/>
          <w:szCs w:val="32"/>
        </w:rPr>
        <w:t>万元，年中调减</w:t>
      </w:r>
      <w:r>
        <w:rPr>
          <w:rFonts w:hint="eastAsia" w:ascii="Times New Roman" w:hAnsi="Times New Roman" w:eastAsia="仿宋_GB2312" w:cs="Times New Roman"/>
          <w:color w:val="auto"/>
          <w:sz w:val="32"/>
          <w:szCs w:val="32"/>
          <w:lang w:val="en-US" w:eastAsia="zh-CN"/>
        </w:rPr>
        <w:t>34.57</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w:t>
      </w:r>
      <w:r>
        <w:rPr>
          <w:rFonts w:hint="eastAsia" w:ascii="Times New Roman" w:hAnsi="Times New Roman" w:eastAsia="仿宋_GB2312" w:cs="Times New Roman"/>
          <w:color w:val="auto"/>
          <w:sz w:val="32"/>
          <w:szCs w:val="32"/>
          <w:lang w:val="en-US" w:eastAsia="zh-CN"/>
        </w:rPr>
        <w:t>35.00万元，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20.43</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16.09</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全国第五次经济普查工作经费项目</w:t>
      </w:r>
    </w:p>
    <w:p>
      <w:pPr>
        <w:pStyle w:val="8"/>
        <w:autoSpaceDE w:val="0"/>
        <w:autoSpaceDN w:val="0"/>
        <w:adjustRightInd w:val="0"/>
        <w:spacing w:line="570" w:lineRule="exact"/>
        <w:ind w:firstLine="640" w:firstLineChars="200"/>
        <w:rPr>
          <w:rFonts w:hint="eastAsia" w:ascii="仿宋_GB2312" w:eastAsia="仿宋_GB2312"/>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20.43</w:t>
      </w:r>
      <w:r>
        <w:rPr>
          <w:rFonts w:hint="default" w:ascii="Times New Roman" w:hAnsi="Times New Roman" w:eastAsia="仿宋_GB2312" w:cs="Times New Roman"/>
          <w:color w:val="auto"/>
          <w:sz w:val="32"/>
          <w:szCs w:val="32"/>
        </w:rPr>
        <w:t>万元，</w:t>
      </w:r>
      <w:r>
        <w:rPr>
          <w:rFonts w:hint="eastAsia" w:ascii="仿宋_GB2312" w:eastAsia="仿宋_GB2312"/>
          <w:color w:val="auto"/>
          <w:sz w:val="32"/>
          <w:szCs w:val="32"/>
        </w:rPr>
        <w:t>主要用于</w:t>
      </w:r>
      <w:r>
        <w:rPr>
          <w:rFonts w:hint="eastAsia" w:ascii="仿宋_GB2312" w:eastAsia="仿宋_GB2312"/>
          <w:color w:val="auto"/>
          <w:sz w:val="32"/>
          <w:szCs w:val="32"/>
          <w:lang w:eastAsia="zh-CN"/>
        </w:rPr>
        <w:t>全面掌握第二产业和第三产业的发展规模、结构和效益等信息，建立健全覆盖国民经济各个行业的名录库及其数据库系统。</w:t>
      </w:r>
    </w:p>
    <w:p>
      <w:pPr>
        <w:pStyle w:val="8"/>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bookmarkStart w:id="0" w:name="_GoBack"/>
      <w:bookmarkEnd w:id="0"/>
    </w:p>
    <w:p>
      <w:pPr>
        <w:pStyle w:val="18"/>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pPr>
        <w:pStyle w:val="18"/>
        <w:jc w:val="center"/>
        <w:rPr>
          <w:rFonts w:ascii="Times New Roman" w:hAnsi="Times New Roman" w:eastAsia="方正小标宋简体" w:cs="Times New Roman"/>
          <w:sz w:val="76"/>
          <w:szCs w:val="76"/>
        </w:rPr>
      </w:pPr>
    </w:p>
    <w:p>
      <w:pPr>
        <w:pStyle w:val="18"/>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pPr>
        <w:pStyle w:val="18"/>
        <w:jc w:val="both"/>
        <w:rPr>
          <w:rFonts w:hint="eastAsia" w:ascii="Times New Roman" w:hAnsi="Times New Roman" w:cs="Times New Roman"/>
          <w:sz w:val="72"/>
          <w:szCs w:val="72"/>
        </w:rPr>
      </w:pPr>
    </w:p>
    <w:p>
      <w:pPr>
        <w:pStyle w:val="18"/>
        <w:jc w:val="both"/>
        <w:rPr>
          <w:rFonts w:ascii="Times New Roman" w:hAnsi="Times New Roman" w:cs="Times New Roman"/>
          <w:sz w:val="84"/>
          <w:szCs w:val="84"/>
        </w:rPr>
      </w:pPr>
    </w:p>
    <w:p>
      <w:pPr>
        <w:pStyle w:val="18"/>
        <w:jc w:val="both"/>
        <w:rPr>
          <w:rFonts w:ascii="Times New Roman" w:hAnsi="Times New Roman" w:cs="Times New Roman"/>
          <w:sz w:val="84"/>
          <w:szCs w:val="84"/>
        </w:rPr>
      </w:pPr>
    </w:p>
    <w:p>
      <w:pPr>
        <w:pStyle w:val="18"/>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pPr>
        <w:pStyle w:val="18"/>
        <w:jc w:val="center"/>
        <w:rPr>
          <w:rFonts w:ascii="Times New Roman" w:hAnsi="Times New Roman" w:eastAsia="方正小标宋简体" w:cs="Times New Roman"/>
          <w:sz w:val="56"/>
          <w:szCs w:val="56"/>
        </w:rPr>
      </w:pPr>
    </w:p>
    <w:p>
      <w:pPr>
        <w:pStyle w:val="18"/>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pPr>
        <w:pStyle w:val="18"/>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pPr>
        <w:pStyle w:val="18"/>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年度部门整体支出绩效</w:t>
      </w:r>
      <w:r>
        <w:rPr>
          <w:rFonts w:hint="eastAsia" w:ascii="Times New Roman" w:hAnsi="Times New Roman" w:eastAsia="方正小标宋简体" w:cs="Times New Roman"/>
          <w:sz w:val="44"/>
          <w:szCs w:val="44"/>
          <w:lang w:eastAsia="zh-CN"/>
        </w:rPr>
        <w:t>自评报告</w:t>
      </w:r>
    </w:p>
    <w:p>
      <w:pPr>
        <w:pStyle w:val="18"/>
        <w:spacing w:line="596" w:lineRule="exact"/>
        <w:jc w:val="center"/>
        <w:rPr>
          <w:rFonts w:hint="eastAsia" w:ascii="Times New Roman" w:hAnsi="Times New Roman" w:eastAsia="方正小标宋简体" w:cs="Times New Roman"/>
          <w:sz w:val="32"/>
          <w:szCs w:val="32"/>
          <w:lang w:eastAsia="zh-CN"/>
        </w:rPr>
      </w:pPr>
    </w:p>
    <w:p>
      <w:pPr>
        <w:pStyle w:val="18"/>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6"/>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2E3A9F"/>
    <w:multiLevelType w:val="singleLevel"/>
    <w:tmpl w:val="942E3A9F"/>
    <w:lvl w:ilvl="0" w:tentative="0">
      <w:start w:val="2"/>
      <w:numFmt w:val="chineseCounting"/>
      <w:suff w:val="nothing"/>
      <w:lvlText w:val="（%1）"/>
      <w:lvlJc w:val="left"/>
      <w:rPr>
        <w:rFonts w:hint="eastAsia"/>
      </w:rPr>
    </w:lvl>
  </w:abstractNum>
  <w:abstractNum w:abstractNumId="1">
    <w:nsid w:val="B0AE70BA"/>
    <w:multiLevelType w:val="singleLevel"/>
    <w:tmpl w:val="B0AE70BA"/>
    <w:lvl w:ilvl="0" w:tentative="0">
      <w:start w:val="1"/>
      <w:numFmt w:val="chineseCounting"/>
      <w:suff w:val="nothing"/>
      <w:lvlText w:val="%1、"/>
      <w:lvlJc w:val="left"/>
      <w:rPr>
        <w:rFonts w:hint="eastAsia"/>
      </w:rPr>
    </w:lvl>
  </w:abstractNum>
  <w:abstractNum w:abstractNumId="2">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wNjFlYzQ2YjlhNWJkYTAzNzUyYzZkMTQzM2M4M2I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8C1D30"/>
    <w:rsid w:val="06915006"/>
    <w:rsid w:val="074B4B9D"/>
    <w:rsid w:val="0751274D"/>
    <w:rsid w:val="07634BF4"/>
    <w:rsid w:val="07A77932"/>
    <w:rsid w:val="08F14AE1"/>
    <w:rsid w:val="09A5548D"/>
    <w:rsid w:val="0B567F72"/>
    <w:rsid w:val="0C7C6B53"/>
    <w:rsid w:val="0D3F15F5"/>
    <w:rsid w:val="0E067890"/>
    <w:rsid w:val="0EF6245F"/>
    <w:rsid w:val="11E43B98"/>
    <w:rsid w:val="13692089"/>
    <w:rsid w:val="18985D2F"/>
    <w:rsid w:val="18FA38C9"/>
    <w:rsid w:val="1B323160"/>
    <w:rsid w:val="1B714E5F"/>
    <w:rsid w:val="1E532BCB"/>
    <w:rsid w:val="1EBE63A2"/>
    <w:rsid w:val="1F041D62"/>
    <w:rsid w:val="1F6317DE"/>
    <w:rsid w:val="1F745786"/>
    <w:rsid w:val="21B1218A"/>
    <w:rsid w:val="238B2E7B"/>
    <w:rsid w:val="286415E4"/>
    <w:rsid w:val="2AD95BF4"/>
    <w:rsid w:val="2CCC6219"/>
    <w:rsid w:val="2F101369"/>
    <w:rsid w:val="321612FC"/>
    <w:rsid w:val="32B56379"/>
    <w:rsid w:val="38090922"/>
    <w:rsid w:val="383A3034"/>
    <w:rsid w:val="38D75D21"/>
    <w:rsid w:val="395219B1"/>
    <w:rsid w:val="46BE0A2A"/>
    <w:rsid w:val="472236C4"/>
    <w:rsid w:val="47867568"/>
    <w:rsid w:val="47C05439"/>
    <w:rsid w:val="4B1C68ED"/>
    <w:rsid w:val="4B8003CD"/>
    <w:rsid w:val="4ED3727A"/>
    <w:rsid w:val="4F976C0B"/>
    <w:rsid w:val="523F5138"/>
    <w:rsid w:val="538D47D7"/>
    <w:rsid w:val="538E105C"/>
    <w:rsid w:val="53BF69FD"/>
    <w:rsid w:val="54763531"/>
    <w:rsid w:val="591A5257"/>
    <w:rsid w:val="5D2E7409"/>
    <w:rsid w:val="60841B7E"/>
    <w:rsid w:val="635D15B9"/>
    <w:rsid w:val="63DE7C1A"/>
    <w:rsid w:val="64714AD2"/>
    <w:rsid w:val="64857E64"/>
    <w:rsid w:val="65965345"/>
    <w:rsid w:val="65F04BE5"/>
    <w:rsid w:val="6A484E25"/>
    <w:rsid w:val="6E0F6D2F"/>
    <w:rsid w:val="6EAE4254"/>
    <w:rsid w:val="72C74509"/>
    <w:rsid w:val="739E05EA"/>
    <w:rsid w:val="74205B29"/>
    <w:rsid w:val="75F714AD"/>
    <w:rsid w:val="78081C98"/>
    <w:rsid w:val="7C573495"/>
    <w:rsid w:val="7DC2177C"/>
    <w:rsid w:val="7EAA7C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style>
  <w:style w:type="paragraph" w:styleId="3">
    <w:name w:val="Body Text"/>
    <w:basedOn w:val="1"/>
    <w:link w:val="14"/>
    <w:qFormat/>
    <w:uiPriority w:val="99"/>
    <w:pPr>
      <w:spacing w:before="100" w:beforeAutospacing="1" w:after="120"/>
    </w:pPr>
    <w:rPr>
      <w:rFonts w:ascii="Times New Roman" w:hAnsi="Times New Roman" w:cs="Times New Roman"/>
    </w:rPr>
  </w:style>
  <w:style w:type="paragraph" w:styleId="4">
    <w:name w:val="Body Text Indent"/>
    <w:basedOn w:val="1"/>
    <w:qFormat/>
    <w:uiPriority w:val="0"/>
    <w:pPr>
      <w:spacing w:after="120"/>
      <w:ind w:left="420" w:leftChars="200"/>
    </w:pPr>
  </w:style>
  <w:style w:type="paragraph" w:styleId="5">
    <w:name w:val="Balloon Text"/>
    <w:basedOn w:val="1"/>
    <w:link w:val="15"/>
    <w:semiHidden/>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paragraph" w:styleId="9">
    <w:name w:val="Body Text First Indent 2"/>
    <w:basedOn w:val="4"/>
    <w:qFormat/>
    <w:uiPriority w:val="0"/>
    <w:pPr>
      <w:ind w:firstLine="420" w:firstLineChars="200"/>
    </w:pPr>
    <w:rPr>
      <w:rFonts w:ascii="Calibri" w:hAnsi="Calibri"/>
      <w:szCs w:val="24"/>
    </w:rPr>
  </w:style>
  <w:style w:type="character" w:styleId="12">
    <w:name w:val="annotation reference"/>
    <w:basedOn w:val="11"/>
    <w:semiHidden/>
    <w:qFormat/>
    <w:uiPriority w:val="99"/>
    <w:rPr>
      <w:sz w:val="21"/>
      <w:szCs w:val="21"/>
    </w:rPr>
  </w:style>
  <w:style w:type="character" w:customStyle="1" w:styleId="13">
    <w:name w:val="批注文字 Char"/>
    <w:basedOn w:val="11"/>
    <w:link w:val="2"/>
    <w:semiHidden/>
    <w:qFormat/>
    <w:locked/>
    <w:uiPriority w:val="99"/>
    <w:rPr>
      <w:rFonts w:ascii="Calibri" w:hAnsi="Calibri" w:cs="Calibri"/>
      <w:sz w:val="21"/>
      <w:szCs w:val="21"/>
    </w:rPr>
  </w:style>
  <w:style w:type="character" w:customStyle="1" w:styleId="14">
    <w:name w:val="正文文本 Char"/>
    <w:basedOn w:val="11"/>
    <w:link w:val="3"/>
    <w:qFormat/>
    <w:locked/>
    <w:uiPriority w:val="99"/>
    <w:rPr>
      <w:rFonts w:eastAsia="宋体"/>
      <w:kern w:val="2"/>
      <w:sz w:val="21"/>
      <w:szCs w:val="21"/>
      <w:lang w:val="en-US" w:eastAsia="zh-CN"/>
    </w:rPr>
  </w:style>
  <w:style w:type="character" w:customStyle="1" w:styleId="15">
    <w:name w:val="批注框文本 Char"/>
    <w:basedOn w:val="11"/>
    <w:link w:val="5"/>
    <w:semiHidden/>
    <w:qFormat/>
    <w:locked/>
    <w:uiPriority w:val="99"/>
    <w:rPr>
      <w:sz w:val="18"/>
      <w:szCs w:val="18"/>
    </w:rPr>
  </w:style>
  <w:style w:type="character" w:customStyle="1" w:styleId="16">
    <w:name w:val="页脚 Char"/>
    <w:basedOn w:val="11"/>
    <w:link w:val="6"/>
    <w:qFormat/>
    <w:locked/>
    <w:uiPriority w:val="99"/>
    <w:rPr>
      <w:sz w:val="18"/>
      <w:szCs w:val="18"/>
    </w:rPr>
  </w:style>
  <w:style w:type="character" w:customStyle="1" w:styleId="17">
    <w:name w:val="页眉 Char"/>
    <w:basedOn w:val="11"/>
    <w:link w:val="7"/>
    <w:qFormat/>
    <w:locked/>
    <w:uiPriority w:val="99"/>
    <w:rPr>
      <w:sz w:val="18"/>
      <w:szCs w:val="18"/>
    </w:rPr>
  </w:style>
  <w:style w:type="paragraph" w:customStyle="1" w:styleId="1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9">
    <w:name w:val="List Paragraph"/>
    <w:basedOn w:val="1"/>
    <w:qFormat/>
    <w:uiPriority w:val="99"/>
    <w:pPr>
      <w:ind w:firstLine="420" w:firstLineChars="200"/>
    </w:pPr>
  </w:style>
  <w:style w:type="paragraph" w:customStyle="1" w:styleId="20">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1">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4096</Words>
  <Characters>4455</Characters>
  <Lines>56</Lines>
  <Paragraphs>15</Paragraphs>
  <TotalTime>16</TotalTime>
  <ScaleCrop>false</ScaleCrop>
  <LinksUpToDate>false</LinksUpToDate>
  <CharactersWithSpaces>4475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lenovo</cp:lastModifiedBy>
  <cp:lastPrinted>2022-10-11T01:13:00Z</cp:lastPrinted>
  <dcterms:modified xsi:type="dcterms:W3CDTF">2024-11-13T07:54:16Z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D5AABCCCD1FB406CB3573171425540DE</vt:lpwstr>
  </property>
</Properties>
</file>