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Times New Roman" w:hAnsi="Times New Roman" w:cs="Times New Roman"/>
          <w:sz w:val="56"/>
          <w:szCs w:val="56"/>
        </w:rPr>
      </w:pPr>
    </w:p>
    <w:p>
      <w:pPr>
        <w:pStyle w:val="17"/>
        <w:jc w:val="both"/>
        <w:rPr>
          <w:rFonts w:ascii="Times New Roman" w:hAnsi="Times New Roman" w:cs="Times New Roman"/>
          <w:sz w:val="56"/>
          <w:szCs w:val="56"/>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7"/>
        <w:jc w:val="center"/>
        <w:rPr>
          <w:rFonts w:hint="eastAsia" w:ascii="Times New Roman" w:hAnsi="Times New Roman" w:eastAsia="方正小标宋简体" w:cs="方正小标宋简体"/>
          <w:sz w:val="72"/>
          <w:szCs w:val="72"/>
          <w:lang w:eastAsia="zh-CN"/>
        </w:rPr>
      </w:pPr>
      <w:bookmarkStart w:id="0" w:name="_GoBack"/>
      <w:r>
        <w:rPr>
          <w:rFonts w:hint="eastAsia" w:ascii="Times New Roman" w:hAnsi="Times New Roman" w:eastAsia="方正小标宋简体" w:cs="方正小标宋简体"/>
          <w:sz w:val="72"/>
          <w:szCs w:val="72"/>
          <w:lang w:eastAsia="zh-CN"/>
        </w:rPr>
        <w:t>株洲市石峰区物业服务指导中心</w:t>
      </w:r>
    </w:p>
    <w:bookmarkEnd w:id="0"/>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both"/>
        <w:rPr>
          <w:rFonts w:ascii="Times New Roman" w:hAnsi="Times New Roman" w:cs="Times New Roman"/>
          <w:sz w:val="32"/>
          <w:szCs w:val="32"/>
        </w:rPr>
      </w:pPr>
    </w:p>
    <w:p>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eastAsia="zh-CN"/>
        </w:rPr>
        <w:t>株洲市石峰区物业服务指导中心</w:t>
      </w:r>
      <w:r>
        <w:rPr>
          <w:rFonts w:ascii="Times New Roman" w:hAnsi="Times New Roman" w:cs="Times New Roman"/>
          <w:sz w:val="32"/>
          <w:szCs w:val="32"/>
        </w:rPr>
        <w:t>概况</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w w:val="90"/>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hint="eastAsia" w:ascii="Times New Roman" w:hAnsi="Times New Roman" w:eastAsia="方正小标宋简体" w:cs="方正小标宋简体"/>
          <w:sz w:val="74"/>
          <w:szCs w:val="74"/>
          <w:lang w:eastAsia="zh-CN"/>
        </w:rPr>
        <w:t>株洲市石峰区物业服务指导中心</w:t>
      </w:r>
      <w:r>
        <w:rPr>
          <w:rFonts w:ascii="Times New Roman" w:hAnsi="Times New Roman" w:eastAsia="方正小标宋简体" w:cs="Times New Roman"/>
          <w:sz w:val="76"/>
          <w:szCs w:val="76"/>
        </w:rPr>
        <w:t>单位概况</w:t>
      </w:r>
    </w:p>
    <w:p>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spacing w:line="570" w:lineRule="exact"/>
        <w:ind w:firstLine="620"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sz w:val="31"/>
          <w:szCs w:val="31"/>
          <w:shd w:val="clear" w:color="auto" w:fill="FFFFFF"/>
          <w:lang w:val="en-US" w:eastAsia="zh-CN"/>
        </w:rPr>
        <w:t>株洲市石峰区物业服务指导中心</w:t>
      </w:r>
      <w:r>
        <w:rPr>
          <w:rFonts w:hint="eastAsia" w:ascii="仿宋_GB2312" w:eastAsia="仿宋_GB2312" w:cs="仿宋_GB2312"/>
          <w:sz w:val="31"/>
          <w:szCs w:val="31"/>
          <w:shd w:val="clear" w:color="auto" w:fill="FFFFFF"/>
        </w:rPr>
        <w:t>（以下简称</w:t>
      </w:r>
      <w:r>
        <w:rPr>
          <w:rFonts w:hint="eastAsia" w:ascii="仿宋_GB2312" w:eastAsia="仿宋_GB2312" w:cs="仿宋_GB2312"/>
          <w:sz w:val="31"/>
          <w:szCs w:val="31"/>
          <w:shd w:val="clear" w:color="auto" w:fill="FFFFFF"/>
          <w:lang w:val="en-US" w:eastAsia="zh-CN"/>
        </w:rPr>
        <w:t>石峰区物业服务指导中心</w:t>
      </w:r>
      <w:r>
        <w:rPr>
          <w:rFonts w:hint="eastAsia" w:ascii="仿宋_GB2312" w:eastAsia="仿宋_GB2312" w:cs="仿宋_GB2312"/>
          <w:sz w:val="31"/>
          <w:szCs w:val="31"/>
          <w:shd w:val="clear" w:color="auto" w:fill="FFFFFF"/>
        </w:rPr>
        <w:t>）的主要职责是：</w:t>
      </w:r>
    </w:p>
    <w:p>
      <w:pPr>
        <w:spacing w:line="570" w:lineRule="exact"/>
        <w:ind w:firstLine="620"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sz w:val="31"/>
          <w:szCs w:val="31"/>
          <w:shd w:val="clear" w:color="auto" w:fill="FFFFFF"/>
        </w:rPr>
        <w:t>（一）负责指导辖区内物业服务工作，督促指导街道物业工作。负责指导小区物业管理智能化、信息化建设。</w:t>
      </w:r>
    </w:p>
    <w:p>
      <w:pPr>
        <w:spacing w:line="570" w:lineRule="exact"/>
        <w:ind w:firstLine="620"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sz w:val="31"/>
          <w:szCs w:val="31"/>
          <w:shd w:val="clear" w:color="auto" w:fill="FFFFFF"/>
        </w:rPr>
        <w:t>（二）负责对辖区内物业服务质量、物业招投标活动、物业承接查验、物业公司进驻和退出交接活动、房屋专项维修资金使用等事务性工作进行指导、协调。</w:t>
      </w:r>
    </w:p>
    <w:p>
      <w:pPr>
        <w:spacing w:line="570" w:lineRule="exact"/>
        <w:ind w:firstLine="620"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sz w:val="31"/>
          <w:szCs w:val="31"/>
          <w:shd w:val="clear" w:color="auto" w:fill="FFFFFF"/>
        </w:rPr>
        <w:t>（三）指导辖区内各小区业主委员会组建、换届工作，指导物业服务企业信誉升级、物业人员培训，落实物业人员持证上岗制度，开展物业管理企业创优评先推荐工作。</w:t>
      </w:r>
    </w:p>
    <w:p>
      <w:pPr>
        <w:spacing w:line="570" w:lineRule="exact"/>
        <w:ind w:firstLine="620"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sz w:val="31"/>
          <w:szCs w:val="31"/>
          <w:shd w:val="clear" w:color="auto" w:fill="FFFFFF"/>
        </w:rPr>
        <w:t>（四）负责协调处理物业管理中的纠纷、投诉。</w:t>
      </w:r>
    </w:p>
    <w:p>
      <w:pPr>
        <w:spacing w:line="570" w:lineRule="exact"/>
        <w:ind w:firstLine="620"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sz w:val="31"/>
          <w:szCs w:val="31"/>
          <w:shd w:val="clear" w:color="auto" w:fill="FFFFFF"/>
        </w:rPr>
        <w:t>（五）承办住建部门有关住房保障政策落实的事务性工作。</w:t>
      </w:r>
    </w:p>
    <w:p>
      <w:pPr>
        <w:spacing w:line="570" w:lineRule="exact"/>
        <w:ind w:firstLine="620"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sz w:val="31"/>
          <w:szCs w:val="31"/>
          <w:shd w:val="clear" w:color="auto" w:fill="FFFFFF"/>
        </w:rPr>
        <w:t>（六）负责辖区新开发建设物业的前期对接，做好房地产业有关服务工作。完成区委、区政府交办的促进房地产业健康发展协调工作。</w:t>
      </w:r>
    </w:p>
    <w:p>
      <w:pPr>
        <w:widowControl/>
        <w:spacing w:line="600" w:lineRule="exact"/>
        <w:ind w:firstLine="620" w:firstLineChars="200"/>
        <w:rPr>
          <w:rFonts w:hint="eastAsia" w:ascii="仿宋_GB2312" w:eastAsia="仿宋_GB2312" w:cs="仿宋_GB2312"/>
          <w:sz w:val="31"/>
          <w:szCs w:val="31"/>
          <w:highlight w:val="none"/>
          <w:shd w:val="clear" w:color="auto" w:fill="FFFFFF"/>
        </w:rPr>
      </w:pPr>
      <w:r>
        <w:rPr>
          <w:rFonts w:hint="eastAsia" w:ascii="仿宋_GB2312" w:eastAsia="仿宋_GB2312" w:cs="仿宋_GB2312"/>
          <w:sz w:val="31"/>
          <w:szCs w:val="31"/>
          <w:shd w:val="clear" w:color="auto" w:fill="FFFFFF"/>
        </w:rPr>
        <w:t>（七）完成区委、区政</w:t>
      </w:r>
      <w:r>
        <w:rPr>
          <w:rFonts w:hint="eastAsia" w:ascii="仿宋_GB2312" w:eastAsia="仿宋_GB2312" w:cs="仿宋_GB2312"/>
          <w:sz w:val="31"/>
          <w:szCs w:val="31"/>
          <w:highlight w:val="none"/>
          <w:shd w:val="clear" w:color="auto" w:fill="FFFFFF"/>
        </w:rPr>
        <w:t>府和上级有关部门交办的其他工作。</w:t>
      </w:r>
    </w:p>
    <w:p>
      <w:pPr>
        <w:numPr>
          <w:ilvl w:val="0"/>
          <w:numId w:val="1"/>
        </w:numPr>
        <w:overflowPunct w:val="0"/>
        <w:spacing w:line="596" w:lineRule="exact"/>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机构设置及决算单位构成</w:t>
      </w:r>
    </w:p>
    <w:p>
      <w:pPr>
        <w:spacing w:line="570" w:lineRule="exact"/>
        <w:ind w:firstLine="643" w:firstLineChars="200"/>
        <w:jc w:val="left"/>
        <w:rPr>
          <w:rFonts w:hint="eastAsia" w:ascii="仿宋_GB2312" w:eastAsia="仿宋_GB2312" w:cs="仿宋_GB2312"/>
          <w:sz w:val="31"/>
          <w:szCs w:val="31"/>
          <w:highlight w:val="none"/>
          <w:shd w:val="clear" w:color="auto" w:fill="FFFFFF"/>
          <w:lang w:val="en-US" w:eastAsia="zh-CN"/>
        </w:rPr>
      </w:pPr>
      <w:r>
        <w:rPr>
          <w:rFonts w:hint="eastAsia" w:ascii="仿宋" w:hAnsi="仿宋" w:eastAsia="仿宋" w:cs="黑体"/>
          <w:b/>
          <w:bCs/>
          <w:color w:val="000000"/>
          <w:kern w:val="0"/>
          <w:sz w:val="32"/>
          <w:szCs w:val="32"/>
          <w:highlight w:val="none"/>
          <w:lang w:val="en-US" w:eastAsia="zh-CN" w:bidi="ar-SA"/>
        </w:rPr>
        <w:t>（一）内设机</w:t>
      </w:r>
      <w:r>
        <w:rPr>
          <w:rFonts w:hint="eastAsia" w:ascii="仿宋_GB2312" w:eastAsia="仿宋_GB2312" w:cs="仿宋_GB2312"/>
          <w:b/>
          <w:bCs/>
          <w:sz w:val="31"/>
          <w:szCs w:val="31"/>
          <w:highlight w:val="none"/>
          <w:shd w:val="clear" w:color="auto" w:fill="FFFFFF"/>
          <w:lang w:val="en-US" w:eastAsia="zh-CN"/>
        </w:rPr>
        <w:t>构设置。</w:t>
      </w:r>
      <w:r>
        <w:rPr>
          <w:rFonts w:hint="eastAsia" w:ascii="仿宋_GB2312" w:eastAsia="仿宋_GB2312" w:cs="仿宋_GB2312"/>
          <w:sz w:val="31"/>
          <w:szCs w:val="31"/>
          <w:highlight w:val="none"/>
          <w:shd w:val="clear" w:color="auto" w:fill="FFFFFF"/>
        </w:rPr>
        <w:t>株洲市石峰区物业服务指导中心属于石峰区一级预算单位。本部门共有行政编制0名；事业编10名；机关工勤人员编制0名。其中：在职人员</w:t>
      </w:r>
      <w:r>
        <w:rPr>
          <w:rFonts w:hint="eastAsia" w:ascii="仿宋_GB2312" w:eastAsia="仿宋_GB2312" w:cs="仿宋_GB2312"/>
          <w:sz w:val="31"/>
          <w:szCs w:val="31"/>
          <w:highlight w:val="none"/>
          <w:shd w:val="clear" w:color="auto" w:fill="FFFFFF"/>
          <w:lang w:val="en-US" w:eastAsia="zh-CN"/>
        </w:rPr>
        <w:t>9</w:t>
      </w:r>
      <w:r>
        <w:rPr>
          <w:rFonts w:hint="eastAsia" w:ascii="仿宋_GB2312" w:eastAsia="仿宋_GB2312" w:cs="仿宋_GB2312"/>
          <w:sz w:val="31"/>
          <w:szCs w:val="31"/>
          <w:highlight w:val="none"/>
          <w:shd w:val="clear" w:color="auto" w:fill="FFFFFF"/>
        </w:rPr>
        <w:t>人，离休0人，退休</w:t>
      </w:r>
      <w:r>
        <w:rPr>
          <w:rFonts w:hint="eastAsia" w:ascii="仿宋_GB2312" w:eastAsia="仿宋_GB2312" w:cs="仿宋_GB2312"/>
          <w:sz w:val="31"/>
          <w:szCs w:val="31"/>
          <w:highlight w:val="none"/>
          <w:shd w:val="clear" w:color="auto" w:fill="FFFFFF"/>
          <w:lang w:val="en-US" w:eastAsia="zh-CN"/>
        </w:rPr>
        <w:t>1</w:t>
      </w:r>
      <w:r>
        <w:rPr>
          <w:rFonts w:hint="eastAsia" w:ascii="仿宋_GB2312" w:eastAsia="仿宋_GB2312" w:cs="仿宋_GB2312"/>
          <w:sz w:val="31"/>
          <w:szCs w:val="31"/>
          <w:highlight w:val="none"/>
          <w:shd w:val="clear" w:color="auto" w:fill="FFFFFF"/>
        </w:rPr>
        <w:t>人。我单位内设科室</w:t>
      </w:r>
      <w:r>
        <w:rPr>
          <w:rFonts w:hint="eastAsia" w:ascii="仿宋_GB2312" w:eastAsia="仿宋_GB2312" w:cs="仿宋_GB2312"/>
          <w:sz w:val="31"/>
          <w:szCs w:val="31"/>
          <w:highlight w:val="none"/>
          <w:shd w:val="clear" w:color="auto" w:fill="FFFFFF"/>
          <w:lang w:val="en-US" w:eastAsia="zh-CN"/>
        </w:rPr>
        <w:t>3</w:t>
      </w:r>
      <w:r>
        <w:rPr>
          <w:rFonts w:hint="eastAsia" w:ascii="仿宋_GB2312" w:eastAsia="仿宋_GB2312" w:cs="仿宋_GB2312"/>
          <w:sz w:val="31"/>
          <w:szCs w:val="31"/>
          <w:highlight w:val="none"/>
          <w:shd w:val="clear" w:color="auto" w:fill="FFFFFF"/>
        </w:rPr>
        <w:t>个，分别是办公室、物业服务室、房产服务室。全部纳入本年部门决算编制范围。</w:t>
      </w:r>
    </w:p>
    <w:p>
      <w:pPr>
        <w:spacing w:line="570" w:lineRule="exact"/>
        <w:ind w:firstLine="622" w:firstLineChars="200"/>
        <w:jc w:val="left"/>
        <w:rPr>
          <w:rFonts w:hint="eastAsia" w:ascii="仿宋_GB2312" w:eastAsia="仿宋_GB2312" w:cs="仿宋_GB2312"/>
          <w:sz w:val="31"/>
          <w:szCs w:val="31"/>
          <w:shd w:val="clear" w:color="auto" w:fill="FFFFFF"/>
        </w:rPr>
      </w:pPr>
      <w:r>
        <w:rPr>
          <w:rFonts w:hint="eastAsia" w:ascii="仿宋_GB2312" w:eastAsia="仿宋_GB2312" w:cs="仿宋_GB2312"/>
          <w:b/>
          <w:bCs/>
          <w:sz w:val="31"/>
          <w:szCs w:val="31"/>
          <w:shd w:val="clear" w:color="auto" w:fill="FFFFFF"/>
          <w:lang w:val="en-US" w:eastAsia="zh-CN"/>
        </w:rPr>
        <w:t>（二）决算单位构成。</w:t>
      </w:r>
      <w:r>
        <w:rPr>
          <w:rFonts w:hint="eastAsia" w:ascii="仿宋_GB2312" w:eastAsia="仿宋_GB2312" w:cs="仿宋_GB2312"/>
          <w:sz w:val="31"/>
          <w:szCs w:val="31"/>
          <w:shd w:val="clear" w:color="auto" w:fill="FFFFFF"/>
        </w:rPr>
        <w:t>从决算单位构成看，株洲市石峰区物业服务指导中心20</w:t>
      </w:r>
      <w:r>
        <w:rPr>
          <w:rFonts w:hint="eastAsia" w:ascii="仿宋_GB2312" w:eastAsia="仿宋_GB2312" w:cs="仿宋_GB2312"/>
          <w:sz w:val="31"/>
          <w:szCs w:val="31"/>
          <w:shd w:val="clear" w:color="auto" w:fill="FFFFFF"/>
          <w:lang w:val="en-US" w:eastAsia="zh-CN"/>
        </w:rPr>
        <w:t>23</w:t>
      </w:r>
      <w:r>
        <w:rPr>
          <w:rFonts w:hint="eastAsia" w:ascii="仿宋_GB2312" w:eastAsia="仿宋_GB2312" w:cs="仿宋_GB2312"/>
          <w:sz w:val="31"/>
          <w:szCs w:val="31"/>
          <w:shd w:val="clear" w:color="auto" w:fill="FFFFFF"/>
        </w:rPr>
        <w:t>年部门决算汇总公开单位构成包括：株洲市石峰区物业服务指导中心本级，我单位没有其他二级决算单位。</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7"/>
        <w:numPr>
          <w:ilvl w:val="0"/>
          <w:numId w:val="0"/>
        </w:numPr>
        <w:spacing w:line="570" w:lineRule="exact"/>
        <w:jc w:val="both"/>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285.31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7.96</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2.87</w:t>
      </w:r>
      <w:r>
        <w:rPr>
          <w:rFonts w:hint="eastAsia" w:ascii="仿宋" w:hAnsi="仿宋" w:eastAsia="仿宋"/>
          <w:sz w:val="32"/>
          <w:szCs w:val="32"/>
        </w:rPr>
        <w:t>%，主要是因为</w:t>
      </w:r>
      <w:r>
        <w:rPr>
          <w:rFonts w:hint="eastAsia" w:ascii="仿宋" w:hAnsi="仿宋" w:eastAsia="仿宋"/>
          <w:sz w:val="32"/>
          <w:szCs w:val="32"/>
          <w:lang w:eastAsia="zh-CN"/>
        </w:rPr>
        <w:t>新增人员经费。</w:t>
      </w:r>
    </w:p>
    <w:p>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pPr>
        <w:pStyle w:val="17"/>
        <w:numPr>
          <w:ilvl w:val="0"/>
          <w:numId w:val="0"/>
        </w:numPr>
        <w:ind w:firstLine="640" w:firstLineChars="200"/>
        <w:rPr>
          <w:rFonts w:hint="default" w:ascii="Times New Roman" w:hAnsi="Times New Roman" w:eastAsia="黑体" w:cs="Times New Roman"/>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年度收入合计</w:t>
      </w:r>
      <w:r>
        <w:rPr>
          <w:rFonts w:hint="eastAsia" w:ascii="仿宋" w:hAnsi="仿宋" w:eastAsia="仿宋"/>
          <w:sz w:val="32"/>
          <w:szCs w:val="32"/>
          <w:lang w:val="en-US" w:eastAsia="zh-CN"/>
        </w:rPr>
        <w:t>285.31</w:t>
      </w:r>
      <w:r>
        <w:rPr>
          <w:rFonts w:hint="eastAsia" w:ascii="仿宋" w:hAnsi="仿宋" w:eastAsia="仿宋"/>
          <w:sz w:val="32"/>
          <w:szCs w:val="32"/>
        </w:rPr>
        <w:t>万元，其中：财政拨款收入</w:t>
      </w:r>
      <w:r>
        <w:rPr>
          <w:rFonts w:hint="eastAsia" w:ascii="仿宋" w:hAnsi="仿宋" w:eastAsia="仿宋"/>
          <w:sz w:val="32"/>
          <w:szCs w:val="32"/>
          <w:lang w:val="en-US" w:eastAsia="zh-CN"/>
        </w:rPr>
        <w:t>275.91</w:t>
      </w:r>
      <w:r>
        <w:rPr>
          <w:rFonts w:hint="eastAsia" w:ascii="仿宋" w:hAnsi="仿宋" w:eastAsia="仿宋"/>
          <w:sz w:val="32"/>
          <w:szCs w:val="32"/>
        </w:rPr>
        <w:t>万元，占</w:t>
      </w:r>
      <w:r>
        <w:rPr>
          <w:rFonts w:hint="eastAsia" w:ascii="仿宋" w:hAnsi="仿宋" w:eastAsia="仿宋"/>
          <w:sz w:val="32"/>
          <w:szCs w:val="32"/>
          <w:lang w:val="en-US" w:eastAsia="zh-CN"/>
        </w:rPr>
        <w:t>96.71</w:t>
      </w:r>
      <w:r>
        <w:rPr>
          <w:rFonts w:hint="eastAsia" w:ascii="仿宋" w:hAnsi="仿宋" w:eastAsia="仿宋"/>
          <w:sz w:val="32"/>
          <w:szCs w:val="32"/>
        </w:rPr>
        <w:t>%；上级补助收入0万元，占0</w:t>
      </w:r>
      <w:r>
        <w:rPr>
          <w:rFonts w:hint="eastAsia" w:ascii="仿宋" w:hAnsi="仿宋" w:eastAsia="仿宋"/>
          <w:sz w:val="32"/>
          <w:szCs w:val="32"/>
          <w:lang w:val="en-US" w:eastAsia="zh-CN"/>
        </w:rPr>
        <w:t>.0</w:t>
      </w:r>
      <w:r>
        <w:rPr>
          <w:rFonts w:hint="eastAsia" w:ascii="仿宋" w:hAnsi="仿宋" w:eastAsia="仿宋"/>
          <w:sz w:val="32"/>
          <w:szCs w:val="32"/>
        </w:rPr>
        <w:t>%；事业收入0万元，占0</w:t>
      </w:r>
      <w:r>
        <w:rPr>
          <w:rFonts w:hint="eastAsia" w:ascii="仿宋" w:hAnsi="仿宋" w:eastAsia="仿宋"/>
          <w:sz w:val="32"/>
          <w:szCs w:val="32"/>
          <w:lang w:val="en-US" w:eastAsia="zh-CN"/>
        </w:rPr>
        <w:t>.0</w:t>
      </w:r>
      <w:r>
        <w:rPr>
          <w:rFonts w:hint="eastAsia" w:ascii="仿宋" w:hAnsi="仿宋" w:eastAsia="仿宋"/>
          <w:sz w:val="32"/>
          <w:szCs w:val="32"/>
        </w:rPr>
        <w:t>%；经营收入0万元，占</w:t>
      </w:r>
      <w:r>
        <w:rPr>
          <w:rFonts w:hint="eastAsia" w:ascii="仿宋" w:hAnsi="仿宋" w:eastAsia="仿宋"/>
          <w:sz w:val="32"/>
          <w:szCs w:val="32"/>
          <w:lang w:val="en-US" w:eastAsia="zh-CN"/>
        </w:rPr>
        <w:t>0.0</w:t>
      </w:r>
      <w:r>
        <w:rPr>
          <w:rFonts w:hint="eastAsia" w:ascii="仿宋" w:hAnsi="仿宋" w:eastAsia="仿宋"/>
          <w:sz w:val="32"/>
          <w:szCs w:val="32"/>
        </w:rPr>
        <w:t>%；附属单位上缴收入0万元，占0</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9.4</w:t>
      </w:r>
      <w:r>
        <w:rPr>
          <w:rFonts w:hint="eastAsia" w:ascii="仿宋" w:hAnsi="仿宋" w:eastAsia="仿宋"/>
          <w:sz w:val="32"/>
          <w:szCs w:val="32"/>
        </w:rPr>
        <w:t>万元，占</w:t>
      </w:r>
      <w:r>
        <w:rPr>
          <w:rFonts w:hint="eastAsia" w:ascii="仿宋" w:hAnsi="仿宋" w:eastAsia="仿宋"/>
          <w:sz w:val="32"/>
          <w:szCs w:val="32"/>
          <w:lang w:val="en-US" w:eastAsia="zh-CN"/>
        </w:rPr>
        <w:t>3.29</w:t>
      </w:r>
      <w:r>
        <w:rPr>
          <w:rFonts w:hint="eastAsia" w:ascii="仿宋" w:hAnsi="仿宋" w:eastAsia="仿宋"/>
          <w:sz w:val="32"/>
          <w:szCs w:val="32"/>
        </w:rPr>
        <w:t>%。</w:t>
      </w:r>
    </w:p>
    <w:p>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17"/>
        <w:ind w:firstLine="640" w:firstLineChars="200"/>
        <w:rPr>
          <w:rFonts w:hint="default" w:ascii="Times New Roman" w:hAnsi="Times New Roman" w:eastAsia="黑体" w:cs="Times New Roman"/>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年度支出合计</w:t>
      </w:r>
      <w:r>
        <w:rPr>
          <w:rFonts w:hint="eastAsia" w:ascii="仿宋" w:hAnsi="仿宋" w:eastAsia="仿宋"/>
          <w:sz w:val="32"/>
          <w:szCs w:val="32"/>
          <w:lang w:val="en-US" w:eastAsia="zh-CN"/>
        </w:rPr>
        <w:t>285.31</w:t>
      </w:r>
      <w:r>
        <w:rPr>
          <w:rFonts w:hint="eastAsia" w:ascii="仿宋" w:hAnsi="仿宋" w:eastAsia="仿宋"/>
          <w:sz w:val="32"/>
          <w:szCs w:val="32"/>
        </w:rPr>
        <w:t>万元，其中：基本支出</w:t>
      </w:r>
      <w:r>
        <w:rPr>
          <w:rFonts w:hint="eastAsia" w:ascii="仿宋" w:hAnsi="仿宋" w:eastAsia="仿宋"/>
          <w:sz w:val="32"/>
          <w:szCs w:val="32"/>
          <w:lang w:val="en-US" w:eastAsia="zh-CN"/>
        </w:rPr>
        <w:t>182.32</w:t>
      </w:r>
      <w:r>
        <w:rPr>
          <w:rFonts w:hint="eastAsia" w:ascii="仿宋" w:hAnsi="仿宋" w:eastAsia="仿宋"/>
          <w:sz w:val="32"/>
          <w:szCs w:val="32"/>
        </w:rPr>
        <w:t>万元，占</w:t>
      </w:r>
      <w:r>
        <w:rPr>
          <w:rFonts w:hint="eastAsia" w:ascii="仿宋" w:hAnsi="仿宋" w:eastAsia="仿宋"/>
          <w:sz w:val="32"/>
          <w:szCs w:val="32"/>
          <w:lang w:val="en-US" w:eastAsia="zh-CN"/>
        </w:rPr>
        <w:t>63.9</w:t>
      </w:r>
      <w:r>
        <w:rPr>
          <w:rFonts w:hint="eastAsia" w:ascii="仿宋" w:hAnsi="仿宋" w:eastAsia="仿宋"/>
          <w:sz w:val="32"/>
          <w:szCs w:val="32"/>
        </w:rPr>
        <w:t>%；项目支出</w:t>
      </w:r>
      <w:r>
        <w:rPr>
          <w:rFonts w:hint="eastAsia" w:ascii="仿宋" w:hAnsi="仿宋" w:eastAsia="仿宋"/>
          <w:sz w:val="32"/>
          <w:szCs w:val="32"/>
          <w:lang w:val="en-US" w:eastAsia="zh-CN"/>
        </w:rPr>
        <w:t>102.99</w:t>
      </w:r>
      <w:r>
        <w:rPr>
          <w:rFonts w:hint="eastAsia" w:ascii="仿宋" w:hAnsi="仿宋" w:eastAsia="仿宋"/>
          <w:sz w:val="32"/>
          <w:szCs w:val="32"/>
        </w:rPr>
        <w:t>万元，占</w:t>
      </w:r>
      <w:r>
        <w:rPr>
          <w:rFonts w:hint="eastAsia" w:ascii="仿宋" w:hAnsi="仿宋" w:eastAsia="仿宋"/>
          <w:sz w:val="32"/>
          <w:szCs w:val="32"/>
          <w:lang w:val="en-US" w:eastAsia="zh-CN"/>
        </w:rPr>
        <w:t>36.1</w:t>
      </w:r>
      <w:r>
        <w:rPr>
          <w:rFonts w:hint="eastAsia" w:ascii="仿宋" w:hAnsi="仿宋" w:eastAsia="仿宋"/>
          <w:sz w:val="32"/>
          <w:szCs w:val="32"/>
        </w:rPr>
        <w:t>%；上缴上级支出0万元，占0</w:t>
      </w:r>
      <w:r>
        <w:rPr>
          <w:rFonts w:hint="eastAsia" w:ascii="仿宋" w:hAnsi="仿宋" w:eastAsia="仿宋"/>
          <w:sz w:val="32"/>
          <w:szCs w:val="32"/>
          <w:lang w:val="en-US" w:eastAsia="zh-CN"/>
        </w:rPr>
        <w:t>.0</w:t>
      </w:r>
      <w:r>
        <w:rPr>
          <w:rFonts w:hint="eastAsia" w:ascii="仿宋" w:hAnsi="仿宋" w:eastAsia="仿宋"/>
          <w:sz w:val="32"/>
          <w:szCs w:val="32"/>
        </w:rPr>
        <w:t>%；经营支出0万元，占0</w:t>
      </w:r>
      <w:r>
        <w:rPr>
          <w:rFonts w:hint="eastAsia" w:ascii="仿宋" w:hAnsi="仿宋" w:eastAsia="仿宋"/>
          <w:sz w:val="32"/>
          <w:szCs w:val="32"/>
          <w:lang w:val="en-US" w:eastAsia="zh-CN"/>
        </w:rPr>
        <w:t>.0</w:t>
      </w:r>
      <w:r>
        <w:rPr>
          <w:rFonts w:hint="eastAsia" w:ascii="仿宋" w:hAnsi="仿宋" w:eastAsia="仿宋"/>
          <w:sz w:val="32"/>
          <w:szCs w:val="32"/>
        </w:rPr>
        <w:t>%；对附属单位补助支出0万元，占0</w:t>
      </w:r>
      <w:r>
        <w:rPr>
          <w:rFonts w:hint="eastAsia" w:ascii="仿宋" w:hAnsi="仿宋" w:eastAsia="仿宋"/>
          <w:sz w:val="32"/>
          <w:szCs w:val="32"/>
          <w:lang w:val="en-US" w:eastAsia="zh-CN"/>
        </w:rPr>
        <w:t>.0</w:t>
      </w:r>
      <w:r>
        <w:rPr>
          <w:rFonts w:hint="eastAsia" w:ascii="仿宋" w:hAnsi="仿宋" w:eastAsia="仿宋"/>
          <w:sz w:val="32"/>
          <w:szCs w:val="32"/>
        </w:rPr>
        <w:t>%。</w:t>
      </w:r>
    </w:p>
    <w:p>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17"/>
        <w:numPr>
          <w:ilvl w:val="0"/>
          <w:numId w:val="0"/>
        </w:numPr>
        <w:spacing w:line="57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年度财政拨款收、支总计</w:t>
      </w:r>
      <w:r>
        <w:rPr>
          <w:rFonts w:hint="eastAsia" w:ascii="仿宋" w:hAnsi="仿宋" w:eastAsia="仿宋"/>
          <w:sz w:val="32"/>
          <w:szCs w:val="32"/>
          <w:lang w:val="en-US" w:eastAsia="zh-CN"/>
        </w:rPr>
        <w:t>275.91</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3.56</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1.31</w:t>
      </w:r>
      <w:r>
        <w:rPr>
          <w:rFonts w:hint="eastAsia" w:ascii="仿宋" w:hAnsi="仿宋" w:eastAsia="仿宋"/>
          <w:sz w:val="32"/>
          <w:szCs w:val="32"/>
        </w:rPr>
        <w:t>%，主要是因为</w:t>
      </w:r>
      <w:r>
        <w:rPr>
          <w:rFonts w:hint="eastAsia" w:ascii="仿宋" w:hAnsi="仿宋" w:eastAsia="仿宋"/>
          <w:sz w:val="32"/>
          <w:szCs w:val="32"/>
          <w:lang w:eastAsia="zh-CN"/>
        </w:rPr>
        <w:t>新增人员经费。</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7"/>
        <w:numPr>
          <w:ilvl w:val="0"/>
          <w:numId w:val="0"/>
        </w:numPr>
        <w:spacing w:line="570" w:lineRule="exact"/>
        <w:ind w:firstLine="640" w:firstLineChars="200"/>
        <w:jc w:val="both"/>
        <w:rPr>
          <w:rFonts w:ascii="Times New Roman" w:hAnsi="Times New Roman"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275.91</w:t>
      </w:r>
      <w:r>
        <w:rPr>
          <w:rFonts w:hint="eastAsia" w:ascii="仿宋" w:hAnsi="仿宋" w:eastAsia="仿宋"/>
          <w:sz w:val="32"/>
          <w:szCs w:val="32"/>
        </w:rPr>
        <w:t>万元，占本年支出合计的</w:t>
      </w:r>
      <w:r>
        <w:rPr>
          <w:rFonts w:hint="eastAsia" w:ascii="仿宋" w:hAnsi="仿宋" w:eastAsia="仿宋"/>
          <w:sz w:val="32"/>
          <w:szCs w:val="32"/>
          <w:lang w:val="en-US" w:eastAsia="zh-CN"/>
        </w:rPr>
        <w:t>96.71</w:t>
      </w:r>
      <w:r>
        <w:rPr>
          <w:rFonts w:hint="eastAsia" w:ascii="仿宋" w:hAnsi="仿宋" w:eastAsia="仿宋"/>
          <w:sz w:val="32"/>
          <w:szCs w:val="32"/>
        </w:rPr>
        <w:t>%，与上年相比，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3.56</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1.31</w:t>
      </w:r>
      <w:r>
        <w:rPr>
          <w:rFonts w:hint="eastAsia" w:ascii="仿宋" w:hAnsi="仿宋" w:eastAsia="仿宋"/>
          <w:sz w:val="32"/>
          <w:szCs w:val="32"/>
        </w:rPr>
        <w:t>%，主要是因为</w:t>
      </w:r>
      <w:r>
        <w:rPr>
          <w:rFonts w:hint="eastAsia" w:ascii="仿宋" w:hAnsi="仿宋" w:eastAsia="仿宋"/>
          <w:sz w:val="32"/>
          <w:szCs w:val="32"/>
          <w:lang w:eastAsia="zh-CN"/>
        </w:rPr>
        <w:t>新增人员经费。</w:t>
      </w:r>
    </w:p>
    <w:p>
      <w:pPr>
        <w:pStyle w:val="8"/>
        <w:numPr>
          <w:ilvl w:val="0"/>
          <w:numId w:val="3"/>
        </w:numPr>
        <w:autoSpaceDE w:val="0"/>
        <w:autoSpaceDN w:val="0"/>
        <w:adjustRightInd w:val="0"/>
        <w:spacing w:line="570" w:lineRule="exact"/>
        <w:ind w:firstLine="320" w:firstLineChars="1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8"/>
        <w:numPr>
          <w:ilvl w:val="0"/>
          <w:numId w:val="0"/>
        </w:numPr>
        <w:autoSpaceDE w:val="0"/>
        <w:autoSpaceDN w:val="0"/>
        <w:adjustRightInd w:val="0"/>
        <w:spacing w:line="570" w:lineRule="exact"/>
        <w:rPr>
          <w:rFonts w:hint="eastAsia" w:ascii="Times New Roman" w:hAnsi="Times New Roman" w:eastAsia="仿宋"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275.91</w:t>
      </w:r>
      <w:r>
        <w:rPr>
          <w:rFonts w:hint="eastAsia" w:ascii="仿宋" w:hAnsi="仿宋" w:eastAsia="仿宋"/>
          <w:sz w:val="32"/>
          <w:szCs w:val="32"/>
        </w:rPr>
        <w:t>万元，主要用于以下方面：</w:t>
      </w:r>
      <w:r>
        <w:rPr>
          <w:rFonts w:hint="eastAsia" w:ascii="仿宋" w:hAnsi="仿宋" w:eastAsia="仿宋"/>
          <w:sz w:val="32"/>
          <w:szCs w:val="32"/>
          <w:lang w:eastAsia="zh-CN"/>
        </w:rPr>
        <w:t>城乡社区</w:t>
      </w:r>
      <w:r>
        <w:rPr>
          <w:rFonts w:hint="eastAsia" w:ascii="仿宋" w:hAnsi="仿宋" w:eastAsia="仿宋"/>
          <w:sz w:val="32"/>
          <w:szCs w:val="32"/>
        </w:rPr>
        <w:t>（类）支出</w:t>
      </w:r>
      <w:r>
        <w:rPr>
          <w:rFonts w:hint="eastAsia" w:ascii="仿宋" w:hAnsi="仿宋" w:eastAsia="仿宋"/>
          <w:sz w:val="32"/>
          <w:szCs w:val="32"/>
          <w:lang w:val="en-US" w:eastAsia="zh-CN"/>
        </w:rPr>
        <w:t>180.91</w:t>
      </w:r>
      <w:r>
        <w:rPr>
          <w:rFonts w:hint="eastAsia" w:ascii="仿宋" w:hAnsi="仿宋" w:eastAsia="仿宋"/>
          <w:sz w:val="32"/>
          <w:szCs w:val="32"/>
        </w:rPr>
        <w:t>万元，占</w:t>
      </w:r>
      <w:r>
        <w:rPr>
          <w:rFonts w:hint="eastAsia" w:ascii="仿宋" w:hAnsi="仿宋" w:eastAsia="仿宋"/>
          <w:sz w:val="32"/>
          <w:szCs w:val="32"/>
          <w:lang w:val="en-US" w:eastAsia="zh-CN"/>
        </w:rPr>
        <w:t>65.57</w:t>
      </w:r>
      <w:r>
        <w:rPr>
          <w:rFonts w:hint="eastAsia" w:ascii="仿宋" w:hAnsi="仿宋" w:eastAsia="仿宋"/>
          <w:sz w:val="32"/>
          <w:szCs w:val="32"/>
        </w:rPr>
        <w:t>%</w:t>
      </w:r>
      <w:r>
        <w:rPr>
          <w:rFonts w:hint="eastAsia" w:ascii="仿宋" w:hAnsi="仿宋" w:eastAsia="仿宋"/>
          <w:sz w:val="32"/>
          <w:szCs w:val="32"/>
          <w:lang w:eastAsia="zh-CN"/>
        </w:rPr>
        <w:t>；住房保障</w:t>
      </w:r>
      <w:r>
        <w:rPr>
          <w:rFonts w:hint="eastAsia" w:ascii="仿宋" w:hAnsi="仿宋" w:eastAsia="仿宋"/>
          <w:sz w:val="32"/>
          <w:szCs w:val="32"/>
        </w:rPr>
        <w:t>（类）支出</w:t>
      </w:r>
      <w:r>
        <w:rPr>
          <w:rFonts w:hint="eastAsia" w:ascii="仿宋" w:hAnsi="仿宋" w:eastAsia="仿宋"/>
          <w:sz w:val="32"/>
          <w:szCs w:val="32"/>
          <w:lang w:val="en-US" w:eastAsia="zh-CN"/>
        </w:rPr>
        <w:t>95</w:t>
      </w:r>
      <w:r>
        <w:rPr>
          <w:rFonts w:hint="eastAsia" w:ascii="仿宋" w:hAnsi="仿宋" w:eastAsia="仿宋"/>
          <w:sz w:val="32"/>
          <w:szCs w:val="32"/>
        </w:rPr>
        <w:t>万元，占</w:t>
      </w:r>
      <w:r>
        <w:rPr>
          <w:rFonts w:hint="eastAsia" w:ascii="仿宋" w:hAnsi="仿宋" w:eastAsia="仿宋"/>
          <w:sz w:val="32"/>
          <w:szCs w:val="32"/>
          <w:lang w:val="en-US" w:eastAsia="zh-CN"/>
        </w:rPr>
        <w:t>34.43</w:t>
      </w:r>
      <w:r>
        <w:rPr>
          <w:rFonts w:hint="eastAsia" w:ascii="仿宋" w:hAnsi="仿宋" w:eastAsia="仿宋"/>
          <w:sz w:val="32"/>
          <w:szCs w:val="32"/>
        </w:rPr>
        <w:t>%</w:t>
      </w:r>
      <w:r>
        <w:rPr>
          <w:rFonts w:hint="eastAsia" w:ascii="仿宋" w:hAnsi="仿宋" w:eastAsia="仿宋"/>
          <w:sz w:val="32"/>
          <w:szCs w:val="32"/>
          <w:lang w:eastAsia="zh-CN"/>
        </w:rPr>
        <w:t>。</w:t>
      </w:r>
    </w:p>
    <w:p>
      <w:pPr>
        <w:pStyle w:val="8"/>
        <w:numPr>
          <w:ilvl w:val="0"/>
          <w:numId w:val="3"/>
        </w:numPr>
        <w:autoSpaceDE w:val="0"/>
        <w:autoSpaceDN w:val="0"/>
        <w:adjustRightInd w:val="0"/>
        <w:spacing w:line="570" w:lineRule="exact"/>
        <w:ind w:left="0" w:leftChars="0" w:firstLine="320" w:firstLineChars="1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17"/>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年度财政拨款支出年初预算数为</w:t>
      </w:r>
      <w:r>
        <w:rPr>
          <w:rFonts w:hint="eastAsia" w:ascii="仿宋" w:hAnsi="仿宋" w:eastAsia="仿宋"/>
          <w:sz w:val="32"/>
          <w:szCs w:val="32"/>
          <w:lang w:val="en-US" w:eastAsia="zh-CN"/>
        </w:rPr>
        <w:t>164.97</w:t>
      </w:r>
      <w:r>
        <w:rPr>
          <w:rFonts w:hint="eastAsia" w:ascii="仿宋" w:hAnsi="仿宋" w:eastAsia="仿宋"/>
          <w:sz w:val="32"/>
          <w:szCs w:val="32"/>
        </w:rPr>
        <w:t>万元，支出决算数为</w:t>
      </w:r>
      <w:r>
        <w:rPr>
          <w:rFonts w:hint="eastAsia" w:ascii="仿宋" w:hAnsi="仿宋" w:eastAsia="仿宋"/>
          <w:sz w:val="32"/>
          <w:szCs w:val="32"/>
          <w:lang w:val="en-US" w:eastAsia="zh-CN"/>
        </w:rPr>
        <w:t>275.91</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%，其中：</w:t>
      </w:r>
    </w:p>
    <w:p>
      <w:pPr>
        <w:pStyle w:val="17"/>
        <w:ind w:firstLine="640" w:firstLineChars="200"/>
        <w:rPr>
          <w:rFonts w:hint="eastAsia" w:ascii="仿宋" w:hAnsi="仿宋" w:eastAsia="仿宋"/>
          <w:sz w:val="32"/>
          <w:szCs w:val="32"/>
        </w:rPr>
      </w:pPr>
      <w:r>
        <w:rPr>
          <w:rFonts w:hint="eastAsia" w:ascii="仿宋" w:hAnsi="仿宋" w:eastAsia="仿宋"/>
          <w:sz w:val="32"/>
          <w:szCs w:val="32"/>
        </w:rPr>
        <w:t>1、城乡社区支出（类）城乡社区管理事务（款）行政运行（项）。</w:t>
      </w:r>
    </w:p>
    <w:p>
      <w:pPr>
        <w:pStyle w:val="17"/>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148.64</w:t>
      </w:r>
      <w:r>
        <w:rPr>
          <w:rFonts w:hint="eastAsia" w:ascii="仿宋" w:hAnsi="仿宋" w:eastAsia="仿宋"/>
          <w:sz w:val="32"/>
          <w:szCs w:val="32"/>
        </w:rPr>
        <w:t>万元，支出决算为</w:t>
      </w:r>
      <w:r>
        <w:rPr>
          <w:rFonts w:hint="eastAsia" w:ascii="仿宋" w:hAnsi="仿宋" w:eastAsia="仿宋"/>
          <w:sz w:val="32"/>
          <w:szCs w:val="32"/>
          <w:lang w:val="en-US" w:eastAsia="zh-CN"/>
        </w:rPr>
        <w:t>159.2</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新增人员经费。</w:t>
      </w:r>
    </w:p>
    <w:p>
      <w:pPr>
        <w:pStyle w:val="17"/>
        <w:ind w:firstLine="640" w:firstLineChars="200"/>
        <w:rPr>
          <w:rFonts w:hint="eastAsia" w:ascii="仿宋" w:hAnsi="仿宋" w:eastAsia="仿宋"/>
          <w:sz w:val="32"/>
          <w:szCs w:val="32"/>
        </w:rPr>
      </w:pPr>
      <w:r>
        <w:rPr>
          <w:rFonts w:hint="eastAsia" w:ascii="仿宋" w:hAnsi="仿宋" w:eastAsia="仿宋"/>
          <w:sz w:val="32"/>
          <w:szCs w:val="32"/>
        </w:rPr>
        <w:t>2、城乡社区支出（类）城乡社区管理事务（款）一般行政管理事务（项）。</w:t>
      </w:r>
    </w:p>
    <w:p>
      <w:pPr>
        <w:pStyle w:val="17"/>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8</w:t>
      </w:r>
      <w:r>
        <w:rPr>
          <w:rFonts w:hint="eastAsia" w:ascii="仿宋" w:hAnsi="仿宋" w:eastAsia="仿宋"/>
          <w:sz w:val="32"/>
          <w:szCs w:val="32"/>
        </w:rPr>
        <w:t>万元，支出决算为</w:t>
      </w:r>
      <w:r>
        <w:rPr>
          <w:rFonts w:hint="eastAsia" w:ascii="仿宋" w:hAnsi="仿宋" w:eastAsia="仿宋"/>
          <w:sz w:val="32"/>
          <w:szCs w:val="32"/>
          <w:lang w:val="en-US" w:eastAsia="zh-CN"/>
        </w:rPr>
        <w:t>2.52</w:t>
      </w:r>
      <w:r>
        <w:rPr>
          <w:rFonts w:hint="eastAsia" w:ascii="仿宋" w:hAnsi="仿宋" w:eastAsia="仿宋"/>
          <w:sz w:val="32"/>
          <w:szCs w:val="32"/>
        </w:rPr>
        <w:t>万元，完成年初预算的</w:t>
      </w:r>
      <w:r>
        <w:rPr>
          <w:rFonts w:hint="eastAsia" w:ascii="仿宋" w:hAnsi="仿宋" w:eastAsia="仿宋"/>
          <w:sz w:val="32"/>
          <w:szCs w:val="32"/>
          <w:lang w:val="en-US" w:eastAsia="zh-CN"/>
        </w:rPr>
        <w:t>31.5</w:t>
      </w:r>
      <w:r>
        <w:rPr>
          <w:rFonts w:hint="eastAsia" w:ascii="仿宋" w:hAnsi="仿宋" w:eastAsia="仿宋"/>
          <w:sz w:val="32"/>
          <w:szCs w:val="32"/>
        </w:rPr>
        <w:t>%，决算数</w:t>
      </w:r>
      <w:r>
        <w:rPr>
          <w:rFonts w:hint="eastAsia" w:ascii="仿宋" w:hAnsi="仿宋" w:eastAsia="仿宋"/>
          <w:sz w:val="32"/>
          <w:szCs w:val="32"/>
          <w:lang w:eastAsia="zh-CN"/>
        </w:rPr>
        <w:t>小</w:t>
      </w:r>
      <w:r>
        <w:rPr>
          <w:rFonts w:hint="eastAsia" w:ascii="仿宋" w:hAnsi="仿宋" w:eastAsia="仿宋"/>
          <w:sz w:val="32"/>
          <w:szCs w:val="32"/>
        </w:rPr>
        <w:t>于年初预算数的主要原因是</w:t>
      </w:r>
      <w:r>
        <w:rPr>
          <w:rFonts w:hint="eastAsia" w:ascii="仿宋" w:hAnsi="仿宋" w:eastAsia="仿宋"/>
          <w:sz w:val="32"/>
          <w:szCs w:val="32"/>
          <w:lang w:eastAsia="zh-CN"/>
        </w:rPr>
        <w:t>厉行节约，减少支出。</w:t>
      </w:r>
    </w:p>
    <w:p>
      <w:pPr>
        <w:pStyle w:val="17"/>
        <w:ind w:firstLine="640" w:firstLineChars="200"/>
        <w:rPr>
          <w:rFonts w:hint="eastAsia" w:ascii="仿宋" w:hAnsi="仿宋" w:eastAsia="仿宋"/>
          <w:sz w:val="32"/>
          <w:szCs w:val="32"/>
        </w:rPr>
      </w:pPr>
      <w:r>
        <w:rPr>
          <w:rFonts w:hint="eastAsia" w:ascii="仿宋" w:hAnsi="仿宋" w:eastAsia="仿宋"/>
          <w:sz w:val="32"/>
          <w:szCs w:val="32"/>
        </w:rPr>
        <w:t>3、城乡社区支出（类）城乡社区管理事务（款）</w:t>
      </w:r>
      <w:r>
        <w:rPr>
          <w:rFonts w:hint="eastAsia" w:ascii="仿宋" w:hAnsi="仿宋" w:eastAsia="仿宋"/>
          <w:sz w:val="32"/>
          <w:szCs w:val="32"/>
          <w:lang w:eastAsia="zh-CN"/>
        </w:rPr>
        <w:t>其他城乡社区管理事务支出</w:t>
      </w:r>
      <w:r>
        <w:rPr>
          <w:rFonts w:hint="eastAsia" w:ascii="仿宋" w:hAnsi="仿宋" w:eastAsia="仿宋"/>
          <w:sz w:val="32"/>
          <w:szCs w:val="32"/>
        </w:rPr>
        <w:t>（项）。</w:t>
      </w:r>
    </w:p>
    <w:p>
      <w:pPr>
        <w:pStyle w:val="17"/>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8.33</w:t>
      </w:r>
      <w:r>
        <w:rPr>
          <w:rFonts w:hint="eastAsia" w:ascii="仿宋" w:hAnsi="仿宋" w:eastAsia="仿宋"/>
          <w:sz w:val="32"/>
          <w:szCs w:val="32"/>
        </w:rPr>
        <w:t>万元，支出决算为</w:t>
      </w:r>
      <w:r>
        <w:rPr>
          <w:rFonts w:hint="eastAsia" w:ascii="仿宋" w:hAnsi="仿宋" w:eastAsia="仿宋"/>
          <w:sz w:val="32"/>
          <w:szCs w:val="32"/>
          <w:lang w:val="en-US" w:eastAsia="zh-CN"/>
        </w:rPr>
        <w:t>13.72</w:t>
      </w:r>
      <w:r>
        <w:rPr>
          <w:rFonts w:hint="eastAsia" w:ascii="仿宋" w:hAnsi="仿宋" w:eastAsia="仿宋"/>
          <w:sz w:val="32"/>
          <w:szCs w:val="32"/>
        </w:rPr>
        <w:t>万元，完成年初预算的</w:t>
      </w:r>
      <w:r>
        <w:rPr>
          <w:rFonts w:hint="eastAsia" w:ascii="仿宋" w:hAnsi="仿宋" w:eastAsia="仿宋"/>
          <w:sz w:val="32"/>
          <w:szCs w:val="32"/>
          <w:lang w:val="en-US" w:eastAsia="zh-CN"/>
        </w:rPr>
        <w:t>100.0</w:t>
      </w:r>
      <w:r>
        <w:rPr>
          <w:rFonts w:hint="eastAsia" w:ascii="仿宋" w:hAnsi="仿宋" w:eastAsia="仿宋"/>
          <w:sz w:val="32"/>
          <w:szCs w:val="32"/>
        </w:rPr>
        <w:t>%，决算数</w:t>
      </w:r>
      <w:r>
        <w:rPr>
          <w:rFonts w:hint="eastAsia" w:ascii="仿宋" w:hAnsi="仿宋" w:eastAsia="仿宋"/>
          <w:sz w:val="32"/>
          <w:szCs w:val="32"/>
          <w:lang w:eastAsia="zh-CN"/>
        </w:rPr>
        <w:t>大</w:t>
      </w:r>
      <w:r>
        <w:rPr>
          <w:rFonts w:hint="eastAsia" w:ascii="仿宋" w:hAnsi="仿宋" w:eastAsia="仿宋"/>
          <w:sz w:val="32"/>
          <w:szCs w:val="32"/>
        </w:rPr>
        <w:t>于年初预算数的主要原因是</w:t>
      </w:r>
      <w:r>
        <w:rPr>
          <w:rFonts w:hint="eastAsia" w:ascii="仿宋" w:hAnsi="仿宋" w:eastAsia="仿宋"/>
          <w:sz w:val="32"/>
          <w:szCs w:val="32"/>
          <w:lang w:eastAsia="zh-CN"/>
        </w:rPr>
        <w:t>新增项目支出。</w:t>
      </w:r>
    </w:p>
    <w:p>
      <w:pPr>
        <w:pStyle w:val="17"/>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4、城乡社区支出（类）城乡社区公共设施（款）其他城乡社区公共设施支出（项）。</w:t>
      </w:r>
    </w:p>
    <w:p>
      <w:pPr>
        <w:pStyle w:val="17"/>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1.47</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17"/>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、城乡社区支出（类）</w:t>
      </w:r>
      <w:r>
        <w:rPr>
          <w:rFonts w:hint="eastAsia" w:ascii="仿宋" w:hAnsi="仿宋" w:eastAsia="仿宋"/>
          <w:sz w:val="32"/>
          <w:szCs w:val="32"/>
          <w:lang w:eastAsia="zh-CN"/>
        </w:rPr>
        <w:t>其他城乡社区支出</w:t>
      </w:r>
      <w:r>
        <w:rPr>
          <w:rFonts w:hint="eastAsia" w:ascii="仿宋" w:hAnsi="仿宋" w:eastAsia="仿宋"/>
          <w:sz w:val="32"/>
          <w:szCs w:val="32"/>
        </w:rPr>
        <w:t>（款）</w:t>
      </w:r>
      <w:r>
        <w:rPr>
          <w:rFonts w:hint="eastAsia" w:ascii="仿宋" w:hAnsi="仿宋" w:eastAsia="仿宋"/>
          <w:sz w:val="32"/>
          <w:szCs w:val="32"/>
          <w:lang w:eastAsia="zh-CN"/>
        </w:rPr>
        <w:t>其他城乡社区支出</w:t>
      </w:r>
      <w:r>
        <w:rPr>
          <w:rFonts w:hint="eastAsia" w:ascii="仿宋" w:hAnsi="仿宋" w:eastAsia="仿宋"/>
          <w:sz w:val="32"/>
          <w:szCs w:val="32"/>
        </w:rPr>
        <w:t>（项）。</w:t>
      </w:r>
    </w:p>
    <w:p>
      <w:pPr>
        <w:pStyle w:val="17"/>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4</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17"/>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、住房保障支出（类）保障性安居工程支出（款）老旧小区改造（项）。</w:t>
      </w:r>
    </w:p>
    <w:p>
      <w:pPr>
        <w:pStyle w:val="17"/>
        <w:ind w:firstLine="640" w:firstLineChars="200"/>
        <w:rPr>
          <w:rFonts w:hint="default" w:ascii="Times New Roman" w:hAnsi="Times New Roman" w:eastAsia="楷体_GB2312" w:cs="Times New Roman"/>
          <w:b/>
          <w:color w:val="000000"/>
          <w:kern w:val="0"/>
          <w:sz w:val="32"/>
          <w:szCs w:val="32"/>
          <w:lang w:val="en-US"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95</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8"/>
        <w:numPr>
          <w:ilvl w:val="0"/>
          <w:numId w:val="0"/>
        </w:numPr>
        <w:autoSpaceDE w:val="0"/>
        <w:autoSpaceDN w:val="0"/>
        <w:adjustRightInd w:val="0"/>
        <w:spacing w:line="570" w:lineRule="exact"/>
        <w:ind w:leftChars="200" w:firstLine="320" w:firstLineChars="1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pPr>
        <w:pStyle w:val="17"/>
        <w:ind w:firstLine="640" w:firstLineChars="200"/>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楷体_GB2312" w:cs="楷体_GB2312"/>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年度财政拨款基本支出</w:t>
      </w:r>
      <w:r>
        <w:rPr>
          <w:rFonts w:hint="eastAsia" w:ascii="仿宋" w:hAnsi="仿宋" w:eastAsia="仿宋"/>
          <w:sz w:val="32"/>
          <w:szCs w:val="32"/>
          <w:lang w:val="en-US" w:eastAsia="zh-CN"/>
        </w:rPr>
        <w:t>172.92</w:t>
      </w:r>
      <w:r>
        <w:rPr>
          <w:rFonts w:hint="eastAsia" w:ascii="仿宋" w:hAnsi="仿宋" w:eastAsia="仿宋"/>
          <w:sz w:val="32"/>
          <w:szCs w:val="32"/>
        </w:rPr>
        <w:t>万元，其中：人员经费</w:t>
      </w:r>
      <w:r>
        <w:rPr>
          <w:rFonts w:hint="eastAsia" w:ascii="仿宋" w:hAnsi="仿宋" w:eastAsia="仿宋"/>
          <w:sz w:val="32"/>
          <w:szCs w:val="32"/>
          <w:lang w:val="en-US" w:eastAsia="zh-CN"/>
        </w:rPr>
        <w:t>157.42</w:t>
      </w:r>
      <w:r>
        <w:rPr>
          <w:rFonts w:hint="eastAsia" w:ascii="仿宋" w:hAnsi="仿宋" w:eastAsia="仿宋"/>
          <w:sz w:val="32"/>
          <w:szCs w:val="32"/>
        </w:rPr>
        <w:t>万元，占基本支出的</w:t>
      </w:r>
      <w:r>
        <w:rPr>
          <w:rFonts w:hint="eastAsia" w:ascii="仿宋" w:hAnsi="仿宋" w:eastAsia="仿宋"/>
          <w:sz w:val="32"/>
          <w:szCs w:val="32"/>
          <w:lang w:val="en-US" w:eastAsia="zh-CN"/>
        </w:rPr>
        <w:t>91.04</w:t>
      </w:r>
      <w:r>
        <w:rPr>
          <w:rFonts w:hint="eastAsia" w:ascii="仿宋" w:hAnsi="仿宋" w:eastAsia="仿宋"/>
          <w:sz w:val="32"/>
          <w:szCs w:val="32"/>
        </w:rPr>
        <w:t>%,主要包括基本工资、津贴补贴、奖金、伙食补助费、养老保险、医疗保险、住房公积金、对个人和家庭的补助；公用经费</w:t>
      </w:r>
      <w:r>
        <w:rPr>
          <w:rFonts w:hint="eastAsia" w:ascii="仿宋" w:hAnsi="仿宋" w:eastAsia="仿宋"/>
          <w:sz w:val="32"/>
          <w:szCs w:val="32"/>
          <w:lang w:val="en-US" w:eastAsia="zh-CN"/>
        </w:rPr>
        <w:t>15.5</w:t>
      </w:r>
      <w:r>
        <w:rPr>
          <w:rFonts w:hint="eastAsia" w:ascii="仿宋" w:hAnsi="仿宋" w:eastAsia="仿宋"/>
          <w:sz w:val="32"/>
          <w:szCs w:val="32"/>
        </w:rPr>
        <w:t>万元，占基本支出的</w:t>
      </w:r>
      <w:r>
        <w:rPr>
          <w:rFonts w:hint="eastAsia" w:ascii="仿宋" w:hAnsi="仿宋" w:eastAsia="仿宋"/>
          <w:sz w:val="32"/>
          <w:szCs w:val="32"/>
          <w:lang w:val="en-US" w:eastAsia="zh-CN"/>
        </w:rPr>
        <w:t>8.96</w:t>
      </w:r>
      <w:r>
        <w:rPr>
          <w:rFonts w:hint="eastAsia" w:ascii="仿宋" w:hAnsi="仿宋" w:eastAsia="仿宋"/>
          <w:sz w:val="32"/>
          <w:szCs w:val="32"/>
        </w:rPr>
        <w:t>%，主要包括办公费、印刷费、邮电费、差旅费、培训费、</w:t>
      </w:r>
      <w:r>
        <w:rPr>
          <w:rFonts w:hint="eastAsia" w:ascii="仿宋" w:hAnsi="仿宋" w:eastAsia="仿宋"/>
          <w:sz w:val="32"/>
          <w:szCs w:val="32"/>
          <w:lang w:eastAsia="zh-CN"/>
        </w:rPr>
        <w:t>工会经费</w:t>
      </w:r>
      <w:r>
        <w:rPr>
          <w:rFonts w:hint="eastAsia" w:ascii="仿宋" w:hAnsi="仿宋" w:eastAsia="仿宋"/>
          <w:sz w:val="32"/>
          <w:szCs w:val="32"/>
        </w:rPr>
        <w:t>、其他交通费用</w:t>
      </w:r>
      <w:r>
        <w:rPr>
          <w:rFonts w:hint="eastAsia" w:ascii="仿宋" w:hAnsi="仿宋" w:eastAsia="仿宋"/>
          <w:sz w:val="32"/>
          <w:szCs w:val="32"/>
          <w:lang w:eastAsia="zh-CN"/>
        </w:rPr>
        <w:t>、办公设备购置费等</w:t>
      </w:r>
      <w:r>
        <w:rPr>
          <w:rFonts w:hint="eastAsia" w:ascii="仿宋" w:hAnsi="仿宋" w:eastAsia="仿宋"/>
          <w:sz w:val="32"/>
          <w:szCs w:val="32"/>
        </w:rPr>
        <w:t>。</w:t>
      </w:r>
    </w:p>
    <w:p>
      <w:pPr>
        <w:pStyle w:val="8"/>
        <w:numPr>
          <w:ilvl w:val="0"/>
          <w:numId w:val="0"/>
        </w:numPr>
        <w:autoSpaceDE w:val="0"/>
        <w:autoSpaceDN w:val="0"/>
        <w:adjustRightInd w:val="0"/>
        <w:spacing w:line="570" w:lineRule="exact"/>
        <w:ind w:leftChars="200" w:firstLine="320" w:firstLineChars="100"/>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eastAsia="zh-CN"/>
        </w:rPr>
        <w:t>七、</w:t>
      </w:r>
      <w:r>
        <w:rPr>
          <w:rFonts w:ascii="Times New Roman" w:hAnsi="Times New Roman" w:eastAsia="黑体" w:cs="Times New Roman"/>
          <w:color w:val="000000"/>
          <w:kern w:val="0"/>
          <w:sz w:val="32"/>
          <w:szCs w:val="32"/>
        </w:rPr>
        <w:t>一般公共预算财政拨款“三公”经费支出决算情况说明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其中：</w:t>
      </w:r>
    </w:p>
    <w:p>
      <w:pPr>
        <w:pStyle w:val="17"/>
        <w:ind w:firstLine="640" w:firstLineChars="200"/>
        <w:rPr>
          <w:rFonts w:hint="eastAsia" w:ascii="仿宋" w:hAnsi="仿宋" w:eastAsia="仿宋"/>
          <w:sz w:val="32"/>
          <w:szCs w:val="32"/>
          <w:lang w:eastAsia="zh-CN"/>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hint="eastAsia" w:ascii="仿宋" w:hAnsi="仿宋" w:eastAsia="仿宋"/>
          <w:sz w:val="32"/>
          <w:szCs w:val="32"/>
          <w:lang w:eastAsia="zh-CN"/>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hint="eastAsia" w:ascii="仿宋" w:hAnsi="仿宋" w:eastAsia="仿宋"/>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 xml:space="preserve"> 2023年度政府性基金预算财政拨款收入0万元；年初结转和结余0万元；支出0万元，其中基本支出0万元，项目支出0万元；年末结转和结余0万元。2023年度本单位无政府性基金收支。</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8"/>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8"/>
        <w:numPr>
          <w:ilvl w:val="0"/>
          <w:numId w:val="0"/>
        </w:numPr>
        <w:autoSpaceDE w:val="0"/>
        <w:autoSpaceDN w:val="0"/>
        <w:adjustRightInd w:val="0"/>
        <w:spacing w:line="570" w:lineRule="exac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本部门2023年度机关运行经费支出15.5万元，比年初预算数减少6.22万元，减少28.64%。主要原因是厉行节约，减少支出。</w:t>
      </w:r>
    </w:p>
    <w:p>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十一、一般性支出情况说明</w:t>
      </w:r>
    </w:p>
    <w:p>
      <w:pPr>
        <w:pStyle w:val="17"/>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黑体"/>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2023年本部门开支会议费0万元；开支培训费0.17万元，用于开展事业单位人员培训，人数6人，内容为根据文件精神，单位事业编制人员在平台上进行学习，购买课时。</w:t>
      </w:r>
    </w:p>
    <w:p>
      <w:pPr>
        <w:pStyle w:val="8"/>
        <w:numPr>
          <w:ilvl w:val="0"/>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十二、</w:t>
      </w:r>
      <w:r>
        <w:rPr>
          <w:rFonts w:ascii="Times New Roman" w:hAnsi="Times New Roman" w:eastAsia="黑体" w:cs="Times New Roman"/>
          <w:color w:val="000000"/>
          <w:kern w:val="0"/>
          <w:sz w:val="32"/>
          <w:szCs w:val="32"/>
        </w:rPr>
        <w:t>政府采购支出说明</w:t>
      </w:r>
    </w:p>
    <w:p>
      <w:pPr>
        <w:pStyle w:val="17"/>
        <w:ind w:firstLine="640" w:firstLineChars="200"/>
        <w:rPr>
          <w:rFonts w:hint="default" w:ascii="Times New Roman" w:hAnsi="Times New Roman" w:eastAsia="黑体" w:cs="Times New Roman"/>
          <w:color w:val="000000"/>
          <w:kern w:val="0"/>
          <w:sz w:val="32"/>
          <w:szCs w:val="32"/>
          <w:lang w:val="en-US" w:eastAsia="zh-CN"/>
        </w:rPr>
      </w:pPr>
      <w:r>
        <w:rPr>
          <w:rFonts w:hint="eastAsia" w:ascii="仿宋" w:hAnsi="仿宋" w:eastAsia="仿宋" w:cs="黑体"/>
          <w:color w:val="000000"/>
          <w:kern w:val="0"/>
          <w:sz w:val="32"/>
          <w:szCs w:val="32"/>
          <w:lang w:val="en-US" w:eastAsia="zh-CN" w:bidi="ar-SA"/>
        </w:rPr>
        <w:t>本部门2023年度政府采购支出总额0万元，其中：政府采购货物支出0 万元、政府采购工程支出0 万元、政府采购服务支出0万元。授予中小企业合同金额0万元，占政府采购支出总额的0.0%，其中：授予小微企业合同金额0万元，占授予中小企业合同金额的0.0%；货物采购授予中小企业合同金额占货物支出金额的0.0%，工程采购授予中小企业合同金额占工程支出金额的0.0%，服务采购授予中小企业合同金额占服务支出金额的0.0%。</w:t>
      </w:r>
    </w:p>
    <w:p>
      <w:pPr>
        <w:pStyle w:val="8"/>
        <w:numPr>
          <w:ilvl w:val="0"/>
          <w:numId w:val="5"/>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pStyle w:val="17"/>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100.0万元以上专用设备0台（套）。</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2个，二级项目0个，共涉及资金102.99万元，占一般公共预算项目支出总额的100.0%。因本单位没有政府性基金预算项目支出，没有组织对2023年度政府性基金预算项目支出开展绩效自评。因本单位没有国有资本经营预算项目支出，没有组织对2023年度国有资本经营预算项目支出开展绩效自评。</w:t>
      </w:r>
    </w:p>
    <w:p>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hint="eastAsia" w:ascii="仿宋" w:hAnsi="仿宋" w:eastAsia="仿宋" w:cs="黑体"/>
          <w:color w:val="000000"/>
          <w:kern w:val="0"/>
          <w:sz w:val="32"/>
          <w:szCs w:val="32"/>
          <w:lang w:val="en-US" w:eastAsia="zh-CN" w:bidi="ar-SA"/>
        </w:rPr>
        <w:t>组织对</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仿宋_GB2312" w:eastAsia="仿宋_GB2312"/>
          <w:sz w:val="32"/>
          <w:szCs w:val="32"/>
        </w:rPr>
        <w:t>电梯安装</w:t>
      </w:r>
      <w:r>
        <w:rPr>
          <w:rFonts w:hint="eastAsia" w:ascii="仿宋_GB2312" w:eastAsia="仿宋_GB2312"/>
          <w:sz w:val="32"/>
          <w:szCs w:val="32"/>
          <w:lang w:eastAsia="zh-CN"/>
        </w:rPr>
        <w:t>经费</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r>
        <w:rPr>
          <w:rFonts w:hint="eastAsia" w:ascii="仿宋" w:hAnsi="仿宋" w:eastAsia="仿宋" w:cs="黑体"/>
          <w:color w:val="000000"/>
          <w:kern w:val="0"/>
          <w:sz w:val="32"/>
          <w:szCs w:val="32"/>
          <w:lang w:val="en-US" w:eastAsia="zh-CN" w:bidi="ar-SA"/>
        </w:rPr>
        <w:t>2个项目开展了部门评价，涉及一般公共预算支出102.99万元，政府性基金预算支出0万元，国有资本经营预算支出0万元。</w:t>
      </w:r>
    </w:p>
    <w:p>
      <w:pPr>
        <w:pStyle w:val="8"/>
        <w:numPr>
          <w:ilvl w:val="0"/>
          <w:numId w:val="6"/>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部门评价项目数量2个，将2个项目部门评价报告向社会公开。</w:t>
      </w:r>
    </w:p>
    <w:p>
      <w:pPr>
        <w:autoSpaceDE w:val="0"/>
        <w:autoSpaceDN w:val="0"/>
        <w:adjustRightInd w:val="0"/>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业务性专项</w:t>
      </w:r>
      <w:r>
        <w:rPr>
          <w:rFonts w:hint="default" w:ascii="仿宋_GB2312" w:eastAsia="仿宋_GB2312"/>
          <w:color w:val="000000"/>
          <w:sz w:val="32"/>
          <w:szCs w:val="32"/>
          <w:lang w:val="en-US" w:eastAsia="zh-CN"/>
        </w:rPr>
        <w:t>经费</w:t>
      </w:r>
      <w:r>
        <w:rPr>
          <w:rFonts w:hint="eastAsia" w:ascii="仿宋_GB2312" w:eastAsia="仿宋_GB2312"/>
          <w:color w:val="000000"/>
          <w:sz w:val="32"/>
          <w:szCs w:val="32"/>
          <w:lang w:val="en-US" w:eastAsia="zh-CN"/>
        </w:rPr>
        <w:t>绩效自评综述：根据年初设定的绩效目标，项目绩效自评得分为87.98分。项目全年预算数为17.73万元，执行数为3.99万元，完成预算的22.5%。项目绩效目标完成情况：</w:t>
      </w:r>
      <w:r>
        <w:rPr>
          <w:rFonts w:hint="default" w:ascii="Times New Roman" w:hAnsi="Times New Roman" w:eastAsia="仿宋_GB2312" w:cs="Times New Roman"/>
          <w:color w:val="auto"/>
          <w:sz w:val="32"/>
          <w:szCs w:val="32"/>
        </w:rPr>
        <w:t>主要用于</w:t>
      </w:r>
      <w:r>
        <w:rPr>
          <w:rFonts w:hint="eastAsia" w:eastAsia="仿宋_GB2312" w:cs="Times New Roman"/>
          <w:color w:val="auto"/>
          <w:sz w:val="32"/>
          <w:szCs w:val="32"/>
          <w:lang w:eastAsia="zh-CN"/>
        </w:rPr>
        <w:t>拨付</w:t>
      </w:r>
      <w:r>
        <w:rPr>
          <w:rFonts w:hint="eastAsia" w:ascii="仿宋_GB2312" w:eastAsia="仿宋_GB2312"/>
          <w:sz w:val="32"/>
          <w:szCs w:val="32"/>
        </w:rPr>
        <w:t>街道社区物业整治的工作经费、物业管理考核</w:t>
      </w:r>
      <w:r>
        <w:rPr>
          <w:rFonts w:hint="eastAsia" w:ascii="仿宋_GB2312" w:eastAsia="仿宋_GB2312"/>
          <w:sz w:val="32"/>
          <w:szCs w:val="32"/>
          <w:lang w:eastAsia="zh-CN"/>
        </w:rPr>
        <w:t>、示范点创建及“社区15分钟生活圈”建设等相关费用。</w:t>
      </w:r>
      <w:r>
        <w:rPr>
          <w:rFonts w:hint="eastAsia" w:ascii="仿宋_GB2312" w:eastAsia="仿宋_GB2312"/>
          <w:color w:val="000000"/>
          <w:sz w:val="32"/>
          <w:szCs w:val="32"/>
          <w:lang w:val="en-US" w:eastAsia="zh-CN"/>
        </w:rPr>
        <w:t>发现的主要问题及原因：资金执行率偏低。下一步改进措施：加大资金支付进度。</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_GB2312" w:eastAsia="仿宋_GB2312"/>
          <w:sz w:val="32"/>
          <w:szCs w:val="32"/>
        </w:rPr>
        <w:t>电梯安装</w:t>
      </w:r>
      <w:r>
        <w:rPr>
          <w:rFonts w:hint="eastAsia" w:ascii="仿宋_GB2312" w:eastAsia="仿宋_GB2312"/>
          <w:sz w:val="32"/>
          <w:szCs w:val="32"/>
          <w:lang w:eastAsia="zh-CN"/>
        </w:rPr>
        <w:t>经费</w:t>
      </w:r>
      <w:r>
        <w:rPr>
          <w:rFonts w:hint="eastAsia" w:ascii="仿宋_GB2312" w:eastAsia="仿宋_GB2312"/>
          <w:color w:val="000000"/>
          <w:sz w:val="32"/>
          <w:szCs w:val="32"/>
          <w:lang w:val="en-US" w:eastAsia="zh-CN"/>
        </w:rPr>
        <w:t>绩效自评综述：根据年初设定的绩效目标，项目绩效自评得分为99.02分。项目全年预算数为</w:t>
      </w:r>
      <w:r>
        <w:rPr>
          <w:rFonts w:hint="eastAsia" w:ascii="Times New Roman" w:hAnsi="Times New Roman" w:eastAsia="仿宋_GB2312" w:cs="Times New Roman"/>
          <w:color w:val="auto"/>
          <w:sz w:val="32"/>
          <w:szCs w:val="32"/>
          <w:lang w:val="en-US" w:eastAsia="zh-CN"/>
        </w:rPr>
        <w:t>104.04</w:t>
      </w:r>
      <w:r>
        <w:rPr>
          <w:rFonts w:hint="eastAsia" w:ascii="仿宋_GB2312" w:eastAsia="仿宋_GB2312"/>
          <w:color w:val="000000"/>
          <w:sz w:val="32"/>
          <w:szCs w:val="32"/>
          <w:lang w:val="en-US" w:eastAsia="zh-CN"/>
        </w:rPr>
        <w:t>万元，执行数为</w:t>
      </w:r>
      <w:r>
        <w:rPr>
          <w:rFonts w:hint="eastAsia" w:ascii="Times New Roman" w:hAnsi="Times New Roman" w:eastAsia="仿宋_GB2312" w:cs="Times New Roman"/>
          <w:color w:val="auto"/>
          <w:sz w:val="32"/>
          <w:szCs w:val="32"/>
          <w:lang w:val="en-US" w:eastAsia="zh-CN"/>
        </w:rPr>
        <w:t>99</w:t>
      </w:r>
      <w:r>
        <w:rPr>
          <w:rFonts w:hint="eastAsia" w:ascii="仿宋_GB2312" w:eastAsia="仿宋_GB2312"/>
          <w:color w:val="000000"/>
          <w:sz w:val="32"/>
          <w:szCs w:val="32"/>
          <w:lang w:val="en-US" w:eastAsia="zh-CN"/>
        </w:rPr>
        <w:t>万元，完成预</w:t>
      </w:r>
      <w:r>
        <w:rPr>
          <w:rFonts w:hint="eastAsia" w:ascii="仿宋" w:hAnsi="仿宋" w:eastAsia="仿宋" w:cs="黑体"/>
          <w:color w:val="000000"/>
          <w:kern w:val="0"/>
          <w:sz w:val="32"/>
          <w:szCs w:val="32"/>
          <w:lang w:val="en-US" w:eastAsia="zh-CN" w:bidi="ar-SA"/>
        </w:rPr>
        <w:t>算的95.16%。项目绩效目标完成情况：</w:t>
      </w:r>
      <w:r>
        <w:rPr>
          <w:rFonts w:hint="default" w:ascii="Times New Roman" w:hAnsi="Times New Roman" w:eastAsia="仿宋_GB2312" w:cs="Times New Roman"/>
          <w:color w:val="auto"/>
          <w:sz w:val="32"/>
          <w:szCs w:val="32"/>
        </w:rPr>
        <w:t>主要用于主要用于</w:t>
      </w:r>
      <w:r>
        <w:rPr>
          <w:rFonts w:hint="eastAsia" w:ascii="仿宋_GB2312" w:eastAsia="仿宋_GB2312"/>
          <w:sz w:val="32"/>
          <w:szCs w:val="32"/>
        </w:rPr>
        <w:t>对已经竣工验收的既有住宅加装电梯</w:t>
      </w:r>
      <w:r>
        <w:rPr>
          <w:rFonts w:hint="eastAsia" w:ascii="仿宋_GB2312" w:eastAsia="仿宋_GB2312"/>
          <w:sz w:val="32"/>
          <w:szCs w:val="32"/>
          <w:lang w:eastAsia="zh-CN"/>
        </w:rPr>
        <w:t>的小区</w:t>
      </w:r>
      <w:r>
        <w:rPr>
          <w:rFonts w:hint="eastAsia" w:ascii="仿宋_GB2312" w:eastAsia="仿宋_GB2312"/>
          <w:sz w:val="32"/>
          <w:szCs w:val="32"/>
        </w:rPr>
        <w:t>按</w:t>
      </w:r>
      <w:r>
        <w:rPr>
          <w:rFonts w:ascii="仿宋_GB2312" w:eastAsia="仿宋_GB2312"/>
          <w:sz w:val="32"/>
          <w:szCs w:val="32"/>
        </w:rPr>
        <w:t>10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每台进行补贴，</w:t>
      </w:r>
      <w:r>
        <w:rPr>
          <w:rFonts w:hint="eastAsia" w:ascii="仿宋_GB2312" w:eastAsia="仿宋_GB2312"/>
          <w:sz w:val="32"/>
          <w:szCs w:val="32"/>
          <w:lang w:eastAsia="zh-CN"/>
        </w:rPr>
        <w:t>及开展工作所需相关经费</w:t>
      </w:r>
      <w:r>
        <w:rPr>
          <w:rFonts w:hint="eastAsia" w:ascii="仿宋_GB2312" w:eastAsia="仿宋_GB2312"/>
          <w:sz w:val="32"/>
          <w:szCs w:val="32"/>
        </w:rPr>
        <w:t>。</w:t>
      </w:r>
      <w:r>
        <w:rPr>
          <w:rFonts w:hint="eastAsia" w:ascii="仿宋" w:hAnsi="仿宋" w:eastAsia="仿宋" w:cs="黑体"/>
          <w:color w:val="000000"/>
          <w:kern w:val="0"/>
          <w:sz w:val="32"/>
          <w:szCs w:val="32"/>
          <w:lang w:val="en-US" w:eastAsia="zh-CN" w:bidi="ar-SA"/>
        </w:rPr>
        <w:t>发现的主要问题及原因：无。下一步改进措施：无。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hint="eastAsia" w:ascii="Times New Roman" w:hAnsi="Times New Roman" w:cs="Times New Roman"/>
          <w:sz w:val="72"/>
          <w:szCs w:val="7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7"/>
        <w:jc w:val="center"/>
        <w:rPr>
          <w:rFonts w:ascii="Times New Roman" w:hAnsi="Times New Roman" w:eastAsia="方正小标宋简体" w:cs="Times New Roman"/>
          <w:sz w:val="56"/>
          <w:szCs w:val="56"/>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7"/>
        <w:spacing w:line="596" w:lineRule="exact"/>
        <w:jc w:val="center"/>
        <w:rPr>
          <w:rFonts w:hint="eastAsia" w:ascii="Times New Roman" w:hAnsi="Times New Roman" w:eastAsia="方正小标宋简体" w:cs="Times New Roman"/>
          <w:sz w:val="32"/>
          <w:szCs w:val="32"/>
          <w:lang w:eastAsia="zh-CN"/>
        </w:rPr>
      </w:pPr>
    </w:p>
    <w:p>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1B7AE"/>
    <w:multiLevelType w:val="singleLevel"/>
    <w:tmpl w:val="9691B7AE"/>
    <w:lvl w:ilvl="0" w:tentative="0">
      <w:start w:val="10"/>
      <w:numFmt w:val="chineseCounting"/>
      <w:suff w:val="nothing"/>
      <w:lvlText w:val="%1、"/>
      <w:lvlJc w:val="left"/>
      <w:rPr>
        <w:rFonts w:hint="eastAsia"/>
      </w:rPr>
    </w:lvl>
  </w:abstractNum>
  <w:abstractNum w:abstractNumId="1">
    <w:nsid w:val="B9F9CFD5"/>
    <w:multiLevelType w:val="singleLevel"/>
    <w:tmpl w:val="B9F9CFD5"/>
    <w:lvl w:ilvl="0" w:tentative="0">
      <w:start w:val="2"/>
      <w:numFmt w:val="chineseCounting"/>
      <w:suff w:val="nothing"/>
      <w:lvlText w:val="（%1）"/>
      <w:lvlJc w:val="left"/>
      <w:rPr>
        <w:rFonts w:hint="eastAsia"/>
      </w:rPr>
    </w:lvl>
  </w:abstractNum>
  <w:abstractNum w:abstractNumId="2">
    <w:nsid w:val="E085EDC7"/>
    <w:multiLevelType w:val="singleLevel"/>
    <w:tmpl w:val="E085EDC7"/>
    <w:lvl w:ilvl="0" w:tentative="0">
      <w:start w:val="13"/>
      <w:numFmt w:val="chineseCounting"/>
      <w:suff w:val="nothing"/>
      <w:lvlText w:val="%1、"/>
      <w:lvlJc w:val="left"/>
      <w:rPr>
        <w:rFonts w:hint="eastAsia"/>
      </w:rPr>
    </w:lvl>
  </w:abstractNum>
  <w:abstractNum w:abstractNumId="3">
    <w:nsid w:val="021C7AFC"/>
    <w:multiLevelType w:val="singleLevel"/>
    <w:tmpl w:val="021C7AFC"/>
    <w:lvl w:ilvl="0" w:tentative="0">
      <w:start w:val="1"/>
      <w:numFmt w:val="chineseCounting"/>
      <w:suff w:val="nothing"/>
      <w:lvlText w:val="%1、"/>
      <w:lvlJc w:val="left"/>
      <w:rPr>
        <w:rFonts w:hint="eastAsia"/>
      </w:rPr>
    </w:lvl>
  </w:abstractNum>
  <w:abstractNum w:abstractNumId="4">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36B5B45"/>
    <w:multiLevelType w:val="singleLevel"/>
    <w:tmpl w:val="636B5B45"/>
    <w:lvl w:ilvl="0" w:tentative="0">
      <w:start w:val="2"/>
      <w:numFmt w:val="chineseCounting"/>
      <w:suff w:val="nothing"/>
      <w:lvlText w:val="（%1）"/>
      <w:lvlJc w:val="left"/>
      <w:rPr>
        <w:rFonts w:hint="eastAsia"/>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N2ZmOTYyYjI4MDhhN2ZkMjhkZGU0ZDI5ZTdkOWMifQ=="/>
    <w:docVar w:name="KSO_WPS_MARK_KEY" w:val="f73c9661-43ad-4374-8790-278223f4e256"/>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3752AC"/>
    <w:rsid w:val="11E43B98"/>
    <w:rsid w:val="13692089"/>
    <w:rsid w:val="1778197D"/>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4871EBA"/>
    <w:rsid w:val="75F714AD"/>
    <w:rsid w:val="76075824"/>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before="100" w:beforeAutospacing="1" w:after="120"/>
    </w:p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4631</Words>
  <Characters>5026</Characters>
  <Lines>56</Lines>
  <Paragraphs>15</Paragraphs>
  <TotalTime>20</TotalTime>
  <ScaleCrop>false</ScaleCrop>
  <LinksUpToDate>false</LinksUpToDate>
  <CharactersWithSpaces>5068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2024-11-19T06:45:31Z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8571298D148547CDA1162160091BBB3A_13</vt:lpwstr>
  </property>
</Properties>
</file>