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ascii="Times New Roman" w:hAnsi="Times New Roman" w:cs="Times New Roman"/>
          <w:sz w:val="56"/>
          <w:szCs w:val="56"/>
        </w:rPr>
      </w:pPr>
      <w:bookmarkStart w:id="0" w:name="_GoBack"/>
      <w:bookmarkEnd w:id="0"/>
    </w:p>
    <w:p>
      <w:pPr>
        <w:pStyle w:val="18"/>
        <w:jc w:val="both"/>
        <w:rPr>
          <w:rFonts w:ascii="Times New Roman" w:hAnsi="Times New Roman" w:cs="Times New Roman"/>
          <w:sz w:val="56"/>
          <w:szCs w:val="56"/>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8"/>
        <w:jc w:val="center"/>
        <w:rPr>
          <w:rFonts w:hint="eastAsia" w:ascii="Times New Roman" w:hAnsi="Times New Roman" w:eastAsia="方正小标宋简体" w:cs="方正小标宋简体"/>
          <w:sz w:val="72"/>
          <w:szCs w:val="72"/>
          <w:lang w:eastAsia="zh-CN"/>
        </w:rPr>
      </w:pPr>
      <w:r>
        <w:rPr>
          <w:rFonts w:hint="eastAsia" w:ascii="Times New Roman" w:hAnsi="Times New Roman" w:eastAsia="方正小标宋简体" w:cs="方正小标宋简体"/>
          <w:sz w:val="72"/>
          <w:szCs w:val="72"/>
          <w:lang w:eastAsia="zh-CN"/>
        </w:rPr>
        <w:t>株洲市石峰区退役军人事务局</w:t>
      </w: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8"/>
        <w:jc w:val="both"/>
        <w:rPr>
          <w:rFonts w:ascii="Times New Roman" w:hAnsi="Times New Roman" w:cs="Times New Roman"/>
          <w:sz w:val="32"/>
          <w:szCs w:val="32"/>
        </w:rPr>
      </w:pPr>
    </w:p>
    <w:p>
      <w:pPr>
        <w:pStyle w:val="18"/>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eastAsia="zh-CN"/>
        </w:rPr>
        <w:t>株洲市石峰区退役军人事务局</w:t>
      </w:r>
      <w:r>
        <w:rPr>
          <w:rFonts w:ascii="Times New Roman" w:hAnsi="Times New Roman" w:cs="Times New Roman"/>
          <w:sz w:val="32"/>
          <w:szCs w:val="32"/>
        </w:rPr>
        <w:t>概况</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8"/>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w w:val="90"/>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8"/>
        <w:jc w:val="center"/>
        <w:rPr>
          <w:rFonts w:ascii="Times New Roman" w:hAnsi="Times New Roman" w:eastAsia="方正小标宋简体" w:cs="Times New Roman"/>
          <w:sz w:val="76"/>
          <w:szCs w:val="76"/>
        </w:rPr>
      </w:pPr>
    </w:p>
    <w:p>
      <w:pPr>
        <w:pStyle w:val="18"/>
        <w:jc w:val="center"/>
        <w:rPr>
          <w:rFonts w:hint="eastAsia" w:ascii="Times New Roman" w:hAnsi="Times New Roman" w:eastAsia="方正小标宋简体" w:cs="方正小标宋简体"/>
          <w:sz w:val="72"/>
          <w:szCs w:val="72"/>
          <w:lang w:eastAsia="zh-CN"/>
        </w:rPr>
      </w:pPr>
      <w:r>
        <w:rPr>
          <w:rFonts w:hint="eastAsia" w:ascii="Times New Roman" w:hAnsi="Times New Roman" w:eastAsia="方正小标宋简体" w:cs="方正小标宋简体"/>
          <w:sz w:val="72"/>
          <w:szCs w:val="72"/>
          <w:lang w:eastAsia="zh-CN"/>
        </w:rPr>
        <w:t>株洲市石峰区退役军人事务局</w:t>
      </w: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9"/>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autoSpaceDE w:val="0"/>
        <w:autoSpaceDN w:val="0"/>
        <w:adjustRightInd w:val="0"/>
        <w:spacing w:line="500" w:lineRule="exact"/>
        <w:ind w:firstLine="800" w:firstLineChars="250"/>
        <w:jc w:val="left"/>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区退役军人事务局为2019年新成立机构，根据相关文件规定，本部门主要职责是：</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贯彻执行党和国家关于退役军人思想政治、管理保障和安置优抚等工作政策法规，拟订全区退役军人事务发展规划和政策，并组织实施；褒扬彰显退役军人为党、国家和人民牺牲奉献的精神风范和价值导向。</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（二）负责全区军队转业干部、复员干部、离休退休干部、退役士兵和无军籍退休退职职工的移交安置工作和自主择业、就业退役军人服务管理工作。</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（三）组织指导全区退役军人教育培训工作，协调扶持退役军人和随军随调家属就业创业。</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（四）贯彻落实国家关于退役军人的特殊保障政策，会同有关部门制定相关政策，并组织实施。</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（五）组织协调落实全市移交地方的离休退休军人、符合条件的其他退役军人和无军籍退休退职职工以及退役军人医疗保障、社会保险等待遇保障工作。</w:t>
      </w:r>
    </w:p>
    <w:p>
      <w:pPr>
        <w:autoSpaceDE w:val="0"/>
        <w:autoSpaceDN w:val="0"/>
        <w:adjustRightInd w:val="0"/>
        <w:spacing w:line="500" w:lineRule="exact"/>
        <w:ind w:firstLine="800" w:firstLineChars="250"/>
        <w:jc w:val="left"/>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（六）组织指导全区伤病残退役军人服务管理和抚恤工作，贯彻落实有关退役军人医疗、疗养、养老等机构的规划政策并指导实施。承担全区不适宜继续服役的伤病残军人相关工作。</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（七）组织指导全区拥军优属工作。负责全区现役军人、退役军人、军队文职人员和军属优待、抚恤等工作；贯彻执行国家关于国民党抗战老兵等有关人员优待政策并指导实施。</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（八）负责全区烈士及退役军人荣誉奖励、军人公墓管理维护、纪念活动等工作，依法承担英雄烈士保护相关工作，总结表彰和宣扬退役军人、退役军人工作单位和个人先进典型事迹。</w:t>
      </w:r>
    </w:p>
    <w:p>
      <w:pPr>
        <w:autoSpaceDE w:val="0"/>
        <w:autoSpaceDN w:val="0"/>
        <w:adjustRightInd w:val="0"/>
        <w:spacing w:line="500" w:lineRule="exact"/>
        <w:ind w:firstLine="800" w:firstLineChars="250"/>
        <w:jc w:val="left"/>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（九）指导并监督检查退役军人相关法律法规和政策措施的落实；开展全区退役军人权益维护和有关人员的帮扶援助工作。</w:t>
      </w:r>
    </w:p>
    <w:p>
      <w:pPr>
        <w:autoSpaceDE w:val="0"/>
        <w:autoSpaceDN w:val="0"/>
        <w:adjustRightInd w:val="0"/>
        <w:spacing w:line="500" w:lineRule="exact"/>
        <w:ind w:firstLine="800" w:firstLineChars="250"/>
        <w:jc w:val="left"/>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（十）完成区委、区政府交办的其他任务。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8"/>
        <w:keepNext w:val="0"/>
        <w:keepLines w:val="0"/>
        <w:widowControl/>
        <w:suppressLineNumbers w:val="0"/>
        <w:spacing w:before="0" w:beforeAutospacing="0" w:after="0" w:afterAutospacing="0" w:line="450" w:lineRule="atLeast"/>
        <w:ind w:right="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（一）内设机构设置。</w:t>
      </w:r>
    </w:p>
    <w:p>
      <w:pPr>
        <w:tabs>
          <w:tab w:val="left" w:pos="7560"/>
        </w:tabs>
        <w:adjustRightInd w:val="0"/>
        <w:snapToGrid w:val="0"/>
        <w:spacing w:line="56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本</w:t>
      </w:r>
      <w:r>
        <w:rPr>
          <w:rFonts w:hint="default" w:ascii="Times New Roman" w:hAnsi="Times New Roman" w:eastAsia="仿宋_GB2312" w:cs="仿宋_GB2312"/>
          <w:color w:val="000000"/>
          <w:kern w:val="0"/>
          <w:sz w:val="32"/>
          <w:szCs w:val="32"/>
          <w:lang w:val="en-US" w:eastAsia="zh-CN" w:bidi="ar-SA"/>
        </w:rPr>
        <w:t>单位共有内设</w:t>
      </w:r>
      <w:r>
        <w:rPr>
          <w:rFonts w:hint="eastAsia" w:ascii="Times New Roman" w:hAnsi="Times New Roman" w:eastAsia="仿宋_GB2312" w:cs="仿宋_GB2312"/>
          <w:color w:val="000000"/>
          <w:kern w:val="0"/>
          <w:sz w:val="32"/>
          <w:szCs w:val="32"/>
          <w:lang w:val="en-US" w:eastAsia="zh-CN" w:bidi="ar-SA"/>
        </w:rPr>
        <w:t>1个</w:t>
      </w:r>
      <w:r>
        <w:rPr>
          <w:rFonts w:hint="default" w:ascii="Times New Roman" w:hAnsi="Times New Roman" w:eastAsia="仿宋_GB2312" w:cs="仿宋_GB2312"/>
          <w:color w:val="000000"/>
          <w:kern w:val="0"/>
          <w:sz w:val="32"/>
          <w:szCs w:val="32"/>
          <w:lang w:val="en-US" w:eastAsia="zh-CN" w:bidi="ar-SA"/>
        </w:rPr>
        <w:t>科室</w:t>
      </w:r>
      <w:r>
        <w:rPr>
          <w:rFonts w:hint="eastAsia" w:ascii="Times New Roman" w:hAnsi="Times New Roman" w:eastAsia="仿宋_GB2312" w:cs="仿宋_GB2312"/>
          <w:color w:val="000000"/>
          <w:kern w:val="0"/>
          <w:sz w:val="32"/>
          <w:szCs w:val="32"/>
          <w:lang w:val="en-US" w:eastAsia="zh-CN" w:bidi="ar-SA"/>
        </w:rPr>
        <w:t>—综合办公室，下设1个二级机构—石峰区退役军人服务中心，下无独立核算二级机构。（本单位为涉密单位，三定方案为秘密文件）。</w:t>
      </w:r>
    </w:p>
    <w:p>
      <w:pPr>
        <w:widowControl/>
        <w:numPr>
          <w:ilvl w:val="0"/>
          <w:numId w:val="2"/>
        </w:numPr>
        <w:spacing w:line="600" w:lineRule="exact"/>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决算单位构成。</w:t>
      </w:r>
    </w:p>
    <w:p>
      <w:pPr>
        <w:pStyle w:val="18"/>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本</w:t>
      </w:r>
      <w:r>
        <w:rPr>
          <w:rFonts w:hint="default" w:ascii="Times New Roman" w:hAnsi="Times New Roman" w:eastAsia="仿宋_GB2312" w:cs="仿宋_GB2312"/>
          <w:color w:val="000000"/>
          <w:kern w:val="0"/>
          <w:sz w:val="32"/>
          <w:szCs w:val="32"/>
          <w:lang w:val="en-US" w:eastAsia="zh-CN" w:bidi="ar-SA"/>
        </w:rPr>
        <w:t>单位共有内设</w:t>
      </w:r>
      <w:r>
        <w:rPr>
          <w:rFonts w:hint="eastAsia" w:ascii="Times New Roman" w:hAnsi="Times New Roman" w:eastAsia="仿宋_GB2312" w:cs="仿宋_GB2312"/>
          <w:color w:val="000000"/>
          <w:kern w:val="0"/>
          <w:sz w:val="32"/>
          <w:szCs w:val="32"/>
          <w:lang w:val="en-US" w:eastAsia="zh-CN" w:bidi="ar-SA"/>
        </w:rPr>
        <w:t>1个</w:t>
      </w:r>
      <w:r>
        <w:rPr>
          <w:rFonts w:hint="default" w:ascii="Times New Roman" w:hAnsi="Times New Roman" w:eastAsia="仿宋_GB2312" w:cs="仿宋_GB2312"/>
          <w:color w:val="000000"/>
          <w:kern w:val="0"/>
          <w:sz w:val="32"/>
          <w:szCs w:val="32"/>
          <w:lang w:val="en-US" w:eastAsia="zh-CN" w:bidi="ar-SA"/>
        </w:rPr>
        <w:t>科室</w:t>
      </w:r>
      <w:r>
        <w:rPr>
          <w:rFonts w:hint="eastAsia" w:ascii="Times New Roman" w:hAnsi="Times New Roman" w:eastAsia="仿宋_GB2312" w:cs="仿宋_GB2312"/>
          <w:color w:val="000000"/>
          <w:kern w:val="0"/>
          <w:sz w:val="32"/>
          <w:szCs w:val="32"/>
          <w:lang w:val="en-US" w:eastAsia="zh-CN" w:bidi="ar-SA"/>
        </w:rPr>
        <w:t>—综合办公室，下设1个二级机构—石峰区退役军人服务中心，下无独立核算二级机构。（本单位为涉密单位，三定方案为秘密文件）。</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8"/>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pPr>
        <w:pStyle w:val="18"/>
        <w:spacing w:line="57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4454.75</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1156.47</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35.06</w:t>
      </w:r>
      <w:r>
        <w:rPr>
          <w:rFonts w:hint="eastAsia" w:ascii="仿宋" w:hAnsi="仿宋" w:eastAsia="仿宋" w:cs="仿宋"/>
          <w:sz w:val="32"/>
          <w:szCs w:val="32"/>
        </w:rPr>
        <w:t>%，主要是因为</w:t>
      </w:r>
      <w:r>
        <w:rPr>
          <w:rFonts w:hint="eastAsia" w:ascii="仿宋" w:hAnsi="仿宋" w:eastAsia="仿宋" w:cs="仿宋"/>
          <w:sz w:val="32"/>
          <w:szCs w:val="32"/>
          <w:lang w:eastAsia="zh-CN"/>
        </w:rPr>
        <w:t>两区整合，经开区事项移交。</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pPr>
        <w:pStyle w:val="18"/>
        <w:spacing w:line="57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年度收入合计</w:t>
      </w:r>
      <w:r>
        <w:rPr>
          <w:rFonts w:hint="eastAsia" w:ascii="仿宋" w:hAnsi="仿宋" w:eastAsia="仿宋" w:cs="仿宋"/>
          <w:sz w:val="32"/>
          <w:szCs w:val="32"/>
          <w:lang w:val="en-US" w:eastAsia="zh-CN"/>
        </w:rPr>
        <w:t>4454.75</w:t>
      </w:r>
      <w:r>
        <w:rPr>
          <w:rFonts w:hint="eastAsia" w:ascii="仿宋" w:hAnsi="仿宋" w:eastAsia="仿宋" w:cs="仿宋"/>
          <w:sz w:val="32"/>
          <w:szCs w:val="32"/>
          <w:lang w:eastAsia="zh-CN"/>
        </w:rPr>
        <w:t>万元，其中：财政拨款收入</w:t>
      </w:r>
      <w:r>
        <w:rPr>
          <w:rFonts w:hint="eastAsia" w:ascii="仿宋" w:hAnsi="仿宋" w:eastAsia="仿宋" w:cs="仿宋"/>
          <w:sz w:val="32"/>
          <w:szCs w:val="32"/>
          <w:lang w:val="en-US" w:eastAsia="zh-CN"/>
        </w:rPr>
        <w:t>4384.85</w:t>
      </w:r>
      <w:r>
        <w:rPr>
          <w:rFonts w:hint="eastAsia" w:ascii="仿宋" w:hAnsi="仿宋" w:eastAsia="仿宋" w:cs="仿宋"/>
          <w:sz w:val="32"/>
          <w:szCs w:val="32"/>
          <w:lang w:eastAsia="zh-CN"/>
        </w:rPr>
        <w:t>万元，占</w:t>
      </w:r>
      <w:r>
        <w:rPr>
          <w:rFonts w:hint="eastAsia" w:ascii="仿宋" w:hAnsi="仿宋" w:eastAsia="仿宋" w:cs="仿宋"/>
          <w:sz w:val="32"/>
          <w:szCs w:val="32"/>
          <w:lang w:val="en-US" w:eastAsia="zh-CN"/>
        </w:rPr>
        <w:t>98.43</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69.90</w:t>
      </w:r>
      <w:r>
        <w:rPr>
          <w:rFonts w:hint="eastAsia" w:ascii="仿宋" w:hAnsi="仿宋" w:eastAsia="仿宋" w:cs="仿宋"/>
          <w:sz w:val="32"/>
          <w:szCs w:val="32"/>
          <w:lang w:eastAsia="zh-CN"/>
        </w:rPr>
        <w:t>万元，占</w:t>
      </w:r>
      <w:r>
        <w:rPr>
          <w:rFonts w:hint="eastAsia" w:ascii="仿宋" w:hAnsi="仿宋" w:eastAsia="仿宋" w:cs="仿宋"/>
          <w:sz w:val="32"/>
          <w:szCs w:val="32"/>
          <w:lang w:val="en-US" w:eastAsia="zh-CN"/>
        </w:rPr>
        <w:t>1.57</w:t>
      </w:r>
      <w:r>
        <w:rPr>
          <w:rFonts w:hint="eastAsia" w:ascii="仿宋" w:hAnsi="仿宋" w:eastAsia="仿宋" w:cs="仿宋"/>
          <w:sz w:val="32"/>
          <w:szCs w:val="32"/>
          <w:lang w:eastAsia="zh-CN"/>
        </w:rPr>
        <w:t>%。</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pPr>
        <w:pStyle w:val="18"/>
        <w:spacing w:line="57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年度支出合计</w:t>
      </w:r>
      <w:r>
        <w:rPr>
          <w:rFonts w:hint="eastAsia" w:ascii="仿宋" w:hAnsi="仿宋" w:eastAsia="仿宋" w:cs="仿宋"/>
          <w:sz w:val="32"/>
          <w:szCs w:val="32"/>
          <w:lang w:val="en-US" w:eastAsia="zh-CN"/>
        </w:rPr>
        <w:t>4454.75</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235.20</w:t>
      </w:r>
      <w:r>
        <w:rPr>
          <w:rFonts w:hint="eastAsia" w:ascii="仿宋" w:hAnsi="仿宋" w:eastAsia="仿宋" w:cs="仿宋"/>
          <w:sz w:val="32"/>
          <w:szCs w:val="32"/>
          <w:lang w:eastAsia="zh-CN"/>
        </w:rPr>
        <w:t>万元，占</w:t>
      </w:r>
      <w:r>
        <w:rPr>
          <w:rFonts w:hint="eastAsia" w:ascii="仿宋" w:hAnsi="仿宋" w:eastAsia="仿宋" w:cs="仿宋"/>
          <w:sz w:val="32"/>
          <w:szCs w:val="32"/>
          <w:lang w:val="en-US" w:eastAsia="zh-CN"/>
        </w:rPr>
        <w:t>5.28</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4219.55</w:t>
      </w:r>
      <w:r>
        <w:rPr>
          <w:rFonts w:hint="eastAsia" w:ascii="仿宋" w:hAnsi="仿宋" w:eastAsia="仿宋" w:cs="仿宋"/>
          <w:sz w:val="32"/>
          <w:szCs w:val="32"/>
          <w:lang w:eastAsia="zh-CN"/>
        </w:rPr>
        <w:t>万元，占</w:t>
      </w:r>
      <w:r>
        <w:rPr>
          <w:rFonts w:hint="eastAsia" w:ascii="仿宋" w:hAnsi="仿宋" w:eastAsia="仿宋" w:cs="仿宋"/>
          <w:sz w:val="32"/>
          <w:szCs w:val="32"/>
          <w:lang w:val="en-US" w:eastAsia="zh-CN"/>
        </w:rPr>
        <w:t>94.72</w:t>
      </w:r>
      <w:r>
        <w:rPr>
          <w:rFonts w:hint="eastAsia" w:ascii="仿宋" w:hAnsi="仿宋" w:eastAsia="仿宋" w:cs="仿宋"/>
          <w:sz w:val="32"/>
          <w:szCs w:val="32"/>
          <w:lang w:eastAsia="zh-CN"/>
        </w:rPr>
        <w:t>%。</w:t>
      </w:r>
    </w:p>
    <w:p>
      <w:pPr>
        <w:pStyle w:val="18"/>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年度财政拨款收、支总计</w:t>
      </w:r>
      <w:r>
        <w:rPr>
          <w:rFonts w:hint="eastAsia" w:ascii="仿宋" w:hAnsi="仿宋" w:eastAsia="仿宋" w:cs="仿宋"/>
          <w:sz w:val="32"/>
          <w:szCs w:val="32"/>
          <w:lang w:val="en-US" w:eastAsia="zh-CN"/>
        </w:rPr>
        <w:t>4384.85</w:t>
      </w:r>
      <w:r>
        <w:rPr>
          <w:rFonts w:hint="eastAsia" w:ascii="仿宋" w:hAnsi="仿宋" w:eastAsia="仿宋" w:cs="仿宋"/>
          <w:sz w:val="32"/>
          <w:szCs w:val="32"/>
          <w:lang w:eastAsia="zh-CN"/>
        </w:rPr>
        <w:t>万元，与上年相比，增加</w:t>
      </w:r>
      <w:r>
        <w:rPr>
          <w:rFonts w:hint="eastAsia" w:ascii="仿宋" w:hAnsi="仿宋" w:eastAsia="仿宋" w:cs="仿宋"/>
          <w:sz w:val="32"/>
          <w:szCs w:val="32"/>
          <w:lang w:val="en-US" w:eastAsia="zh-CN"/>
        </w:rPr>
        <w:t>1094.42</w:t>
      </w:r>
      <w:r>
        <w:rPr>
          <w:rFonts w:hint="eastAsia" w:ascii="仿宋" w:hAnsi="仿宋" w:eastAsia="仿宋" w:cs="仿宋"/>
          <w:sz w:val="32"/>
          <w:szCs w:val="32"/>
          <w:lang w:eastAsia="zh-CN"/>
        </w:rPr>
        <w:t>万元,增加</w:t>
      </w:r>
      <w:r>
        <w:rPr>
          <w:rFonts w:hint="eastAsia" w:ascii="仿宋" w:hAnsi="仿宋" w:eastAsia="仿宋" w:cs="仿宋"/>
          <w:sz w:val="32"/>
          <w:szCs w:val="32"/>
          <w:lang w:val="en-US" w:eastAsia="zh-CN"/>
        </w:rPr>
        <w:t>33.26</w:t>
      </w:r>
      <w:r>
        <w:rPr>
          <w:rFonts w:hint="eastAsia" w:ascii="仿宋" w:hAnsi="仿宋" w:eastAsia="仿宋" w:cs="仿宋"/>
          <w:sz w:val="32"/>
          <w:szCs w:val="32"/>
          <w:lang w:eastAsia="zh-CN"/>
        </w:rPr>
        <w:t>%，主要是因为两区整合，经开区事项移交。</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2023年度财政拨款支出4384.85万元，占本年支出合计的98.43%，与上年相比，财政拨款支出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1094.42</w:t>
      </w:r>
      <w:r>
        <w:rPr>
          <w:rFonts w:hint="eastAsia" w:ascii="仿宋" w:hAnsi="仿宋" w:eastAsia="仿宋" w:cs="仿宋"/>
          <w:sz w:val="32"/>
          <w:szCs w:val="32"/>
          <w:lang w:eastAsia="zh-CN"/>
        </w:rPr>
        <w:t>万元,增加</w:t>
      </w:r>
      <w:r>
        <w:rPr>
          <w:rFonts w:hint="eastAsia" w:ascii="仿宋" w:hAnsi="仿宋" w:eastAsia="仿宋" w:cs="仿宋"/>
          <w:sz w:val="32"/>
          <w:szCs w:val="32"/>
          <w:lang w:val="en-US" w:eastAsia="zh-CN"/>
        </w:rPr>
        <w:t>33.26</w:t>
      </w:r>
      <w:r>
        <w:rPr>
          <w:rFonts w:hint="eastAsia" w:ascii="仿宋" w:hAnsi="仿宋" w:eastAsia="仿宋" w:cs="仿宋"/>
          <w:sz w:val="32"/>
          <w:szCs w:val="32"/>
          <w:lang w:eastAsia="zh-CN"/>
        </w:rPr>
        <w:t>%，主要是因为两区整合，经开区事项移交。</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pPr>
        <w:pStyle w:val="18"/>
        <w:ind w:firstLine="640" w:firstLineChars="200"/>
        <w:rPr>
          <w:rFonts w:hint="eastAsia" w:asciiTheme="minorEastAsia" w:hAnsiTheme="minorEastAsia" w:eastAsiaTheme="minorEastAsia"/>
          <w:sz w:val="32"/>
          <w:szCs w:val="32"/>
          <w:lang w:eastAsia="zh-CN"/>
        </w:rPr>
      </w:pPr>
      <w:r>
        <w:rPr>
          <w:rFonts w:hint="eastAsia" w:ascii="仿宋" w:hAnsi="仿宋" w:eastAsia="仿宋" w:cs="仿宋"/>
          <w:sz w:val="32"/>
          <w:szCs w:val="32"/>
          <w:lang w:val="en-US" w:eastAsia="zh-CN"/>
        </w:rPr>
        <w:t>2023年度财政拨款支出4384.85万元，主要用于以下方面：社会保障和就业（类）支出4358.65万元，占99.40%；卫生健康（类）支出26.20万元，占0.60%。</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2023年度财政拨款支出年初预算数为852.93万元，支出决算数为4384.85万元，完成年初预算的514.09%，其中：</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1、社会保障和就业支出（类）抚恤（款）死亡抚恤（项）。</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年初预算为0万元，支出决算为27.12万元，完成年初预算的0%，决算数大于年初预算数的主要原因是：</w:t>
      </w:r>
      <w:r>
        <w:rPr>
          <w:rFonts w:hint="eastAsia" w:ascii="仿宋" w:hAnsi="仿宋" w:eastAsia="仿宋" w:cs="仿宋"/>
          <w:sz w:val="32"/>
          <w:szCs w:val="32"/>
          <w:lang w:eastAsia="zh-CN"/>
        </w:rPr>
        <w:t>两区整合，经开区事项移交。</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2、社会保障和就业支出（类）抚恤（款）伤残抚恤（项）。</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年初预算为0万元，支出决算为499.26万元，完成年初预算的0%，决算数大于年初预算数的主要原因是：</w:t>
      </w:r>
      <w:r>
        <w:rPr>
          <w:rFonts w:hint="eastAsia" w:ascii="仿宋" w:hAnsi="仿宋" w:eastAsia="仿宋" w:cs="仿宋"/>
          <w:sz w:val="32"/>
          <w:szCs w:val="32"/>
          <w:lang w:eastAsia="zh-CN"/>
        </w:rPr>
        <w:t>两区整合，经开区事项移交。</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3、社会保障和就业支出（类）抚恤（款）在乡复员、退伍军人生活补助（项）。</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年初预算为0万元，支出决算为16.06万元，完成年初预算的0%，决算数大于年初预算数的主要原因是：</w:t>
      </w:r>
      <w:r>
        <w:rPr>
          <w:rFonts w:hint="eastAsia" w:ascii="仿宋" w:hAnsi="仿宋" w:eastAsia="仿宋" w:cs="仿宋"/>
          <w:sz w:val="32"/>
          <w:szCs w:val="32"/>
          <w:lang w:eastAsia="zh-CN"/>
        </w:rPr>
        <w:t>两区整合，经开区事项移交。</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4、社会保障和就业支出（类）抚恤（款）义务兵优待（项）。</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年初预算为16.00万元，支出决算为812.00万元，完成年初预算的0%，决算数大于年初预算数的主要原因是：2023年度项目经费增加，</w:t>
      </w:r>
      <w:r>
        <w:rPr>
          <w:rFonts w:hint="eastAsia" w:ascii="仿宋" w:hAnsi="仿宋" w:eastAsia="仿宋" w:cs="仿宋"/>
          <w:sz w:val="32"/>
          <w:szCs w:val="32"/>
          <w:lang w:eastAsia="zh-CN"/>
        </w:rPr>
        <w:t>两区整合，经开区事项移交。</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5、社会保障和就业支出（类）抚恤（款）农村籍退役士兵老年生活补助（项）。</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年初预算为0万元，支出决算为66.12万元，完成年初预算的0%，决算数大于年初预算数的主要原因是：2023年度项目经费增加，</w:t>
      </w:r>
      <w:r>
        <w:rPr>
          <w:rFonts w:hint="eastAsia" w:ascii="仿宋" w:hAnsi="仿宋" w:eastAsia="仿宋" w:cs="仿宋"/>
          <w:sz w:val="32"/>
          <w:szCs w:val="32"/>
          <w:lang w:eastAsia="zh-CN"/>
        </w:rPr>
        <w:t>两区整合，经开区事项移交。</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6、社会保障和就业支出（类）抚恤（款）其他优抚支出（项）。</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年初预算为28万元，支出决算为668.93万元，完成年初预算的0%，决算数大于年初预算数的主要原因是：</w:t>
      </w:r>
      <w:r>
        <w:rPr>
          <w:rFonts w:hint="eastAsia" w:ascii="仿宋" w:hAnsi="仿宋" w:eastAsia="仿宋" w:cs="仿宋"/>
          <w:sz w:val="32"/>
          <w:szCs w:val="32"/>
          <w:lang w:eastAsia="zh-CN"/>
        </w:rPr>
        <w:t>两区整合，经开区事项移交，</w:t>
      </w:r>
      <w:r>
        <w:rPr>
          <w:rFonts w:hint="eastAsia" w:ascii="仿宋" w:hAnsi="仿宋" w:eastAsia="仿宋" w:cs="仿宋"/>
          <w:sz w:val="32"/>
          <w:szCs w:val="32"/>
          <w:lang w:val="en-US" w:eastAsia="zh-CN"/>
        </w:rPr>
        <w:t>项目经费增加。</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7、社会保障和就业支出（类）退役安置（款）军队移交政府的离退休人员安置（项）。</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年初预算为0万元，支出决算为923.92万元，完成年初预算的0%，决算数大于年初预算数的主要原因是：</w:t>
      </w:r>
      <w:r>
        <w:rPr>
          <w:rFonts w:hint="eastAsia" w:ascii="仿宋" w:hAnsi="仿宋" w:eastAsia="仿宋" w:cs="仿宋"/>
          <w:sz w:val="32"/>
          <w:szCs w:val="32"/>
          <w:lang w:eastAsia="zh-CN"/>
        </w:rPr>
        <w:t>两区整合，经开区事项移交，</w:t>
      </w:r>
      <w:r>
        <w:rPr>
          <w:rFonts w:hint="eastAsia" w:ascii="仿宋" w:hAnsi="仿宋" w:eastAsia="仿宋" w:cs="仿宋"/>
          <w:sz w:val="32"/>
          <w:szCs w:val="32"/>
          <w:lang w:val="en-US" w:eastAsia="zh-CN"/>
        </w:rPr>
        <w:t>项目经费增加。</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8、社会保障和就业支出（类）退役安置（款）军队置业干部安置（项）。</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年初预算为0万元，支出决算为2.48万元，完成年初预算的0%，决算数大于年初预算数的主要原因是：项目经费增加。</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9、社会保障和就业支出（类）退役安置（款）其他退役安置支出（项）。</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年初预算为0万元，支出决算为453.10万元，完成年初预算的0%，决算数大于年初预算数的主要原因是：</w:t>
      </w:r>
      <w:r>
        <w:rPr>
          <w:rFonts w:hint="eastAsia" w:ascii="仿宋" w:hAnsi="仿宋" w:eastAsia="仿宋" w:cs="仿宋"/>
          <w:sz w:val="32"/>
          <w:szCs w:val="32"/>
          <w:lang w:eastAsia="zh-CN"/>
        </w:rPr>
        <w:t>两区整合，经开区事项移交，</w:t>
      </w:r>
      <w:r>
        <w:rPr>
          <w:rFonts w:hint="eastAsia" w:ascii="仿宋" w:hAnsi="仿宋" w:eastAsia="仿宋" w:cs="仿宋"/>
          <w:sz w:val="32"/>
          <w:szCs w:val="32"/>
          <w:lang w:val="en-US" w:eastAsia="zh-CN"/>
        </w:rPr>
        <w:t>项目经费增加。</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10、社会保障和就业支出（类）退役军人管理事务（款）行政运行（项）。</w:t>
      </w:r>
    </w:p>
    <w:p>
      <w:pPr>
        <w:pStyle w:val="18"/>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年初预算为141.93万元，支出决算为165.30万元，完成年初预算的116.47%，决算数大于年初预算数的主要原因是：人员增加，社会保险费增加。</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11、社会保障和就业支出（类）退役军人管理事务（款）其他退役军人事务管理支出（项）。</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年初预算为320万元，支出决算为724.35万元，完成年初预算的226.36%，决算数大于年初预算数的主要原因是：</w:t>
      </w:r>
      <w:r>
        <w:rPr>
          <w:rFonts w:hint="eastAsia" w:ascii="仿宋" w:hAnsi="仿宋" w:eastAsia="仿宋" w:cs="仿宋"/>
          <w:sz w:val="32"/>
          <w:szCs w:val="32"/>
          <w:lang w:eastAsia="zh-CN"/>
        </w:rPr>
        <w:t>两区整合，经开区事项移交，</w:t>
      </w:r>
      <w:r>
        <w:rPr>
          <w:rFonts w:hint="eastAsia" w:ascii="仿宋" w:hAnsi="仿宋" w:eastAsia="仿宋" w:cs="仿宋"/>
          <w:sz w:val="32"/>
          <w:szCs w:val="32"/>
          <w:lang w:val="en-US" w:eastAsia="zh-CN"/>
        </w:rPr>
        <w:t>项目经费增加。</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12、卫生健康支出（类）优抚对象医疗（款）优抚对象医疗补助（项）。</w:t>
      </w:r>
    </w:p>
    <w:p>
      <w:pPr>
        <w:pStyle w:val="18"/>
        <w:ind w:firstLine="640" w:firstLineChars="200"/>
        <w:rPr>
          <w:rFonts w:asciiTheme="minorEastAsia" w:hAnsiTheme="minorEastAsia" w:eastAsiaTheme="minorEastAsia"/>
          <w:sz w:val="32"/>
          <w:szCs w:val="32"/>
        </w:rPr>
      </w:pPr>
      <w:r>
        <w:rPr>
          <w:rFonts w:hint="eastAsia" w:ascii="仿宋" w:hAnsi="仿宋" w:eastAsia="仿宋" w:cs="仿宋"/>
          <w:sz w:val="32"/>
          <w:szCs w:val="32"/>
          <w:lang w:val="en-US" w:eastAsia="zh-CN"/>
        </w:rPr>
        <w:t>年初预算为0万元，支出决算为26.20万元，完成年初预算的0%，决算数大于年初预算数的主要原因是：</w:t>
      </w:r>
      <w:r>
        <w:rPr>
          <w:rFonts w:hint="eastAsia" w:ascii="仿宋" w:hAnsi="仿宋" w:eastAsia="仿宋" w:cs="仿宋"/>
          <w:sz w:val="32"/>
          <w:szCs w:val="32"/>
          <w:lang w:eastAsia="zh-CN"/>
        </w:rPr>
        <w:t>两区整合，经开区事项移交，</w:t>
      </w:r>
      <w:r>
        <w:rPr>
          <w:rFonts w:hint="eastAsia" w:ascii="仿宋" w:hAnsi="仿宋" w:eastAsia="仿宋" w:cs="仿宋"/>
          <w:sz w:val="32"/>
          <w:szCs w:val="32"/>
          <w:lang w:val="en-US" w:eastAsia="zh-CN"/>
        </w:rPr>
        <w:t>项目经费增加。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pPr>
        <w:pStyle w:val="18"/>
        <w:ind w:firstLine="640" w:firstLineChars="200"/>
        <w:rPr>
          <w:rFonts w:ascii="Times New Roman" w:hAnsi="Times New Roman" w:cs="Times New Roman"/>
          <w:sz w:val="32"/>
          <w:szCs w:val="32"/>
        </w:rPr>
      </w:pPr>
      <w:r>
        <w:rPr>
          <w:rFonts w:hint="eastAsia" w:ascii="仿宋" w:hAnsi="仿宋" w:eastAsia="仿宋" w:cs="仿宋"/>
          <w:sz w:val="32"/>
          <w:szCs w:val="32"/>
          <w:lang w:val="en-US" w:eastAsia="zh-CN"/>
        </w:rPr>
        <w:t>2023年度财政拨款基本支出165.29万元，其中：人员经费147.53万元，占基本支出的89.26%,主要包括基本工资、津贴补贴、奖金、伙食补助费、机关事业单位基本养老保险缴费、奖励金等；公用经费17.76万元，占基本支出的10.74%，主要包括办公费、印刷费、邮电费、其他交通费等。</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p>
    <w:p>
      <w:pPr>
        <w:pStyle w:val="18"/>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8"/>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pPr>
        <w:pStyle w:val="18"/>
        <w:ind w:firstLine="640" w:firstLineChars="200"/>
        <w:rPr>
          <w:rFonts w:hint="eastAsia" w:ascii="Times New Roman" w:hAnsi="Times New Roman" w:eastAsia="黑体" w:cs="黑体"/>
          <w:color w:val="000000"/>
          <w:kern w:val="0"/>
          <w:sz w:val="32"/>
          <w:szCs w:val="32"/>
        </w:rPr>
      </w:pPr>
      <w:r>
        <w:rPr>
          <w:rFonts w:hint="eastAsia" w:ascii="仿宋" w:hAnsi="仿宋" w:eastAsia="仿宋" w:cs="黑体"/>
          <w:color w:val="000000"/>
          <w:kern w:val="0"/>
          <w:sz w:val="32"/>
          <w:szCs w:val="32"/>
          <w:lang w:val="en-US" w:eastAsia="zh-CN" w:bidi="ar-SA"/>
        </w:rPr>
        <w:t xml:space="preserve"> 2023年度政府性基金预算财政拨款收入0万元；年初结转和结余0万元；支出0万元，其中基本支出0万元，项目支出0万元；年末结转和结余0万元。</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pPr>
        <w:pStyle w:val="18"/>
        <w:ind w:firstLine="640" w:firstLineChars="200"/>
        <w:rPr>
          <w:rFonts w:asciiTheme="minorEastAsia" w:hAnsiTheme="minorEastAsia" w:eastAsiaTheme="minorEastAsia"/>
          <w:sz w:val="32"/>
          <w:szCs w:val="32"/>
        </w:rPr>
      </w:pPr>
      <w:r>
        <w:rPr>
          <w:rFonts w:hint="eastAsia" w:ascii="仿宋" w:hAnsi="仿宋" w:eastAsia="仿宋" w:cs="黑体"/>
          <w:color w:val="000000"/>
          <w:kern w:val="0"/>
          <w:sz w:val="32"/>
          <w:szCs w:val="32"/>
          <w:lang w:val="en-US" w:eastAsia="zh-CN" w:bidi="ar-SA"/>
        </w:rPr>
        <w:t>本部门2023年度机关运行经费支出17.76万元，比上年决算数增加5.70万元，增长47.26%。主要原因是：职能转变，人员经费增加。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pPr>
        <w:pStyle w:val="8"/>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2023年本部门开支会议费0万元；开支培训费0.49万元。主要用于事业单位人员培训费用。</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pPr>
        <w:pStyle w:val="18"/>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本部门2023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8"/>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根据预算绩效管理要求，我单位组织对2023年度一般公共预算项目支出全面开展绩效自评，其中，一级项目5个，二级项目0 个，共涉及资金</w:t>
      </w:r>
      <w:r>
        <w:rPr>
          <w:rFonts w:hint="eastAsia" w:ascii="Times New Roman" w:hAnsi="Times New Roman" w:eastAsia="仿宋_GB2312" w:cs="Times New Roman"/>
          <w:color w:val="auto"/>
          <w:sz w:val="32"/>
          <w:szCs w:val="32"/>
          <w:lang w:val="en-US" w:eastAsia="zh-CN"/>
        </w:rPr>
        <w:t>3843.92</w:t>
      </w:r>
      <w:r>
        <w:rPr>
          <w:rFonts w:hint="eastAsia" w:ascii="仿宋" w:hAnsi="仿宋" w:eastAsia="仿宋" w:cs="黑体"/>
          <w:color w:val="000000"/>
          <w:kern w:val="0"/>
          <w:sz w:val="32"/>
          <w:szCs w:val="32"/>
          <w:lang w:val="en-US" w:eastAsia="zh-CN" w:bidi="ar-SA"/>
        </w:rPr>
        <w:t xml:space="preserve"> 万元，占一般公共预算项目支出总额的100%。</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优抚安置专项经费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345.00</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25.67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5113.02万元，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3843.92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1588.43</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优抚安置专项经费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3843.92</w:t>
      </w:r>
      <w:r>
        <w:rPr>
          <w:rFonts w:hint="default" w:ascii="Times New Roman" w:hAnsi="Times New Roman" w:eastAsia="仿宋_GB2312" w:cs="Times New Roman"/>
          <w:color w:val="auto"/>
          <w:sz w:val="32"/>
          <w:szCs w:val="32"/>
        </w:rPr>
        <w:t>万元，主要用于优抚人员生活补助及义务兵优待金补助。</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烈士纪念设施整修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城镇军队退役人员就业援助资金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320.00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48.01万元，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335.67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32.34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城镇军队退役人员就业援助资金</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335.67</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发放城镇军队退役人员就业援助岗位补助</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困难帮扶</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28.00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23.96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4.04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困难帮扶</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23.96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大学生应征入伍奖励</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大学生应征入伍奖励</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8"/>
        <w:jc w:val="both"/>
        <w:rPr>
          <w:rFonts w:hint="eastAsia" w:ascii="Times New Roman" w:hAnsi="Times New Roman" w:cs="Times New Roman"/>
          <w:sz w:val="72"/>
          <w:szCs w:val="72"/>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8"/>
        <w:jc w:val="center"/>
        <w:rPr>
          <w:rFonts w:ascii="Times New Roman" w:hAnsi="Times New Roman" w:eastAsia="方正小标宋简体" w:cs="Times New Roman"/>
          <w:sz w:val="56"/>
          <w:szCs w:val="56"/>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8"/>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8"/>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8"/>
        <w:spacing w:line="596" w:lineRule="exact"/>
        <w:jc w:val="center"/>
        <w:rPr>
          <w:rFonts w:hint="eastAsia" w:ascii="Times New Roman" w:hAnsi="Times New Roman" w:eastAsia="方正小标宋简体" w:cs="Times New Roman"/>
          <w:sz w:val="32"/>
          <w:szCs w:val="32"/>
          <w:lang w:eastAsia="zh-CN"/>
        </w:rPr>
      </w:pPr>
    </w:p>
    <w:p>
      <w:pPr>
        <w:pStyle w:val="18"/>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2E3A9F"/>
    <w:multiLevelType w:val="singleLevel"/>
    <w:tmpl w:val="942E3A9F"/>
    <w:lvl w:ilvl="0" w:tentative="0">
      <w:start w:val="2"/>
      <w:numFmt w:val="chineseCounting"/>
      <w:suff w:val="nothing"/>
      <w:lvlText w:val="（%1）"/>
      <w:lvlJc w:val="left"/>
      <w:rPr>
        <w:rFonts w:hint="eastAsia"/>
      </w:r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NjFlYzQ2YjlhNWJkYTAzNzUyYzZkMTQzM2M4M2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0EA5A3E"/>
    <w:rsid w:val="11E43B98"/>
    <w:rsid w:val="12E020B5"/>
    <w:rsid w:val="13692089"/>
    <w:rsid w:val="18985D2F"/>
    <w:rsid w:val="18FA38C9"/>
    <w:rsid w:val="1B323160"/>
    <w:rsid w:val="1B714E5F"/>
    <w:rsid w:val="1E532BCB"/>
    <w:rsid w:val="1E8F77F1"/>
    <w:rsid w:val="1EBE63A2"/>
    <w:rsid w:val="1F041D62"/>
    <w:rsid w:val="1F3B1D55"/>
    <w:rsid w:val="1F6317DE"/>
    <w:rsid w:val="1F745786"/>
    <w:rsid w:val="21B1218A"/>
    <w:rsid w:val="238B2E7B"/>
    <w:rsid w:val="2AD95BF4"/>
    <w:rsid w:val="2B1027C0"/>
    <w:rsid w:val="2F101369"/>
    <w:rsid w:val="321612FC"/>
    <w:rsid w:val="32B56379"/>
    <w:rsid w:val="38090922"/>
    <w:rsid w:val="38D75D21"/>
    <w:rsid w:val="395219B1"/>
    <w:rsid w:val="409F0FB9"/>
    <w:rsid w:val="46BE0A2A"/>
    <w:rsid w:val="472236C4"/>
    <w:rsid w:val="47867568"/>
    <w:rsid w:val="47C05439"/>
    <w:rsid w:val="4B1C68ED"/>
    <w:rsid w:val="4B8003CD"/>
    <w:rsid w:val="4F976C0B"/>
    <w:rsid w:val="523F5138"/>
    <w:rsid w:val="538D47D7"/>
    <w:rsid w:val="538E105C"/>
    <w:rsid w:val="53BF69FD"/>
    <w:rsid w:val="57B1418D"/>
    <w:rsid w:val="591A5257"/>
    <w:rsid w:val="5D2E7409"/>
    <w:rsid w:val="60841B7E"/>
    <w:rsid w:val="635D15B9"/>
    <w:rsid w:val="64714AD2"/>
    <w:rsid w:val="64857E64"/>
    <w:rsid w:val="65965345"/>
    <w:rsid w:val="65F04BE5"/>
    <w:rsid w:val="6A484E25"/>
    <w:rsid w:val="6D9A1D96"/>
    <w:rsid w:val="6E0F6D2F"/>
    <w:rsid w:val="6EAE4254"/>
    <w:rsid w:val="70A56CEF"/>
    <w:rsid w:val="74205B29"/>
    <w:rsid w:val="757D1374"/>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ody Text"/>
    <w:basedOn w:val="1"/>
    <w:link w:val="14"/>
    <w:qFormat/>
    <w:uiPriority w:val="99"/>
    <w:pPr>
      <w:spacing w:before="100" w:beforeAutospacing="1" w:after="120"/>
    </w:pPr>
    <w:rPr>
      <w:rFonts w:ascii="Times New Roman" w:hAnsi="Times New Roman" w:cs="Times New Roman"/>
    </w:rPr>
  </w:style>
  <w:style w:type="paragraph" w:styleId="4">
    <w:name w:val="Body Text Indent"/>
    <w:basedOn w:val="1"/>
    <w:qFormat/>
    <w:uiPriority w:val="0"/>
    <w:pPr>
      <w:ind w:left="420" w:leftChars="200"/>
    </w:pPr>
    <w:rPr>
      <w:rFonts w:ascii="Times New Roman" w:hAnsi="Times New Roman"/>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Body Text First Indent 2"/>
    <w:basedOn w:val="4"/>
    <w:qFormat/>
    <w:uiPriority w:val="0"/>
    <w:pPr>
      <w:ind w:firstLine="420"/>
    </w:pPr>
  </w:style>
  <w:style w:type="character" w:styleId="12">
    <w:name w:val="annotation reference"/>
    <w:basedOn w:val="11"/>
    <w:semiHidden/>
    <w:qFormat/>
    <w:uiPriority w:val="99"/>
    <w:rPr>
      <w:sz w:val="21"/>
      <w:szCs w:val="21"/>
    </w:rPr>
  </w:style>
  <w:style w:type="character" w:customStyle="1" w:styleId="13">
    <w:name w:val="批注文字 Char"/>
    <w:basedOn w:val="11"/>
    <w:link w:val="2"/>
    <w:semiHidden/>
    <w:qFormat/>
    <w:locked/>
    <w:uiPriority w:val="99"/>
    <w:rPr>
      <w:rFonts w:ascii="Calibri" w:hAnsi="Calibri" w:cs="Calibri"/>
      <w:sz w:val="21"/>
      <w:szCs w:val="21"/>
    </w:rPr>
  </w:style>
  <w:style w:type="character" w:customStyle="1" w:styleId="14">
    <w:name w:val="正文文本 Char"/>
    <w:basedOn w:val="11"/>
    <w:link w:val="3"/>
    <w:qFormat/>
    <w:locked/>
    <w:uiPriority w:val="99"/>
    <w:rPr>
      <w:rFonts w:eastAsia="宋体"/>
      <w:kern w:val="2"/>
      <w:sz w:val="21"/>
      <w:szCs w:val="21"/>
      <w:lang w:val="en-US" w:eastAsia="zh-CN"/>
    </w:rPr>
  </w:style>
  <w:style w:type="character" w:customStyle="1" w:styleId="15">
    <w:name w:val="批注框文本 Char"/>
    <w:basedOn w:val="11"/>
    <w:link w:val="5"/>
    <w:semiHidden/>
    <w:qFormat/>
    <w:locked/>
    <w:uiPriority w:val="99"/>
    <w:rPr>
      <w:sz w:val="18"/>
      <w:szCs w:val="18"/>
    </w:rPr>
  </w:style>
  <w:style w:type="character" w:customStyle="1" w:styleId="16">
    <w:name w:val="页脚 Char"/>
    <w:basedOn w:val="11"/>
    <w:link w:val="6"/>
    <w:qFormat/>
    <w:locked/>
    <w:uiPriority w:val="99"/>
    <w:rPr>
      <w:sz w:val="18"/>
      <w:szCs w:val="18"/>
    </w:rPr>
  </w:style>
  <w:style w:type="character" w:customStyle="1" w:styleId="17">
    <w:name w:val="页眉 Char"/>
    <w:basedOn w:val="11"/>
    <w:link w:val="7"/>
    <w:qFormat/>
    <w:locked/>
    <w:uiPriority w:val="99"/>
    <w:rPr>
      <w:sz w:val="18"/>
      <w:szCs w:val="18"/>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99"/>
    <w:pPr>
      <w:ind w:firstLine="420" w:firstLineChars="200"/>
    </w:pPr>
  </w:style>
  <w:style w:type="paragraph" w:customStyle="1" w:styleId="2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5277</Words>
  <Characters>5751</Characters>
  <Lines>56</Lines>
  <Paragraphs>15</Paragraphs>
  <TotalTime>2</TotalTime>
  <ScaleCrop>false</ScaleCrop>
  <LinksUpToDate>false</LinksUpToDate>
  <CharactersWithSpaces>5769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2024-11-13T07:57:24Z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