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 xml:space="preserve">区退役军人事务局为 2019 年新成立机构，根据相关文件规 定，本部门主要职责是： </w:t>
      </w:r>
    </w:p>
    <w:p>
      <w:pPr>
        <w:numPr>
          <w:ilvl w:val="0"/>
          <w:numId w:val="1"/>
        </w:num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 xml:space="preserve">贯彻执行党和国家关于退役军人思想政治、管理保 障和安置优抚等工作政策法规，拟订全区退役军人事务发展规 划和政策，并组织实施；褒扬彰显退役军人为党、国家和人民 牺牲奉献的精神风范和价值导向。 </w:t>
      </w:r>
    </w:p>
    <w:p>
      <w:pPr>
        <w:numPr>
          <w:ilvl w:val="0"/>
          <w:numId w:val="1"/>
        </w:numPr>
        <w:tabs>
          <w:tab w:val="left" w:pos="7560"/>
        </w:tabs>
        <w:adjustRightInd w:val="0"/>
        <w:snapToGrid w:val="0"/>
        <w:spacing w:line="540" w:lineRule="exact"/>
        <w:ind w:left="0" w:leftChars="0"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rPr>
        <w:t xml:space="preserve">负责全区军队转业干部、复员干部、离休退休干部、 退役士兵和无军籍退休退职职工的移交安置工作和自主择业、 就业退役军人服务管理工作。 </w:t>
      </w:r>
      <w:r>
        <w:rPr>
          <w:rFonts w:hint="eastAsia" w:ascii="仿宋_GB2312" w:eastAsia="仿宋_GB2312"/>
          <w:sz w:val="32"/>
          <w:szCs w:val="32"/>
          <w:highlight w:val="none"/>
          <w:lang w:val="en-US" w:eastAsia="zh-CN"/>
        </w:rPr>
        <w:t xml:space="preserve">            </w:t>
      </w:r>
    </w:p>
    <w:p>
      <w:pPr>
        <w:numPr>
          <w:ilvl w:val="0"/>
          <w:numId w:val="1"/>
        </w:numPr>
        <w:tabs>
          <w:tab w:val="left" w:pos="7560"/>
        </w:tabs>
        <w:adjustRightInd w:val="0"/>
        <w:snapToGrid w:val="0"/>
        <w:spacing w:line="540" w:lineRule="exact"/>
        <w:ind w:left="0" w:leftChars="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 xml:space="preserve">组织指导全区退役军人教育培训工作，协调扶持退 役军人和随军随调家属就业创业。 </w:t>
      </w:r>
    </w:p>
    <w:p>
      <w:pPr>
        <w:numPr>
          <w:ilvl w:val="0"/>
          <w:numId w:val="1"/>
        </w:numPr>
        <w:tabs>
          <w:tab w:val="left" w:pos="7560"/>
        </w:tabs>
        <w:adjustRightInd w:val="0"/>
        <w:snapToGrid w:val="0"/>
        <w:spacing w:line="540" w:lineRule="exact"/>
        <w:ind w:left="0" w:leftChars="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 xml:space="preserve">贯彻落实国家关于退役军人的特殊保障政策，会同 有关部门制定相关政策，并组织实施。 </w:t>
      </w:r>
    </w:p>
    <w:p>
      <w:pPr>
        <w:numPr>
          <w:ilvl w:val="0"/>
          <w:numId w:val="1"/>
        </w:numPr>
        <w:tabs>
          <w:tab w:val="left" w:pos="7560"/>
        </w:tabs>
        <w:adjustRightInd w:val="0"/>
        <w:snapToGrid w:val="0"/>
        <w:spacing w:line="540" w:lineRule="exact"/>
        <w:ind w:left="0" w:leftChars="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 xml:space="preserve">组织协调落实全市移交地方的离休退休军人、符合 条件的其他退役军人和无军籍退休退职职工以及退役军人医疗 保障、社会保险等待遇保障工作。 </w:t>
      </w:r>
    </w:p>
    <w:p>
      <w:pPr>
        <w:numPr>
          <w:ilvl w:val="0"/>
          <w:numId w:val="1"/>
        </w:numPr>
        <w:tabs>
          <w:tab w:val="left" w:pos="7560"/>
        </w:tabs>
        <w:adjustRightInd w:val="0"/>
        <w:snapToGrid w:val="0"/>
        <w:spacing w:line="540" w:lineRule="exact"/>
        <w:ind w:left="0" w:leftChars="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 xml:space="preserve">组织指导全区伤病残退役军人服务管理和抚恤工作， 贯彻落实有关退役军人医疗、疗养、养老等机构的规划政策并 指导实施。承担全区不适宜继续服役的伤病残军人相关工作。 </w:t>
      </w:r>
    </w:p>
    <w:p>
      <w:pPr>
        <w:numPr>
          <w:ilvl w:val="0"/>
          <w:numId w:val="1"/>
        </w:numPr>
        <w:tabs>
          <w:tab w:val="left" w:pos="7560"/>
        </w:tabs>
        <w:adjustRightInd w:val="0"/>
        <w:snapToGrid w:val="0"/>
        <w:spacing w:line="540" w:lineRule="exact"/>
        <w:ind w:left="0" w:leftChars="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 xml:space="preserve">组织指导全区拥军优属工作。负责全区现役军人、 退役军人、军队文职人员和军属优待、抚恤等工作。 </w:t>
      </w:r>
    </w:p>
    <w:p>
      <w:pPr>
        <w:numPr>
          <w:ilvl w:val="0"/>
          <w:numId w:val="1"/>
        </w:numPr>
        <w:tabs>
          <w:tab w:val="left" w:pos="7560"/>
        </w:tabs>
        <w:adjustRightInd w:val="0"/>
        <w:snapToGrid w:val="0"/>
        <w:spacing w:line="540" w:lineRule="exact"/>
        <w:ind w:left="0" w:leftChars="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 xml:space="preserve">负责全区烈士及退役军人荣誉奖励、军人公墓管理 维护、纪念活动等工作，依法承担英雄烈士保护相关工作，总 结表彰和宣扬退役军人、退役军人工作单位和个人先进典型事 迹。 </w:t>
      </w:r>
    </w:p>
    <w:p>
      <w:pPr>
        <w:numPr>
          <w:ilvl w:val="0"/>
          <w:numId w:val="1"/>
        </w:numPr>
        <w:tabs>
          <w:tab w:val="left" w:pos="7560"/>
        </w:tabs>
        <w:adjustRightInd w:val="0"/>
        <w:snapToGrid w:val="0"/>
        <w:spacing w:line="540" w:lineRule="exact"/>
        <w:ind w:left="0" w:leftChars="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指导并监督检查退役军人相关法律法规和政策措施 的落实；开展全区退役军人权益维护和有关人员的帮扶援助工 作。</w:t>
      </w:r>
    </w:p>
    <w:p>
      <w:pPr>
        <w:numPr>
          <w:ilvl w:val="0"/>
          <w:numId w:val="1"/>
        </w:numPr>
        <w:tabs>
          <w:tab w:val="left" w:pos="7560"/>
        </w:tabs>
        <w:adjustRightInd w:val="0"/>
        <w:snapToGrid w:val="0"/>
        <w:spacing w:line="540" w:lineRule="exact"/>
        <w:ind w:left="0" w:leftChars="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完成区委、区政府交办的其他任务。</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仿宋_GB2312" w:eastAsia="仿宋_GB2312"/>
          <w:sz w:val="32"/>
          <w:szCs w:val="32"/>
          <w:highlight w:val="none"/>
        </w:rPr>
        <w:t>本单位共有内设 1 个科室—综合办公室，下设 1 个二级机构—石峰区退役军人服务中心，下无独立核算二级机构。（本单位为涉密单位，三定方案为秘密文件）。</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4454.75</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1326.19</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3128.56</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69.90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4454.75</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235.20</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4219.55</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1679.82</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Chars="200" w:right="0" w:rightChars="0"/>
        <w:textAlignment w:val="auto"/>
        <w:outlineLvl w:val="0"/>
        <w:rPr>
          <w:rFonts w:hint="eastAsia" w:ascii="仿宋_GB2312" w:hAnsi="仿宋_GB2312" w:eastAsia="仿宋_GB2312" w:cs="仿宋_GB2312"/>
          <w:i w:val="0"/>
          <w:caps w:val="0"/>
          <w:color w:val="auto"/>
          <w:spacing w:val="8"/>
          <w:sz w:val="32"/>
          <w:szCs w:val="32"/>
          <w:shd w:val="clear" w:fill="FFFFFF"/>
        </w:rPr>
      </w:pPr>
      <w:r>
        <w:rPr>
          <w:rFonts w:hint="eastAsia" w:ascii="仿宋_GB2312" w:hAnsi="仿宋_GB2312" w:eastAsia="仿宋_GB2312" w:cs="仿宋_GB2312"/>
          <w:i w:val="0"/>
          <w:caps w:val="0"/>
          <w:color w:val="auto"/>
          <w:spacing w:val="8"/>
          <w:sz w:val="32"/>
          <w:szCs w:val="32"/>
          <w:shd w:val="clear" w:fill="FFFFFF"/>
        </w:rPr>
        <w:t>（</w:t>
      </w:r>
      <w:r>
        <w:rPr>
          <w:rFonts w:hint="eastAsia" w:ascii="仿宋_GB2312" w:hAnsi="仿宋_GB2312" w:eastAsia="仿宋_GB2312" w:cs="仿宋_GB2312"/>
          <w:i w:val="0"/>
          <w:caps w:val="0"/>
          <w:color w:val="auto"/>
          <w:spacing w:val="8"/>
          <w:sz w:val="32"/>
          <w:szCs w:val="32"/>
          <w:shd w:val="clear" w:fill="FFFFFF"/>
          <w:lang w:val="en-US" w:eastAsia="zh-CN"/>
        </w:rPr>
        <w:t>1</w:t>
      </w:r>
      <w:r>
        <w:rPr>
          <w:rFonts w:hint="eastAsia" w:ascii="仿宋_GB2312" w:hAnsi="仿宋_GB2312" w:eastAsia="仿宋_GB2312" w:cs="仿宋_GB2312"/>
          <w:i w:val="0"/>
          <w:caps w:val="0"/>
          <w:color w:val="auto"/>
          <w:spacing w:val="8"/>
          <w:sz w:val="32"/>
          <w:szCs w:val="32"/>
          <w:shd w:val="clear" w:fill="FFFFFF"/>
        </w:rPr>
        <w:t>）强化自身建设,提高履职尽责能力</w:t>
      </w:r>
    </w:p>
    <w:p>
      <w:pPr>
        <w:pStyle w:val="9"/>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val="en-US" w:eastAsia="zh-CN"/>
        </w:rPr>
        <w:t>一是</w:t>
      </w:r>
      <w:r>
        <w:rPr>
          <w:rFonts w:hint="eastAsia" w:ascii="仿宋_GB2312" w:hAnsi="仿宋_GB2312" w:eastAsia="仿宋_GB2312" w:cs="仿宋_GB2312"/>
          <w:color w:val="auto"/>
          <w:sz w:val="32"/>
          <w:szCs w:val="32"/>
          <w:shd w:val="clear" w:color="auto" w:fill="FFFFFF"/>
        </w:rPr>
        <w:t>突出党建引领</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狠抓政治建设</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党组</w:t>
      </w:r>
      <w:r>
        <w:rPr>
          <w:rFonts w:hint="eastAsia" w:ascii="仿宋_GB2312" w:hAnsi="仿宋_GB2312" w:eastAsia="仿宋_GB2312" w:cs="仿宋_GB2312"/>
          <w:color w:val="auto"/>
          <w:sz w:val="32"/>
          <w:szCs w:val="32"/>
          <w:shd w:val="clear" w:color="auto" w:fill="FFFFFF"/>
        </w:rPr>
        <w:t>及时跟进学习马克思主义中国化的最新理论成果和习近平总书记近期重要讲话重要指示精神。认真贯彻落实党中央和省委、市委、区委决策部署，坚决拥护“两个确立”，增强“四个意识”，坚定“四个自信”，做到“两个维护”。党组召开民主生活会</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次，</w:t>
      </w:r>
      <w:r>
        <w:rPr>
          <w:rFonts w:hint="eastAsia" w:ascii="仿宋_GB2312" w:hAnsi="仿宋_GB2312" w:eastAsia="仿宋_GB2312" w:cs="仿宋_GB2312"/>
          <w:color w:val="auto"/>
          <w:sz w:val="32"/>
          <w:szCs w:val="32"/>
          <w:shd w:val="clear" w:color="auto" w:fill="FFFFFF"/>
          <w:lang w:val="en-US" w:eastAsia="zh-CN"/>
        </w:rPr>
        <w:t>召开理论中心组学习10次</w:t>
      </w:r>
      <w:r>
        <w:rPr>
          <w:rFonts w:hint="eastAsia" w:ascii="仿宋_GB2312" w:hAnsi="仿宋_GB2312" w:eastAsia="仿宋_GB2312" w:cs="仿宋_GB2312"/>
          <w:color w:val="auto"/>
          <w:sz w:val="32"/>
          <w:szCs w:val="32"/>
          <w:shd w:val="clear" w:color="auto" w:fill="FFFFFF"/>
        </w:rPr>
        <w:t>。支部换届顺利完成。二是加强意识形态和党风廉政建设工作。党组定期研究意识形态和党风廉政建设工作，组织观看了《忠诚与背叛》警示教育视频，学习了中央纪委、省纪委、市纪委、区纪委相关全会精神，开展了违规兼职自查</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rPr>
        <w:t>“指尖上的形式主义”整治工作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领导干部利用职权或影响力为亲友牟利专项整治工作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“两带头五整治”纠风防腐专项行动</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lang w:val="en-US" w:eastAsia="zh-CN"/>
        </w:rPr>
        <w:t>学习了关于赌博、酒驾、会风会纪等问题通报，</w:t>
      </w:r>
      <w:r>
        <w:rPr>
          <w:rFonts w:hint="eastAsia" w:ascii="仿宋_GB2312" w:hAnsi="仿宋_GB2312" w:eastAsia="仿宋_GB2312" w:cs="仿宋_GB2312"/>
          <w:color w:val="auto"/>
          <w:sz w:val="32"/>
          <w:szCs w:val="32"/>
          <w:shd w:val="clear" w:color="auto" w:fill="FFFFFF"/>
        </w:rPr>
        <w:t>始终保持反腐倡廉高度的思想自觉、政治自觉、行动自觉。</w:t>
      </w:r>
      <w:r>
        <w:rPr>
          <w:rFonts w:hint="eastAsia" w:ascii="仿宋_GB2312" w:hAnsi="仿宋_GB2312" w:eastAsia="仿宋_GB2312" w:cs="仿宋_GB2312"/>
          <w:color w:val="auto"/>
          <w:sz w:val="32"/>
          <w:szCs w:val="32"/>
          <w:lang w:val="en-US" w:eastAsia="zh-CN"/>
        </w:rPr>
        <w:t>答复了纪委关于优待金发放、军休人员明白条、以及工作人员服务态度的函询。</w:t>
      </w:r>
      <w:r>
        <w:rPr>
          <w:rFonts w:hint="eastAsia" w:ascii="仿宋_GB2312" w:hAnsi="仿宋_GB2312" w:eastAsia="仿宋_GB2312" w:cs="仿宋_GB2312"/>
          <w:color w:val="auto"/>
          <w:sz w:val="32"/>
          <w:szCs w:val="32"/>
          <w:shd w:val="clear" w:color="auto" w:fill="FFFFFF"/>
        </w:rPr>
        <w:t>三是积极参与区中心工作。组织干部参加“百名干部进小区”</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“千名干部进万户”活动。</w:t>
      </w:r>
      <w:r>
        <w:rPr>
          <w:rFonts w:hint="eastAsia" w:ascii="仿宋_GB2312" w:hAnsi="仿宋_GB2312" w:eastAsia="仿宋_GB2312" w:cs="仿宋_GB2312"/>
          <w:color w:val="auto"/>
          <w:sz w:val="32"/>
          <w:szCs w:val="32"/>
          <w:shd w:val="clear" w:color="auto" w:fill="FFFFFF"/>
        </w:rPr>
        <w:t>活动中，派驻到白石港社区，提升社区治理水平</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积极联系群众，切实解决群众难题。四是支部作用充分发挥。</w:t>
      </w:r>
      <w:r>
        <w:rPr>
          <w:rFonts w:hint="eastAsia" w:ascii="仿宋_GB2312" w:hAnsi="仿宋_GB2312" w:eastAsia="仿宋_GB2312" w:cs="仿宋_GB2312"/>
          <w:color w:val="auto"/>
          <w:sz w:val="32"/>
          <w:szCs w:val="32"/>
          <w:shd w:val="clear" w:color="auto" w:fill="FFFFFF"/>
        </w:rPr>
        <w:t>支部召开组织生活会1次、开展主题党日活动5次</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开展镜鉴大讨论1次、开展主题教育1次。积极组织党员干部参加“</w:t>
      </w:r>
      <w:r>
        <w:rPr>
          <w:rFonts w:hint="eastAsia" w:ascii="仿宋_GB2312" w:hAnsi="仿宋_GB2312" w:eastAsia="仿宋_GB2312" w:cs="仿宋_GB2312"/>
          <w:color w:val="auto"/>
          <w:sz w:val="32"/>
          <w:szCs w:val="32"/>
          <w:lang w:val="en-US" w:eastAsia="zh-CN"/>
        </w:rPr>
        <w:t>大调研、提能力、建新功”主题竞赛，组织参加了办公室业务系统培训、服务中心主任培训、党员轮训、保密教育培训、二十大精神培训、就业创业培训等培训，系统性提升服务能力，</w:t>
      </w:r>
      <w:r>
        <w:rPr>
          <w:rFonts w:hint="eastAsia" w:ascii="仿宋_GB2312" w:hAnsi="仿宋_GB2312" w:eastAsia="仿宋_GB2312" w:cs="仿宋_GB2312"/>
          <w:i w:val="0"/>
          <w:caps w:val="0"/>
          <w:color w:val="auto"/>
          <w:spacing w:val="0"/>
          <w:sz w:val="32"/>
          <w:szCs w:val="32"/>
          <w:shd w:val="clear" w:fill="FFFFFF"/>
        </w:rPr>
        <w:t>持续锻造讲政治、重公道、业务精、作风好的过硬队伍。</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Chars="200" w:right="0" w:rightChars="0"/>
        <w:textAlignment w:val="auto"/>
        <w:outlineLvl w:val="0"/>
        <w:rPr>
          <w:rFonts w:hint="eastAsia" w:ascii="仿宋_GB2312" w:hAnsi="仿宋_GB2312" w:eastAsia="仿宋_GB2312" w:cs="仿宋_GB2312"/>
          <w:i w:val="0"/>
          <w:caps w:val="0"/>
          <w:color w:val="auto"/>
          <w:spacing w:val="8"/>
          <w:sz w:val="32"/>
          <w:szCs w:val="32"/>
          <w:shd w:val="clear" w:fill="FFFFFF"/>
          <w:lang w:val="en-US" w:eastAsia="zh-CN"/>
        </w:rPr>
      </w:pPr>
      <w:r>
        <w:rPr>
          <w:rFonts w:hint="eastAsia" w:ascii="仿宋_GB2312" w:hAnsi="仿宋_GB2312" w:eastAsia="仿宋_GB2312" w:cs="仿宋_GB2312"/>
          <w:i w:val="0"/>
          <w:caps w:val="0"/>
          <w:color w:val="auto"/>
          <w:spacing w:val="8"/>
          <w:sz w:val="32"/>
          <w:szCs w:val="32"/>
          <w:shd w:val="clear" w:fill="FFFFFF"/>
          <w:lang w:val="en-US" w:eastAsia="zh-CN"/>
        </w:rPr>
        <w:t>（2）做好退役军人服务保障工作，巩固军政军民团结</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shd w:val="clear" w:color="auto" w:fill="FFFFFF"/>
        </w:rPr>
        <w:t>严格落实各项优待抚恤政策。今年共发放818名优抚对象各类生活补助金</w:t>
      </w:r>
      <w:r>
        <w:rPr>
          <w:rFonts w:hint="eastAsia" w:ascii="仿宋_GB2312" w:hAnsi="仿宋_GB2312" w:eastAsia="仿宋_GB2312" w:cs="仿宋_GB2312"/>
          <w:color w:val="auto"/>
          <w:sz w:val="32"/>
          <w:szCs w:val="32"/>
          <w:shd w:val="clear" w:color="auto" w:fill="FFFFFF"/>
          <w:lang w:val="en-US" w:eastAsia="zh-CN"/>
        </w:rPr>
        <w:t>549</w:t>
      </w:r>
      <w:r>
        <w:rPr>
          <w:rFonts w:hint="eastAsia" w:ascii="仿宋_GB2312" w:hAnsi="仿宋_GB2312" w:eastAsia="仿宋_GB2312" w:cs="仿宋_GB2312"/>
          <w:color w:val="auto"/>
          <w:sz w:val="32"/>
          <w:szCs w:val="32"/>
          <w:shd w:val="clear" w:color="auto" w:fill="FFFFFF"/>
        </w:rPr>
        <w:t>万元。组织60名优抚对象参加短期疗养。同时，还为所有优抚对象购买了城镇居民医疗保险，为757名优抚对象购买了“荣军保”，确保病有所医。走访慰问驻区部队、现役军人家属及优抚对象1000余人次，送去春节慰问信6000余封，发送拜年短信3000余条。联合区人武部为6名三等功臣送去立功喜报，扩大了石峰拥军优军的社会影响力。</w:t>
      </w:r>
      <w:r>
        <w:rPr>
          <w:rFonts w:hint="eastAsia" w:ascii="仿宋_GB2312" w:hAnsi="仿宋_GB2312" w:eastAsia="仿宋_GB2312" w:cs="仿宋_GB2312"/>
          <w:color w:val="auto"/>
          <w:sz w:val="32"/>
          <w:szCs w:val="32"/>
          <w:shd w:val="clear" w:color="auto" w:fill="FFFFFF"/>
          <w:lang w:val="en-US" w:eastAsia="zh-CN"/>
        </w:rPr>
        <w:t>二是</w:t>
      </w:r>
      <w:r>
        <w:rPr>
          <w:rFonts w:hint="eastAsia" w:ascii="仿宋_GB2312" w:hAnsi="仿宋_GB2312" w:eastAsia="仿宋_GB2312" w:cs="仿宋_GB2312"/>
          <w:color w:val="auto"/>
          <w:sz w:val="32"/>
          <w:szCs w:val="32"/>
        </w:rPr>
        <w:t>退役士兵接收安置工作</w:t>
      </w:r>
      <w:r>
        <w:rPr>
          <w:rFonts w:hint="eastAsia" w:ascii="仿宋_GB2312" w:hAnsi="仿宋_GB2312" w:eastAsia="仿宋_GB2312" w:cs="仿宋_GB2312"/>
          <w:color w:val="auto"/>
          <w:sz w:val="32"/>
          <w:szCs w:val="32"/>
          <w:lang w:eastAsia="zh-CN"/>
        </w:rPr>
        <w:t>稳步推进。</w:t>
      </w:r>
      <w:r>
        <w:rPr>
          <w:rFonts w:hint="eastAsia" w:ascii="仿宋_GB2312" w:hAnsi="仿宋_GB2312" w:eastAsia="仿宋_GB2312" w:cs="仿宋_GB2312"/>
          <w:color w:val="auto"/>
          <w:sz w:val="32"/>
          <w:szCs w:val="32"/>
          <w:lang w:val="en-US" w:eastAsia="zh-CN"/>
        </w:rPr>
        <w:t>2023年</w:t>
      </w:r>
      <w:r>
        <w:rPr>
          <w:rFonts w:hint="eastAsia" w:ascii="仿宋_GB2312" w:hAnsi="仿宋_GB2312" w:eastAsia="仿宋_GB2312" w:cs="仿宋_GB2312"/>
          <w:color w:val="auto"/>
          <w:sz w:val="32"/>
          <w:szCs w:val="32"/>
        </w:rPr>
        <w:t>共接收</w:t>
      </w:r>
      <w:r>
        <w:rPr>
          <w:rFonts w:hint="eastAsia" w:ascii="仿宋_GB2312" w:hAnsi="仿宋_GB2312" w:eastAsia="仿宋_GB2312" w:cs="仿宋_GB2312"/>
          <w:color w:val="auto"/>
          <w:sz w:val="32"/>
          <w:szCs w:val="32"/>
          <w:lang w:eastAsia="zh-CN"/>
        </w:rPr>
        <w:t>自主就业</w:t>
      </w:r>
      <w:r>
        <w:rPr>
          <w:rFonts w:hint="eastAsia" w:ascii="仿宋_GB2312" w:hAnsi="仿宋_GB2312" w:eastAsia="仿宋_GB2312" w:cs="仿宋_GB2312"/>
          <w:color w:val="auto"/>
          <w:sz w:val="32"/>
          <w:szCs w:val="32"/>
        </w:rPr>
        <w:t>退役士兵</w:t>
      </w:r>
      <w:r>
        <w:rPr>
          <w:rFonts w:hint="eastAsia" w:ascii="仿宋_GB2312" w:hAnsi="仿宋_GB2312" w:eastAsia="仿宋_GB2312" w:cs="仿宋_GB2312"/>
          <w:color w:val="auto"/>
          <w:sz w:val="32"/>
          <w:szCs w:val="32"/>
          <w:lang w:val="en-US" w:eastAsia="zh-CN"/>
        </w:rPr>
        <w:t>104</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均已完成了报到、落户、社保关系移交、档案整理等手续。做好了5名转业军士</w:t>
      </w:r>
      <w:r>
        <w:rPr>
          <w:rFonts w:hint="eastAsia" w:ascii="仿宋_GB2312" w:hAnsi="仿宋_GB2312" w:eastAsia="仿宋_GB2312" w:cs="仿宋_GB2312"/>
          <w:color w:val="auto"/>
          <w:sz w:val="32"/>
          <w:szCs w:val="32"/>
          <w:shd w:val="clear" w:color="auto" w:fill="FFFFFF"/>
          <w:lang w:val="en-US" w:eastAsia="zh-CN"/>
        </w:rPr>
        <w:t>安置工作</w:t>
      </w:r>
      <w:r>
        <w:rPr>
          <w:rFonts w:hint="eastAsia" w:ascii="仿宋_GB2312" w:hAnsi="仿宋_GB2312" w:eastAsia="仿宋_GB2312" w:cs="仿宋_GB2312"/>
          <w:color w:val="auto"/>
          <w:sz w:val="32"/>
          <w:szCs w:val="32"/>
          <w:shd w:val="clear" w:color="auto" w:fill="FFFFFF"/>
        </w:rPr>
        <w:t>，均已按要求上编起薪。自主就业退役士兵</w:t>
      </w:r>
      <w:r>
        <w:rPr>
          <w:rFonts w:hint="eastAsia" w:ascii="仿宋_GB2312" w:hAnsi="仿宋_GB2312" w:eastAsia="仿宋_GB2312" w:cs="仿宋_GB2312"/>
          <w:color w:val="auto"/>
          <w:sz w:val="32"/>
          <w:szCs w:val="32"/>
          <w:shd w:val="clear" w:color="auto" w:fill="FFFFFF"/>
          <w:lang w:val="en-US" w:eastAsia="zh-CN"/>
        </w:rPr>
        <w:t>151人</w:t>
      </w:r>
      <w:r>
        <w:rPr>
          <w:rFonts w:hint="eastAsia" w:ascii="仿宋_GB2312" w:hAnsi="仿宋_GB2312" w:eastAsia="仿宋_GB2312" w:cs="仿宋_GB2312"/>
          <w:color w:val="auto"/>
          <w:sz w:val="32"/>
          <w:szCs w:val="32"/>
          <w:shd w:val="clear" w:color="auto" w:fill="FFFFFF"/>
        </w:rPr>
        <w:t>一次性经济补助</w:t>
      </w:r>
      <w:r>
        <w:rPr>
          <w:rFonts w:hint="eastAsia" w:ascii="仿宋_GB2312" w:hAnsi="仿宋_GB2312" w:eastAsia="仿宋_GB2312" w:cs="仿宋_GB2312"/>
          <w:color w:val="auto"/>
          <w:sz w:val="32"/>
          <w:szCs w:val="32"/>
          <w:shd w:val="clear" w:color="auto" w:fill="FFFFFF"/>
          <w:lang w:val="en-US" w:eastAsia="zh-CN"/>
        </w:rPr>
        <w:t>170.</w:t>
      </w:r>
      <w:r>
        <w:rPr>
          <w:rFonts w:hint="eastAsia" w:ascii="仿宋_GB2312" w:hAnsi="仿宋_GB2312" w:eastAsia="仿宋_GB2312" w:cs="仿宋_GB2312"/>
          <w:color w:val="auto"/>
          <w:sz w:val="32"/>
          <w:szCs w:val="32"/>
          <w:lang w:val="en-US" w:eastAsia="zh-CN"/>
        </w:rPr>
        <w:t>55</w:t>
      </w:r>
      <w:r>
        <w:rPr>
          <w:rFonts w:hint="eastAsia" w:ascii="仿宋_GB2312" w:hAnsi="仿宋_GB2312" w:eastAsia="仿宋_GB2312" w:cs="仿宋_GB2312"/>
          <w:color w:val="auto"/>
          <w:sz w:val="32"/>
          <w:szCs w:val="32"/>
        </w:rPr>
        <w:t>万元足额落实到人，依法保障自主就业退役士兵的合法权益。</w:t>
      </w:r>
      <w:r>
        <w:rPr>
          <w:rFonts w:hint="eastAsia" w:ascii="仿宋_GB2312" w:hAnsi="仿宋_GB2312" w:eastAsia="仿宋_GB2312" w:cs="仿宋_GB2312"/>
          <w:color w:val="auto"/>
          <w:sz w:val="32"/>
          <w:szCs w:val="32"/>
          <w:lang w:val="en-US" w:eastAsia="zh-CN"/>
        </w:rPr>
        <w:t>三是</w:t>
      </w:r>
      <w:r>
        <w:rPr>
          <w:rFonts w:hint="eastAsia" w:ascii="仿宋_GB2312" w:hAnsi="仿宋_GB2312" w:eastAsia="仿宋_GB2312" w:cs="仿宋_GB2312"/>
          <w:color w:val="auto"/>
          <w:sz w:val="32"/>
          <w:szCs w:val="32"/>
        </w:rPr>
        <w:t>搞好就业培训和创业帮扶。</w:t>
      </w:r>
      <w:r>
        <w:rPr>
          <w:rFonts w:hint="eastAsia" w:ascii="仿宋_GB2312" w:hAnsi="仿宋_GB2312" w:eastAsia="仿宋_GB2312" w:cs="仿宋_GB2312"/>
          <w:color w:val="auto"/>
          <w:sz w:val="32"/>
          <w:szCs w:val="32"/>
          <w:lang w:val="en-US" w:eastAsia="zh-CN"/>
        </w:rPr>
        <w:t>协助市局举办2023年株洲市退役军人、军属招聘月活动暨退役军人、军属专场招聘会。</w:t>
      </w:r>
      <w:r>
        <w:rPr>
          <w:rFonts w:hint="eastAsia" w:ascii="仿宋_GB2312" w:hAnsi="仿宋_GB2312" w:eastAsia="仿宋_GB2312" w:cs="仿宋_GB2312"/>
          <w:color w:val="auto"/>
          <w:sz w:val="32"/>
          <w:szCs w:val="32"/>
          <w:shd w:val="clear" w:color="auto" w:fill="FFFFFF"/>
        </w:rPr>
        <w:t>组织退役军人及家属240人参加4场现场招聘会，达成意愿9人。通过定向推荐等方式解决了6人就业。协助4名退役军人参加石峰区事业编考试。组织联诚集团、云田园林</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哲雅技能学校、斯凯航空</w:t>
      </w:r>
      <w:r>
        <w:rPr>
          <w:rFonts w:hint="eastAsia" w:ascii="仿宋_GB2312" w:hAnsi="仿宋_GB2312" w:eastAsia="仿宋_GB2312" w:cs="仿宋_GB2312"/>
          <w:color w:val="auto"/>
          <w:sz w:val="32"/>
          <w:szCs w:val="32"/>
          <w:shd w:val="clear" w:color="auto" w:fill="FFFFFF"/>
          <w:lang w:val="en-US" w:eastAsia="zh-CN"/>
        </w:rPr>
        <w:t>等</w:t>
      </w:r>
      <w:r>
        <w:rPr>
          <w:rFonts w:hint="eastAsia" w:ascii="仿宋_GB2312" w:hAnsi="仿宋_GB2312" w:eastAsia="仿宋_GB2312" w:cs="仿宋_GB2312"/>
          <w:color w:val="auto"/>
          <w:sz w:val="32"/>
          <w:szCs w:val="32"/>
          <w:shd w:val="clear" w:color="auto" w:fill="FFFFFF"/>
        </w:rPr>
        <w:t>4家企业参加荣光行动—湖南（空军）退役军人暨随军随调家属专场招聘会（长沙会场）</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为助力退役军人及军属优质就业，着力解决企业人才需求问题</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新增退役军人创新创业市场主体25家，超额完成市下达的全年任务9家，完成比例位居全市前列。</w:t>
      </w:r>
      <w:r>
        <w:rPr>
          <w:rFonts w:hint="eastAsia" w:ascii="仿宋_GB2312" w:hAnsi="仿宋_GB2312" w:eastAsia="仿宋_GB2312" w:cs="仿宋_GB2312"/>
          <w:color w:val="auto"/>
          <w:sz w:val="32"/>
          <w:szCs w:val="32"/>
          <w:shd w:val="clear" w:color="auto" w:fill="FFFFFF"/>
          <w:lang w:val="en-US" w:eastAsia="zh-CN"/>
        </w:rPr>
        <w:t>四是</w:t>
      </w:r>
      <w:r>
        <w:rPr>
          <w:rFonts w:hint="eastAsia" w:ascii="仿宋_GB2312" w:hAnsi="仿宋_GB2312" w:eastAsia="仿宋_GB2312" w:cs="仿宋_GB2312"/>
          <w:color w:val="auto"/>
          <w:sz w:val="32"/>
          <w:szCs w:val="32"/>
        </w:rPr>
        <w:t>有效化解信访事项。</w:t>
      </w:r>
      <w:r>
        <w:rPr>
          <w:rFonts w:hint="eastAsia" w:ascii="仿宋_GB2312" w:hAnsi="仿宋_GB2312" w:eastAsia="仿宋_GB2312" w:cs="仿宋_GB2312"/>
          <w:color w:val="auto"/>
          <w:sz w:val="32"/>
          <w:szCs w:val="32"/>
          <w:shd w:val="clear" w:color="auto" w:fill="FFFFFF"/>
          <w:lang w:val="en-US" w:eastAsia="zh-CN"/>
        </w:rPr>
        <w:t>联合公安、街道及社区对清明外省祭扫牵头人员郭忠文做好了相关政策解释，陪同2名烈属赴广西进行祭扫、安排局机关及公安工作人员赴云南文山值守，做好了清明祭扫服务；妥善回应苏田、温德元等退役军人反应的“要求提高优抚待遇”、“申请困难帮扶”等问题；做好了市委主要领导接访工作，协调人社、信访等部门解决了倪国伍反映的兵龄没有视同工龄等12个信访事项；接待来访涉退役人员100余人次，答复“12345”热线38条，满意率在90%以上；妥善解释回复了家庭优待金发放、优待证发放等退役军人关心关注的问题；积极配合部队、武装部、家属等方面顺利处置了唐泽虎享受带病回乡待遇、陈阳提前退伍等问题；配合人社积极回复了军休人员关于丧葬费的计算等问题；成功劝返13名进京访人员。五是积极对接社会力量，关心关爱退役军人。</w:t>
      </w:r>
      <w:r>
        <w:rPr>
          <w:rFonts w:hint="eastAsia" w:ascii="仿宋_GB2312" w:hAnsi="仿宋_GB2312" w:eastAsia="仿宋_GB2312" w:cs="仿宋_GB2312"/>
          <w:i w:val="0"/>
          <w:caps w:val="0"/>
          <w:color w:val="auto"/>
          <w:spacing w:val="0"/>
          <w:sz w:val="32"/>
          <w:szCs w:val="32"/>
        </w:rPr>
        <w:t>联合爱尔眼科开展“情暖老兵·守护光明”公益行动</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为困难退役军人免费手术，使广大困难退役军人感受到了政府对他们的关心、关爱和社会对退役军人的尊崇</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lang w:val="en-US" w:eastAsia="zh-CN"/>
        </w:rPr>
        <w:t>联合点睛摄影开展“老兵留光影”公益摄影活动</w:t>
      </w:r>
      <w:r>
        <w:rPr>
          <w:rFonts w:hint="eastAsia" w:ascii="仿宋_GB2312" w:hAnsi="仿宋_GB2312" w:eastAsia="仿宋_GB2312" w:cs="仿宋_GB2312"/>
          <w:i w:val="0"/>
          <w:caps w:val="0"/>
          <w:color w:val="auto"/>
          <w:spacing w:val="0"/>
          <w:sz w:val="32"/>
          <w:szCs w:val="32"/>
        </w:rPr>
        <w:t>，将老英雄的经历特别是从军经历进行摄像记录，讲好“老兵新传”，传承红色基因，凝聚奋进力量。</w:t>
      </w:r>
      <w:r>
        <w:rPr>
          <w:rFonts w:hint="eastAsia" w:ascii="仿宋_GB2312" w:hAnsi="仿宋_GB2312" w:eastAsia="仿宋_GB2312" w:cs="仿宋_GB2312"/>
          <w:i w:val="0"/>
          <w:caps w:val="0"/>
          <w:color w:val="auto"/>
          <w:spacing w:val="0"/>
          <w:sz w:val="32"/>
          <w:szCs w:val="32"/>
          <w:lang w:val="en-US" w:eastAsia="zh-CN"/>
        </w:rPr>
        <w:t>六是制定完善</w:t>
      </w:r>
      <w:r>
        <w:rPr>
          <w:rFonts w:hint="eastAsia" w:ascii="仿宋_GB2312" w:hAnsi="仿宋_GB2312" w:eastAsia="仿宋_GB2312" w:cs="仿宋_GB2312"/>
          <w:i w:val="0"/>
          <w:caps w:val="0"/>
          <w:color w:val="auto"/>
          <w:spacing w:val="0"/>
          <w:sz w:val="32"/>
          <w:szCs w:val="32"/>
          <w:shd w:val="clear" w:color="auto" w:fill="FFFFFF"/>
          <w:lang w:val="en-US" w:eastAsia="zh-CN"/>
        </w:rPr>
        <w:t>“六必访”工作制度。对于退役返乡、立功受奖、英模典型、重要节日、遇到困难、重大变故退役军人开展广泛慰问，大力开展弘扬英模精神、传递正能量的活动，推动社会见贤思齐、崇尚英雄、争做先锋。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Chars="200" w:right="0" w:rightChars="0"/>
        <w:textAlignment w:val="auto"/>
        <w:outlineLvl w:val="0"/>
        <w:rPr>
          <w:rFonts w:hint="eastAsia" w:ascii="仿宋_GB2312" w:hAnsi="仿宋_GB2312" w:eastAsia="仿宋_GB2312" w:cs="仿宋_GB2312"/>
          <w:i w:val="0"/>
          <w:caps w:val="0"/>
          <w:color w:val="auto"/>
          <w:spacing w:val="8"/>
          <w:sz w:val="32"/>
          <w:szCs w:val="32"/>
          <w:shd w:val="clear" w:fill="FFFFFF"/>
        </w:rPr>
      </w:pPr>
      <w:r>
        <w:rPr>
          <w:rFonts w:hint="eastAsia" w:ascii="仿宋_GB2312" w:hAnsi="仿宋_GB2312" w:eastAsia="仿宋_GB2312" w:cs="仿宋_GB2312"/>
          <w:i w:val="0"/>
          <w:caps w:val="0"/>
          <w:color w:val="auto"/>
          <w:spacing w:val="8"/>
          <w:sz w:val="32"/>
          <w:szCs w:val="32"/>
          <w:shd w:val="clear" w:fill="FFFFFF"/>
          <w:lang w:eastAsia="zh-CN"/>
        </w:rPr>
        <w:t>（</w:t>
      </w:r>
      <w:r>
        <w:rPr>
          <w:rFonts w:hint="eastAsia" w:ascii="仿宋_GB2312" w:hAnsi="仿宋_GB2312" w:eastAsia="仿宋_GB2312" w:cs="仿宋_GB2312"/>
          <w:i w:val="0"/>
          <w:caps w:val="0"/>
          <w:color w:val="auto"/>
          <w:spacing w:val="8"/>
          <w:sz w:val="32"/>
          <w:szCs w:val="32"/>
          <w:shd w:val="clear" w:fill="FFFFFF"/>
          <w:lang w:val="en-US" w:eastAsia="zh-CN"/>
        </w:rPr>
        <w:t>3</w:t>
      </w:r>
      <w:r>
        <w:rPr>
          <w:rFonts w:hint="eastAsia" w:ascii="仿宋_GB2312" w:hAnsi="仿宋_GB2312" w:eastAsia="仿宋_GB2312" w:cs="仿宋_GB2312"/>
          <w:i w:val="0"/>
          <w:caps w:val="0"/>
          <w:color w:val="auto"/>
          <w:spacing w:val="8"/>
          <w:sz w:val="32"/>
          <w:szCs w:val="32"/>
          <w:shd w:val="clear" w:fill="FFFFFF"/>
          <w:lang w:eastAsia="zh-CN"/>
        </w:rPr>
        <w:t>）</w:t>
      </w:r>
      <w:r>
        <w:rPr>
          <w:rFonts w:hint="eastAsia" w:ascii="仿宋_GB2312" w:hAnsi="仿宋_GB2312" w:eastAsia="仿宋_GB2312" w:cs="仿宋_GB2312"/>
          <w:i w:val="0"/>
          <w:caps w:val="0"/>
          <w:color w:val="auto"/>
          <w:spacing w:val="8"/>
          <w:sz w:val="32"/>
          <w:szCs w:val="32"/>
          <w:shd w:val="clear" w:fill="FFFFFF"/>
        </w:rPr>
        <w:t>发挥示范引领作用 推动</w:t>
      </w:r>
      <w:r>
        <w:rPr>
          <w:rFonts w:hint="eastAsia" w:ascii="仿宋_GB2312" w:hAnsi="仿宋_GB2312" w:eastAsia="仿宋_GB2312" w:cs="仿宋_GB2312"/>
          <w:i w:val="0"/>
          <w:caps w:val="0"/>
          <w:color w:val="auto"/>
          <w:spacing w:val="8"/>
          <w:sz w:val="32"/>
          <w:szCs w:val="32"/>
          <w:shd w:val="clear" w:fill="FFFFFF"/>
          <w:lang w:val="en-US" w:eastAsia="zh-CN"/>
        </w:rPr>
        <w:t>退役军人工作</w:t>
      </w:r>
      <w:r>
        <w:rPr>
          <w:rFonts w:hint="eastAsia" w:ascii="仿宋_GB2312" w:hAnsi="仿宋_GB2312" w:eastAsia="仿宋_GB2312" w:cs="仿宋_GB2312"/>
          <w:i w:val="0"/>
          <w:caps w:val="0"/>
          <w:color w:val="auto"/>
          <w:spacing w:val="8"/>
          <w:sz w:val="32"/>
          <w:szCs w:val="32"/>
          <w:shd w:val="clear" w:fill="FFFFFF"/>
        </w:rPr>
        <w:t>高质量发展</w:t>
      </w:r>
    </w:p>
    <w:p>
      <w:pPr>
        <w:pStyle w:val="9"/>
        <w:keepNext w:val="0"/>
        <w:keepLines w:val="0"/>
        <w:pageBreakBefore w:val="0"/>
        <w:numPr>
          <w:ilvl w:val="0"/>
          <w:numId w:val="0"/>
        </w:numPr>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color w:val="auto"/>
          <w:sz w:val="32"/>
          <w:szCs w:val="32"/>
          <w:lang w:val="en-US" w:eastAsia="zh-CN"/>
        </w:rPr>
        <w:t>一是树立正能量旗帜。做好了第三届株洲市“最美退役军人”暨第四届株洲市“最美民兵”评选工作。石峰区李晓被评选为株洲市“最美退役军人”；郭里军被评选为株洲市“最美民兵”。</w:t>
      </w:r>
      <w:r>
        <w:rPr>
          <w:rFonts w:hint="eastAsia" w:ascii="仿宋_GB2312" w:hAnsi="仿宋_GB2312" w:eastAsia="仿宋_GB2312" w:cs="仿宋_GB2312"/>
          <w:color w:val="auto"/>
          <w:sz w:val="32"/>
          <w:szCs w:val="32"/>
          <w:shd w:val="clear" w:color="auto" w:fill="FFFFFF"/>
        </w:rPr>
        <w:t>刘裕求义务红色宣讲40年，其“红色基因代代传”先进事迹被收录进省退役军人事务厅公众号“每日一星”系列报道，向全省进行推广学习。</w:t>
      </w:r>
      <w:r>
        <w:rPr>
          <w:rFonts w:hint="eastAsia" w:ascii="仿宋_GB2312" w:hAnsi="仿宋_GB2312" w:eastAsia="仿宋_GB2312" w:cs="仿宋_GB2312"/>
          <w:color w:val="auto"/>
          <w:sz w:val="32"/>
          <w:szCs w:val="32"/>
          <w:shd w:val="clear" w:color="auto" w:fill="FFFFFF"/>
          <w:lang w:val="en-US" w:eastAsia="zh-CN"/>
        </w:rPr>
        <w:t>二是加强退役军人思想教育。</w:t>
      </w:r>
      <w:r>
        <w:rPr>
          <w:rFonts w:hint="eastAsia" w:ascii="仿宋_GB2312" w:hAnsi="仿宋_GB2312" w:eastAsia="仿宋_GB2312" w:cs="仿宋_GB2312"/>
          <w:color w:val="auto"/>
          <w:sz w:val="32"/>
          <w:szCs w:val="32"/>
          <w:u w:val="none"/>
          <w:lang w:val="en-US" w:eastAsia="zh-CN"/>
        </w:rPr>
        <w:t>组织退役军人代表开展</w:t>
      </w:r>
      <w:r>
        <w:rPr>
          <w:rFonts w:hint="eastAsia" w:ascii="仿宋_GB2312" w:hAnsi="仿宋_GB2312" w:eastAsia="仿宋_GB2312" w:cs="仿宋_GB2312"/>
          <w:i w:val="0"/>
          <w:iCs w:val="0"/>
          <w:color w:val="auto"/>
          <w:spacing w:val="15"/>
          <w:sz w:val="32"/>
          <w:szCs w:val="32"/>
          <w:u w:val="none"/>
        </w:rPr>
        <w:t>纪念抗美援朝胜利70周年</w:t>
      </w:r>
      <w:r>
        <w:rPr>
          <w:rFonts w:hint="eastAsia" w:ascii="仿宋_GB2312" w:hAnsi="仿宋_GB2312" w:eastAsia="仿宋_GB2312" w:cs="仿宋_GB2312"/>
          <w:i w:val="0"/>
          <w:iCs w:val="0"/>
          <w:color w:val="auto"/>
          <w:spacing w:val="15"/>
          <w:sz w:val="32"/>
          <w:szCs w:val="32"/>
          <w:u w:val="none"/>
          <w:lang w:val="en-US" w:eastAsia="zh-CN"/>
        </w:rPr>
        <w:t>暨《志愿军</w:t>
      </w:r>
      <w:r>
        <w:rPr>
          <w:rFonts w:hint="eastAsia" w:ascii="仿宋_GB2312" w:hAnsi="仿宋_GB2312" w:eastAsia="仿宋_GB2312" w:cs="仿宋_GB2312"/>
          <w:i w:val="0"/>
          <w:iCs w:val="0"/>
          <w:color w:val="auto"/>
          <w:spacing w:val="0"/>
          <w:sz w:val="32"/>
          <w:szCs w:val="32"/>
          <w:u w:val="none"/>
          <w:lang w:val="en-US" w:eastAsia="zh-CN"/>
        </w:rPr>
        <w:t>——</w:t>
      </w:r>
      <w:r>
        <w:rPr>
          <w:rFonts w:hint="eastAsia" w:ascii="仿宋_GB2312" w:hAnsi="仿宋_GB2312" w:eastAsia="仿宋_GB2312" w:cs="仿宋_GB2312"/>
          <w:i w:val="0"/>
          <w:iCs w:val="0"/>
          <w:color w:val="auto"/>
          <w:spacing w:val="15"/>
          <w:sz w:val="32"/>
          <w:szCs w:val="32"/>
          <w:u w:val="none"/>
          <w:lang w:val="en-US" w:eastAsia="zh-CN"/>
        </w:rPr>
        <w:t>雄兵出击》参演退役军人匡仙鹏美术作品</w:t>
      </w:r>
      <w:r>
        <w:rPr>
          <w:rFonts w:hint="eastAsia" w:ascii="仿宋_GB2312" w:hAnsi="仿宋_GB2312" w:eastAsia="仿宋_GB2312" w:cs="仿宋_GB2312"/>
          <w:i w:val="0"/>
          <w:iCs w:val="0"/>
          <w:color w:val="auto"/>
          <w:spacing w:val="15"/>
          <w:sz w:val="32"/>
          <w:szCs w:val="32"/>
          <w:u w:val="none"/>
        </w:rPr>
        <w:t>巡展</w:t>
      </w:r>
      <w:r>
        <w:rPr>
          <w:rFonts w:hint="eastAsia" w:ascii="仿宋_GB2312" w:hAnsi="仿宋_GB2312" w:eastAsia="仿宋_GB2312" w:cs="仿宋_GB2312"/>
          <w:i w:val="0"/>
          <w:iCs w:val="0"/>
          <w:color w:val="auto"/>
          <w:spacing w:val="15"/>
          <w:sz w:val="32"/>
          <w:szCs w:val="32"/>
          <w:u w:val="none"/>
          <w:lang w:val="en-US" w:eastAsia="zh-CN"/>
        </w:rPr>
        <w:t>活动</w:t>
      </w:r>
      <w:r>
        <w:rPr>
          <w:rFonts w:hint="eastAsia" w:ascii="仿宋_GB2312" w:hAnsi="仿宋_GB2312" w:eastAsia="仿宋_GB2312" w:cs="仿宋_GB2312"/>
          <w:color w:val="auto"/>
          <w:sz w:val="32"/>
          <w:szCs w:val="32"/>
        </w:rPr>
        <w:t>，鼓舞、激励广大退役军人和群众永远跟党走，建功新时代。</w:t>
      </w:r>
      <w:r>
        <w:rPr>
          <w:rFonts w:hint="eastAsia" w:ascii="仿宋_GB2312" w:hAnsi="仿宋_GB2312" w:eastAsia="仿宋_GB2312" w:cs="仿宋_GB2312"/>
          <w:color w:val="auto"/>
          <w:sz w:val="32"/>
          <w:szCs w:val="32"/>
          <w:lang w:val="en-US" w:eastAsia="zh-CN"/>
        </w:rPr>
        <w:t>定期组织退役军人代表开展座谈会，与广大退役军人交流感情，增强退役军人党性。三是加强基层队伍建设。组织开展</w:t>
      </w:r>
      <w:r>
        <w:rPr>
          <w:rFonts w:hint="eastAsia" w:ascii="仿宋_GB2312" w:hAnsi="仿宋_GB2312" w:eastAsia="仿宋_GB2312" w:cs="仿宋_GB2312"/>
          <w:i w:val="0"/>
          <w:caps w:val="0"/>
          <w:color w:val="auto"/>
          <w:spacing w:val="0"/>
          <w:sz w:val="32"/>
          <w:szCs w:val="32"/>
        </w:rPr>
        <w:t>“兵支书”专题培训</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着力提高“兵支书”政治素质、带富技能和基层治理本领，助力“兵支书”成长为高素质农民中的领军人才。</w:t>
      </w:r>
      <w:r>
        <w:rPr>
          <w:rFonts w:hint="eastAsia" w:ascii="仿宋_GB2312" w:hAnsi="仿宋_GB2312" w:eastAsia="仿宋_GB2312" w:cs="仿宋_GB2312"/>
          <w:i w:val="0"/>
          <w:caps w:val="0"/>
          <w:color w:val="auto"/>
          <w:spacing w:val="0"/>
          <w:sz w:val="32"/>
          <w:szCs w:val="32"/>
          <w:lang w:val="en-US" w:eastAsia="zh-CN"/>
        </w:rPr>
        <w:t>四是</w:t>
      </w:r>
      <w:r>
        <w:rPr>
          <w:rFonts w:hint="eastAsia" w:ascii="仿宋_GB2312" w:hAnsi="仿宋_GB2312" w:eastAsia="仿宋_GB2312" w:cs="仿宋_GB2312"/>
          <w:color w:val="auto"/>
          <w:sz w:val="32"/>
          <w:szCs w:val="32"/>
          <w:shd w:val="clear" w:color="auto" w:fill="FFFFFF"/>
        </w:rPr>
        <w:t>开展志愿者活动，打造石峰退役军人志愿服务品牌。田心街道退役军人志愿服务队入选全国退役军人关爱青少年志愿服务队</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广泛开展了开展爱心助考服务、组织学生参观抗美援朝70周年书画作品展、基层卫生运动等一系列志愿服务，</w:t>
      </w:r>
      <w:r>
        <w:rPr>
          <w:rFonts w:hint="eastAsia" w:ascii="仿宋_GB2312" w:hAnsi="仿宋_GB2312" w:eastAsia="仿宋_GB2312" w:cs="仿宋_GB2312"/>
          <w:color w:val="auto"/>
          <w:sz w:val="32"/>
          <w:szCs w:val="32"/>
        </w:rPr>
        <w:t>打造</w:t>
      </w:r>
      <w:r>
        <w:rPr>
          <w:rFonts w:hint="eastAsia" w:ascii="仿宋_GB2312" w:hAnsi="仿宋_GB2312" w:eastAsia="仿宋_GB2312" w:cs="仿宋_GB2312"/>
          <w:color w:val="auto"/>
          <w:sz w:val="32"/>
          <w:szCs w:val="32"/>
          <w:lang w:val="en-US" w:eastAsia="zh-CN"/>
        </w:rPr>
        <w:t>了</w:t>
      </w:r>
      <w:r>
        <w:rPr>
          <w:rFonts w:hint="eastAsia" w:ascii="仿宋_GB2312" w:hAnsi="仿宋_GB2312" w:eastAsia="仿宋_GB2312" w:cs="仿宋_GB2312"/>
          <w:color w:val="auto"/>
          <w:sz w:val="32"/>
          <w:szCs w:val="32"/>
        </w:rPr>
        <w:t>石峰退役军人志愿服务品牌。</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对应年初预算申报及年中预算调整的子项目分别描述绩效情况（可单独提供项目绩效评价报告），格式参考如下：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优抚安置专项经费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345.00</w:t>
      </w:r>
      <w:r>
        <w:rPr>
          <w:rFonts w:hint="default" w:ascii="Times New Roman" w:hAnsi="Times New Roman" w:eastAsia="仿宋_GB2312" w:cs="Times New Roman"/>
          <w:color w:val="auto"/>
          <w:sz w:val="32"/>
          <w:szCs w:val="32"/>
        </w:rPr>
        <w:t>万元，年中调减</w:t>
      </w:r>
      <w:r>
        <w:rPr>
          <w:rFonts w:hint="eastAsia" w:ascii="Times New Roman" w:hAnsi="Times New Roman" w:eastAsia="仿宋_GB2312" w:cs="Times New Roman"/>
          <w:color w:val="auto"/>
          <w:sz w:val="32"/>
          <w:szCs w:val="32"/>
          <w:lang w:val="en-US" w:eastAsia="zh-CN"/>
        </w:rPr>
        <w:t>25.67</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5113.02万元，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3843.92</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1588.43</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优抚安置专项经费</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3843.92</w:t>
      </w:r>
      <w:bookmarkStart w:id="0" w:name="_GoBack"/>
      <w:bookmarkEnd w:id="0"/>
      <w:r>
        <w:rPr>
          <w:rFonts w:hint="default" w:ascii="Times New Roman" w:hAnsi="Times New Roman" w:eastAsia="仿宋_GB2312" w:cs="Times New Roman"/>
          <w:color w:val="auto"/>
          <w:sz w:val="32"/>
          <w:szCs w:val="32"/>
        </w:rPr>
        <w:t>万元，主要用于优抚人员生活补助及义务兵优待金补助。</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烈士纪念设施整修</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2.00</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2.00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城镇军队退役人员就业援助资金</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320.00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48.01万元，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335.67</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32.34</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城镇军队退役人员就业援助资金</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335.67</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发放城镇军队退役人员就业援助岗位补助</w:t>
      </w:r>
      <w:r>
        <w:rPr>
          <w:rFonts w:hint="default" w:ascii="Times New Roman" w:hAnsi="Times New Roman" w:eastAsia="仿宋_GB2312" w:cs="Times New Roman"/>
          <w:color w:val="auto"/>
          <w:sz w:val="32"/>
          <w:szCs w:val="32"/>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困难帮扶</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28.00</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23.96</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4.04</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困难帮扶</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23.96</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大学生应征入伍奖励</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16.00</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16.00</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大学生应征入伍奖励</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16.00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tabs>
          <w:tab w:val="left" w:pos="7560"/>
        </w:tabs>
        <w:adjustRightInd w:val="0"/>
        <w:snapToGrid w:val="0"/>
        <w:spacing w:line="540" w:lineRule="exact"/>
        <w:ind w:firstLine="640" w:firstLineChars="200"/>
        <w:jc w:val="left"/>
        <w:rPr>
          <w:rFonts w:hint="default" w:ascii="仿宋_GB2312" w:eastAsia="仿宋_GB2312"/>
          <w:color w:val="auto"/>
          <w:sz w:val="32"/>
          <w:szCs w:val="32"/>
          <w:lang w:val="zh-CN"/>
        </w:rPr>
      </w:pPr>
      <w:r>
        <w:rPr>
          <w:rFonts w:hint="default" w:ascii="仿宋_GB2312" w:eastAsia="仿宋_GB2312"/>
          <w:color w:val="auto"/>
          <w:sz w:val="32"/>
          <w:szCs w:val="32"/>
          <w:lang w:val="zh-CN"/>
        </w:rPr>
        <w:t>财务管理方法与绩效评价指标未完全契合；财务人员绩效管理经验不足；部分成果无法用指标方式表示。</w:t>
      </w:r>
    </w:p>
    <w:p>
      <w:pPr>
        <w:tabs>
          <w:tab w:val="left" w:pos="7560"/>
        </w:tabs>
        <w:adjustRightInd w:val="0"/>
        <w:snapToGrid w:val="0"/>
        <w:spacing w:line="540" w:lineRule="exact"/>
        <w:ind w:firstLine="640" w:firstLineChars="200"/>
        <w:jc w:val="left"/>
        <w:rPr>
          <w:rFonts w:hint="default" w:ascii="仿宋_GB2312" w:eastAsia="仿宋_GB2312"/>
          <w:color w:val="auto"/>
          <w:sz w:val="32"/>
          <w:szCs w:val="32"/>
          <w:lang w:val="zh-CN"/>
        </w:rPr>
      </w:pPr>
      <w:r>
        <w:rPr>
          <w:rFonts w:hint="default" w:ascii="仿宋_GB2312" w:eastAsia="仿宋_GB2312"/>
          <w:color w:val="auto"/>
          <w:sz w:val="32"/>
          <w:szCs w:val="32"/>
          <w:lang w:val="zh-CN"/>
        </w:rPr>
        <w:t>下一步改进措施。</w:t>
      </w:r>
    </w:p>
    <w:p>
      <w:pPr>
        <w:tabs>
          <w:tab w:val="left" w:pos="7560"/>
        </w:tabs>
        <w:adjustRightInd w:val="0"/>
        <w:snapToGrid w:val="0"/>
        <w:spacing w:line="540" w:lineRule="exact"/>
        <w:ind w:firstLine="640" w:firstLineChars="200"/>
        <w:jc w:val="left"/>
        <w:rPr>
          <w:rFonts w:hint="default" w:ascii="仿宋_GB2312" w:eastAsia="仿宋_GB2312"/>
          <w:color w:val="auto"/>
          <w:sz w:val="32"/>
          <w:szCs w:val="32"/>
          <w:lang w:val="zh-CN"/>
        </w:rPr>
      </w:pPr>
      <w:r>
        <w:rPr>
          <w:rFonts w:hint="default" w:ascii="仿宋_GB2312" w:eastAsia="仿宋_GB2312"/>
          <w:color w:val="auto"/>
          <w:sz w:val="32"/>
          <w:szCs w:val="32"/>
          <w:lang w:val="zh-CN"/>
        </w:rPr>
        <w:t>1</w:t>
      </w:r>
      <w:r>
        <w:rPr>
          <w:rFonts w:hint="eastAsia" w:ascii="仿宋_GB2312" w:eastAsia="仿宋_GB2312"/>
          <w:color w:val="auto"/>
          <w:sz w:val="32"/>
          <w:szCs w:val="32"/>
          <w:lang w:val="en-US" w:eastAsia="zh-CN"/>
        </w:rPr>
        <w:t>.加强</w:t>
      </w:r>
      <w:r>
        <w:rPr>
          <w:rFonts w:hint="default" w:ascii="仿宋_GB2312" w:eastAsia="仿宋_GB2312"/>
          <w:color w:val="auto"/>
          <w:sz w:val="32"/>
          <w:szCs w:val="32"/>
          <w:lang w:val="zh-CN"/>
        </w:rPr>
        <w:t>学习。加强财务管理和预算绩效的学习，把二者相结合，按照业务工作需要和制度要求，做到花钱必有效。</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仿宋_GB2312" w:eastAsia="仿宋_GB2312"/>
          <w:color w:val="auto"/>
          <w:sz w:val="32"/>
          <w:szCs w:val="32"/>
          <w:lang w:val="zh-CN"/>
        </w:rPr>
        <w:t>2.严控开支。坚持无预算不开支的原则，落实中央过紧日子的要求，精简一般性支出，把有限的资金花在最需要的地方、最有效的地方，以保障重点统计工作的经费需求。</w:t>
      </w:r>
    </w:p>
    <w:p>
      <w:pPr>
        <w:numPr>
          <w:ilvl w:val="0"/>
          <w:numId w:val="2"/>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val="en-US" w:eastAsia="zh-CN"/>
        </w:rPr>
        <w:sectPr>
          <w:footerReference r:id="rId4" w:type="default"/>
          <w:pgSz w:w="11906" w:h="16838"/>
          <w:pgMar w:top="1531" w:right="1531" w:bottom="1531" w:left="1531" w:header="851" w:footer="992" w:gutter="0"/>
          <w:pgNumType w:fmt="decimal" w:start="4"/>
          <w:cols w:space="425" w:num="1"/>
          <w:docGrid w:type="linesAndChars" w:linePitch="312" w:charSpace="0"/>
        </w:sectPr>
      </w:pPr>
      <w:r>
        <w:rPr>
          <w:rFonts w:hint="default" w:ascii="Times New Roman" w:hAnsi="Times New Roman" w:eastAsia="仿宋_GB2312" w:cs="Times New Roman"/>
          <w:color w:val="auto"/>
          <w:sz w:val="32"/>
          <w:szCs w:val="32"/>
          <w:lang w:eastAsia="zh-CN"/>
        </w:rPr>
        <w:t>无其他需要说明的情况</w:t>
      </w:r>
      <w:r>
        <w:rPr>
          <w:rFonts w:hint="eastAsia" w:ascii="Times New Roman" w:hAnsi="Times New Roman" w:eastAsia="仿宋_GB2312" w:cs="Times New Roman"/>
          <w:color w:val="auto"/>
          <w:sz w:val="32"/>
          <w:szCs w:val="32"/>
          <w:lang w:eastAsia="zh-CN"/>
        </w:rPr>
        <w:t>。</w:t>
      </w:r>
    </w:p>
    <w:p>
      <w:pPr>
        <w:rPr>
          <w:rFonts w:hint="default"/>
          <w:lang w:eastAsia="zh-CN"/>
        </w:rPr>
      </w:pPr>
    </w:p>
    <w:sectPr>
      <w:footerReference r:id="rId5"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cs="Times New Roman"/>
      </w:rPr>
    </w:pPr>
    <w:r>
      <w:rPr>
        <w:sz w:val="18"/>
      </w:rPr>
      <w:pict>
        <v:shape id="_x0000_s4101" o:spid="_x0000_s410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abstractNum w:abstractNumId="1">
    <w:nsid w:val="A54BE334"/>
    <w:multiLevelType w:val="singleLevel"/>
    <w:tmpl w:val="A54BE33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U2YjRlMjc4Y2U3ZDJjZDhkOTlmYmQwYzZhNGMxYjI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7F41C73"/>
    <w:rsid w:val="081D72B1"/>
    <w:rsid w:val="089E5151"/>
    <w:rsid w:val="08E475C6"/>
    <w:rsid w:val="09314228"/>
    <w:rsid w:val="09351A48"/>
    <w:rsid w:val="0942192E"/>
    <w:rsid w:val="09BB4712"/>
    <w:rsid w:val="09F1348A"/>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182D37"/>
    <w:rsid w:val="132C7419"/>
    <w:rsid w:val="13461F88"/>
    <w:rsid w:val="14777C70"/>
    <w:rsid w:val="151B4301"/>
    <w:rsid w:val="15647297"/>
    <w:rsid w:val="1565539D"/>
    <w:rsid w:val="15B41D83"/>
    <w:rsid w:val="16525605"/>
    <w:rsid w:val="1663351B"/>
    <w:rsid w:val="174E4C23"/>
    <w:rsid w:val="1750216C"/>
    <w:rsid w:val="179D57AB"/>
    <w:rsid w:val="188C7496"/>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228D8"/>
    <w:rsid w:val="2F1763DE"/>
    <w:rsid w:val="3002077B"/>
    <w:rsid w:val="300B0291"/>
    <w:rsid w:val="311E625A"/>
    <w:rsid w:val="317E4255"/>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453E6"/>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626381"/>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7D5FDA"/>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131F22"/>
    <w:rsid w:val="5D3673BF"/>
    <w:rsid w:val="5D974E3E"/>
    <w:rsid w:val="5D9B4911"/>
    <w:rsid w:val="5FA76FE8"/>
    <w:rsid w:val="5FC17D62"/>
    <w:rsid w:val="601F704F"/>
    <w:rsid w:val="60336F5F"/>
    <w:rsid w:val="60351D24"/>
    <w:rsid w:val="60E56779"/>
    <w:rsid w:val="61241942"/>
    <w:rsid w:val="614C7899"/>
    <w:rsid w:val="61FB341B"/>
    <w:rsid w:val="625E5182"/>
    <w:rsid w:val="62C1521F"/>
    <w:rsid w:val="631A352E"/>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747F7"/>
    <w:rsid w:val="6B1B4D90"/>
    <w:rsid w:val="6B4662F0"/>
    <w:rsid w:val="6B7E01F7"/>
    <w:rsid w:val="6BA06A6E"/>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754A37"/>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left="420" w:leftChars="200"/>
    </w:pPr>
    <w:rPr>
      <w:rFonts w:ascii="Times New Roman" w:hAnsi="Times New Roman"/>
    </w:rPr>
  </w:style>
  <w:style w:type="paragraph" w:styleId="5">
    <w:name w:val="Body Text"/>
    <w:basedOn w:val="1"/>
    <w:qFormat/>
    <w:uiPriority w:val="0"/>
    <w:pPr>
      <w:spacing w:after="120" w:afterLines="0"/>
    </w:pPr>
    <w:rPr>
      <w:rFonts w:ascii="Times New Roman" w:hAnsi="Times New Roman" w:eastAsia="宋体" w:cs="Times New Roman"/>
    </w:rPr>
  </w:style>
  <w:style w:type="paragraph" w:styleId="6">
    <w:name w:val="Date"/>
    <w:basedOn w:val="1"/>
    <w:next w:val="1"/>
    <w:link w:val="16"/>
    <w:semiHidden/>
    <w:qFormat/>
    <w:uiPriority w:val="99"/>
    <w:pPr>
      <w:ind w:left="100" w:leftChars="2500"/>
    </w:p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qFormat/>
    <w:uiPriority w:val="0"/>
    <w:pPr>
      <w:adjustRightInd w:val="0"/>
      <w:snapToGrid w:val="0"/>
      <w:spacing w:after="120"/>
      <w:ind w:firstLine="420" w:firstLineChars="100"/>
    </w:pPr>
    <w:rPr>
      <w:rFonts w:ascii="Tahoma" w:hAnsi="Tahoma" w:eastAsia="微软雅黑" w:cs="Times New Roman"/>
      <w:sz w:val="22"/>
      <w:szCs w:val="22"/>
      <w:lang w:val="en-US" w:eastAsia="zh-CN" w:bidi="ar-SA"/>
    </w:rPr>
  </w:style>
  <w:style w:type="character" w:styleId="12">
    <w:name w:val="page number"/>
    <w:basedOn w:val="11"/>
    <w:qFormat/>
    <w:uiPriority w:val="99"/>
  </w:style>
  <w:style w:type="paragraph" w:customStyle="1" w:styleId="13">
    <w:name w:val="正文文字"/>
    <w:basedOn w:val="1"/>
    <w:next w:val="1"/>
    <w:qFormat/>
    <w:uiPriority w:val="99"/>
    <w:pPr>
      <w:spacing w:after="120"/>
    </w:pPr>
  </w:style>
  <w:style w:type="character" w:customStyle="1" w:styleId="14">
    <w:name w:val="Header Char"/>
    <w:basedOn w:val="11"/>
    <w:link w:val="8"/>
    <w:semiHidden/>
    <w:qFormat/>
    <w:locked/>
    <w:uiPriority w:val="99"/>
    <w:rPr>
      <w:sz w:val="18"/>
      <w:szCs w:val="18"/>
    </w:rPr>
  </w:style>
  <w:style w:type="character" w:customStyle="1" w:styleId="15">
    <w:name w:val="Footer Char"/>
    <w:basedOn w:val="11"/>
    <w:link w:val="7"/>
    <w:qFormat/>
    <w:locked/>
    <w:uiPriority w:val="99"/>
    <w:rPr>
      <w:sz w:val="18"/>
      <w:szCs w:val="18"/>
    </w:rPr>
  </w:style>
  <w:style w:type="character" w:customStyle="1" w:styleId="16">
    <w:name w:val="Date Char"/>
    <w:basedOn w:val="11"/>
    <w:link w:val="6"/>
    <w:semiHidden/>
    <w:qFormat/>
    <w:locked/>
    <w:uiPriority w:val="99"/>
  </w:style>
  <w:style w:type="character" w:customStyle="1" w:styleId="17">
    <w:name w:val="font41"/>
    <w:basedOn w:val="11"/>
    <w:qFormat/>
    <w:uiPriority w:val="99"/>
    <w:rPr>
      <w:rFonts w:ascii="宋体" w:hAnsi="宋体" w:eastAsia="宋体" w:cs="宋体"/>
      <w:b/>
      <w:bCs/>
      <w:color w:val="000000"/>
      <w:sz w:val="44"/>
      <w:szCs w:val="44"/>
      <w:u w:val="none"/>
    </w:rPr>
  </w:style>
  <w:style w:type="character" w:customStyle="1" w:styleId="18">
    <w:name w:val="font11"/>
    <w:basedOn w:val="11"/>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1"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9</Pages>
  <Words>3859</Words>
  <Characters>4051</Characters>
  <Lines>0</Lines>
  <Paragraphs>0</Paragraphs>
  <TotalTime>0</TotalTime>
  <ScaleCrop>false</ScaleCrop>
  <LinksUpToDate>false</LinksUpToDate>
  <CharactersWithSpaces>4097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Administrator</cp:lastModifiedBy>
  <cp:lastPrinted>2023-08-28T07:21:00Z</cp:lastPrinted>
  <dcterms:modified xsi:type="dcterms:W3CDTF">2024-08-20T09:14:48Z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D046AB22908C472C8AD60C17670F1370</vt:lpwstr>
  </property>
</Properties>
</file>