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hint="default" w:ascii="Times New Roman" w:hAnsi="Times New Roman" w:cs="Times New Roman"/>
          <w:sz w:val="56"/>
          <w:szCs w:val="56"/>
        </w:rPr>
      </w:pPr>
    </w:p>
    <w:p>
      <w:pPr>
        <w:pStyle w:val="17"/>
        <w:jc w:val="both"/>
        <w:rPr>
          <w:rFonts w:hint="default" w:ascii="Times New Roman" w:hAnsi="Times New Roman" w:cs="Times New Roman"/>
          <w:sz w:val="56"/>
          <w:szCs w:val="56"/>
        </w:rPr>
      </w:pPr>
    </w:p>
    <w:p>
      <w:pPr>
        <w:pStyle w:val="17"/>
        <w:jc w:val="both"/>
        <w:rPr>
          <w:rFonts w:hint="default" w:ascii="Times New Roman" w:hAnsi="Times New Roman" w:cs="Times New Roman"/>
          <w:sz w:val="84"/>
          <w:szCs w:val="84"/>
        </w:rPr>
      </w:pPr>
    </w:p>
    <w:p>
      <w:pPr>
        <w:pStyle w:val="17"/>
        <w:jc w:val="center"/>
        <w:rPr>
          <w:rFonts w:hint="default" w:ascii="Times New Roman" w:hAnsi="Times New Roman" w:eastAsia="方正小标宋简体" w:cs="Times New Roman"/>
          <w:sz w:val="76"/>
          <w:szCs w:val="76"/>
        </w:rPr>
      </w:pPr>
    </w:p>
    <w:p>
      <w:pPr>
        <w:pStyle w:val="17"/>
        <w:jc w:val="center"/>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t>2023年度</w:t>
      </w:r>
    </w:p>
    <w:p>
      <w:pPr>
        <w:pStyle w:val="17"/>
        <w:jc w:val="center"/>
        <w:rPr>
          <w:rFonts w:hint="default" w:ascii="Times New Roman" w:hAnsi="Times New Roman" w:cs="Times New Roman"/>
        </w:rPr>
      </w:pPr>
      <w:r>
        <w:rPr>
          <w:rFonts w:hint="default" w:ascii="Times New Roman" w:hAnsi="Times New Roman" w:eastAsia="方正小标宋简体" w:cs="Times New Roman"/>
          <w:sz w:val="72"/>
          <w:szCs w:val="72"/>
          <w:lang w:eastAsia="zh-CN"/>
        </w:rPr>
        <w:t>株洲市石峰区红十字会</w:t>
      </w:r>
    </w:p>
    <w:p>
      <w:pPr>
        <w:pStyle w:val="17"/>
        <w:jc w:val="center"/>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t>部门决算</w:t>
      </w:r>
    </w:p>
    <w:p>
      <w:pPr>
        <w:pStyle w:val="17"/>
        <w:jc w:val="both"/>
        <w:rPr>
          <w:rFonts w:hint="default" w:ascii="Times New Roman" w:hAnsi="Times New Roman" w:cs="Times New Roman"/>
          <w:sz w:val="32"/>
          <w:szCs w:val="32"/>
        </w:rPr>
      </w:pPr>
    </w:p>
    <w:p>
      <w:pPr>
        <w:pStyle w:val="17"/>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cs="Times New Roman"/>
          <w:sz w:val="44"/>
          <w:szCs w:val="44"/>
        </w:rPr>
      </w:pPr>
      <w:r>
        <w:rPr>
          <w:rFonts w:hint="default" w:ascii="Times New Roman" w:hAnsi="Times New Roman" w:cs="Times New Roman"/>
          <w:sz w:val="32"/>
          <w:szCs w:val="32"/>
        </w:rPr>
        <w:br w:type="page"/>
      </w:r>
      <w:r>
        <w:rPr>
          <w:rFonts w:hint="default" w:ascii="Times New Roman" w:hAnsi="Times New Roman" w:eastAsia="方正小标宋简体" w:cs="Times New Roman"/>
          <w:sz w:val="36"/>
          <w:szCs w:val="36"/>
        </w:rPr>
        <w:t>目</w:t>
      </w:r>
      <w:r>
        <w:rPr>
          <w:rFonts w:hint="default" w:ascii="Times New Roman" w:hAnsi="Times New Roman" w:eastAsia="方正小标宋简体" w:cs="Times New Roman"/>
          <w:sz w:val="36"/>
          <w:szCs w:val="36"/>
          <w:lang w:val="en-US" w:eastAsia="zh-CN"/>
        </w:rPr>
        <w:t xml:space="preserve">  </w:t>
      </w:r>
      <w:r>
        <w:rPr>
          <w:rFonts w:hint="default" w:ascii="Times New Roman" w:hAnsi="Times New Roman" w:eastAsia="方正小标宋简体" w:cs="Times New Roman"/>
          <w:sz w:val="36"/>
          <w:szCs w:val="36"/>
        </w:rPr>
        <w:t>录</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第一部分</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 xml:space="preserve"> </w:t>
      </w:r>
      <w:r>
        <w:rPr>
          <w:rFonts w:hint="default" w:ascii="Times New Roman" w:hAnsi="Times New Roman" w:cs="Times New Roman"/>
          <w:sz w:val="32"/>
          <w:szCs w:val="32"/>
          <w:lang w:eastAsia="zh-CN"/>
        </w:rPr>
        <w:t>株洲市石峰区红十字会</w:t>
      </w:r>
      <w:r>
        <w:rPr>
          <w:rFonts w:hint="default" w:ascii="Times New Roman" w:hAnsi="Times New Roman" w:cs="Times New Roman"/>
          <w:sz w:val="32"/>
          <w:szCs w:val="32"/>
        </w:rPr>
        <w:t>概况</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一、部门职责</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二、机构设置</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第二部分 </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2023年度部门决算表</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二、收入决算表</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三、支出决算表</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五、一般公共预算财政拨款支出决算表</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六、一般公共预算财政拨款基本支出决算明细表</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七、一般公共预算财政拨款“三公”经费支出决算表</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八、政府性基金预算财政拨款收入支出决算表</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九、国有资本经营预算财政拨款支出决算表</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第三部分 </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2023年度部门决算情况说明</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二、收入决算情况说明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八、政府性基金预算收入支出决算情况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九、国有资本经营预算支出决算情况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十、机关运行经费支出说明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十一、一般性支出情况说明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十二、政府采购支出说明</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十三、国有资产占用情况说明</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十四、重点项目预算的绩效评价结果等情况说明</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十五、其他重要事项说明</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第四部分  名词解释</w:t>
      </w:r>
    </w:p>
    <w:p>
      <w:pPr>
        <w:pStyle w:val="17"/>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第五部分  附件</w:t>
      </w:r>
    </w:p>
    <w:p>
      <w:pPr>
        <w:pStyle w:val="17"/>
        <w:spacing w:line="440" w:lineRule="exact"/>
        <w:jc w:val="both"/>
        <w:rPr>
          <w:rFonts w:hint="default" w:ascii="Times New Roman" w:hAnsi="Times New Roman" w:cs="Times New Roman"/>
          <w:sz w:val="84"/>
          <w:szCs w:val="84"/>
        </w:rPr>
      </w:pPr>
      <w:r>
        <w:rPr>
          <w:rFonts w:hint="default" w:ascii="Times New Roman" w:hAnsi="Times New Roman" w:cs="Times New Roman"/>
          <w:sz w:val="84"/>
          <w:szCs w:val="84"/>
        </w:rPr>
        <w:br w:type="page"/>
      </w:r>
    </w:p>
    <w:p>
      <w:pPr>
        <w:pStyle w:val="17"/>
        <w:jc w:val="both"/>
        <w:rPr>
          <w:rFonts w:hint="default" w:ascii="Times New Roman" w:hAnsi="Times New Roman" w:cs="Times New Roman"/>
          <w:sz w:val="84"/>
          <w:szCs w:val="84"/>
        </w:rPr>
      </w:pPr>
    </w:p>
    <w:p>
      <w:pPr>
        <w:pStyle w:val="17"/>
        <w:jc w:val="both"/>
        <w:rPr>
          <w:rFonts w:hint="default" w:ascii="Times New Roman" w:hAnsi="Times New Roman" w:cs="Times New Roman"/>
          <w:sz w:val="84"/>
          <w:szCs w:val="84"/>
        </w:rPr>
      </w:pPr>
    </w:p>
    <w:p>
      <w:pPr>
        <w:pStyle w:val="17"/>
        <w:jc w:val="center"/>
        <w:rPr>
          <w:rFonts w:hint="default" w:ascii="Times New Roman" w:hAnsi="Times New Roman" w:eastAsia="方正小标宋简体" w:cs="Times New Roman"/>
          <w:w w:val="90"/>
          <w:sz w:val="76"/>
          <w:szCs w:val="76"/>
        </w:rPr>
      </w:pPr>
    </w:p>
    <w:p>
      <w:pPr>
        <w:pStyle w:val="17"/>
        <w:jc w:val="center"/>
        <w:rPr>
          <w:rFonts w:hint="default" w:ascii="Times New Roman" w:hAnsi="Times New Roman" w:eastAsia="方正小标宋简体" w:cs="Times New Roman"/>
          <w:sz w:val="76"/>
          <w:szCs w:val="76"/>
        </w:rPr>
      </w:pPr>
      <w:r>
        <w:rPr>
          <w:rFonts w:hint="default" w:ascii="Times New Roman" w:hAnsi="Times New Roman" w:eastAsia="方正小标宋简体" w:cs="Times New Roman"/>
          <w:sz w:val="76"/>
          <w:szCs w:val="76"/>
        </w:rPr>
        <w:t>第一部分</w:t>
      </w:r>
    </w:p>
    <w:p>
      <w:pPr>
        <w:pStyle w:val="17"/>
        <w:jc w:val="center"/>
        <w:rPr>
          <w:rFonts w:hint="default" w:ascii="Times New Roman" w:hAnsi="Times New Roman" w:eastAsia="方正小标宋简体" w:cs="Times New Roman"/>
          <w:sz w:val="76"/>
          <w:szCs w:val="76"/>
        </w:rPr>
      </w:pPr>
    </w:p>
    <w:p>
      <w:pPr>
        <w:pStyle w:val="17"/>
        <w:jc w:val="center"/>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lang w:eastAsia="zh-CN"/>
        </w:rPr>
        <w:t>株洲市石峰区红十字会</w:t>
      </w:r>
    </w:p>
    <w:p>
      <w:pPr>
        <w:pStyle w:val="17"/>
        <w:jc w:val="center"/>
        <w:rPr>
          <w:rFonts w:hint="default" w:ascii="Times New Roman" w:hAnsi="Times New Roman" w:eastAsia="方正小标宋简体" w:cs="Times New Roman"/>
          <w:sz w:val="76"/>
          <w:szCs w:val="76"/>
        </w:rPr>
      </w:pPr>
      <w:r>
        <w:rPr>
          <w:rFonts w:hint="default" w:ascii="Times New Roman" w:hAnsi="Times New Roman" w:eastAsia="方正小标宋简体" w:cs="Times New Roman"/>
          <w:sz w:val="76"/>
          <w:szCs w:val="76"/>
        </w:rPr>
        <w:t>单位概况</w:t>
      </w:r>
    </w:p>
    <w:p>
      <w:pPr>
        <w:pStyle w:val="18"/>
        <w:numPr>
          <w:ilvl w:val="0"/>
          <w:numId w:val="0"/>
        </w:numPr>
        <w:overflowPunct w:val="0"/>
        <w:spacing w:line="596" w:lineRule="exact"/>
        <w:ind w:left="1360" w:leftChars="0" w:hanging="720" w:firstLineChars="0"/>
        <w:rPr>
          <w:rFonts w:hint="default" w:ascii="Times New Roman" w:hAnsi="Times New Roman" w:eastAsia="黑体" w:cs="Times New Roman"/>
          <w:kern w:val="2"/>
          <w:sz w:val="32"/>
          <w:szCs w:val="32"/>
          <w:lang w:val="en-US" w:eastAsia="zh-CN" w:bidi="ar-SA"/>
        </w:rPr>
      </w:pPr>
    </w:p>
    <w:p>
      <w:pPr>
        <w:pStyle w:val="18"/>
        <w:numPr>
          <w:ilvl w:val="0"/>
          <w:numId w:val="0"/>
        </w:numPr>
        <w:overflowPunct w:val="0"/>
        <w:spacing w:line="596" w:lineRule="exact"/>
        <w:ind w:left="1360" w:leftChars="0" w:hanging="720" w:firstLineChars="0"/>
        <w:rPr>
          <w:rFonts w:hint="default" w:ascii="Times New Roman" w:hAnsi="Times New Roman" w:eastAsia="黑体" w:cs="Times New Roman"/>
          <w:kern w:val="2"/>
          <w:sz w:val="32"/>
          <w:szCs w:val="32"/>
          <w:lang w:val="en-US" w:eastAsia="zh-CN" w:bidi="ar-SA"/>
        </w:rPr>
      </w:pPr>
    </w:p>
    <w:p>
      <w:pPr>
        <w:pStyle w:val="18"/>
        <w:numPr>
          <w:ilvl w:val="0"/>
          <w:numId w:val="0"/>
        </w:numPr>
        <w:overflowPunct w:val="0"/>
        <w:spacing w:line="596" w:lineRule="exact"/>
        <w:ind w:left="1360" w:leftChars="0" w:hanging="720" w:firstLineChars="0"/>
        <w:rPr>
          <w:rFonts w:hint="default" w:ascii="Times New Roman" w:hAnsi="Times New Roman" w:eastAsia="黑体" w:cs="Times New Roman"/>
          <w:kern w:val="2"/>
          <w:sz w:val="32"/>
          <w:szCs w:val="32"/>
          <w:lang w:val="en-US" w:eastAsia="zh-CN" w:bidi="ar-SA"/>
        </w:rPr>
      </w:pPr>
    </w:p>
    <w:p>
      <w:pPr>
        <w:pStyle w:val="18"/>
        <w:numPr>
          <w:ilvl w:val="0"/>
          <w:numId w:val="0"/>
        </w:numPr>
        <w:overflowPunct w:val="0"/>
        <w:spacing w:line="596" w:lineRule="exact"/>
        <w:ind w:left="1360" w:leftChars="0" w:hanging="720" w:firstLineChars="0"/>
        <w:rPr>
          <w:rFonts w:hint="default" w:ascii="Times New Roman" w:hAnsi="Times New Roman" w:eastAsia="黑体" w:cs="Times New Roman"/>
          <w:kern w:val="2"/>
          <w:sz w:val="32"/>
          <w:szCs w:val="32"/>
          <w:lang w:val="en-US" w:eastAsia="zh-CN" w:bidi="ar-SA"/>
        </w:rPr>
      </w:pPr>
    </w:p>
    <w:p>
      <w:pPr>
        <w:pStyle w:val="18"/>
        <w:numPr>
          <w:ilvl w:val="0"/>
          <w:numId w:val="0"/>
        </w:numPr>
        <w:overflowPunct w:val="0"/>
        <w:spacing w:line="596" w:lineRule="exact"/>
        <w:ind w:left="1360" w:leftChars="0" w:hanging="720" w:firstLineChars="0"/>
        <w:rPr>
          <w:rFonts w:hint="default" w:ascii="Times New Roman" w:hAnsi="Times New Roman" w:eastAsia="黑体" w:cs="Times New Roman"/>
          <w:kern w:val="2"/>
          <w:sz w:val="32"/>
          <w:szCs w:val="32"/>
          <w:lang w:val="en-US" w:eastAsia="zh-CN" w:bidi="ar-SA"/>
        </w:rPr>
      </w:pPr>
    </w:p>
    <w:p>
      <w:pPr>
        <w:pStyle w:val="18"/>
        <w:numPr>
          <w:ilvl w:val="0"/>
          <w:numId w:val="0"/>
        </w:numPr>
        <w:overflowPunct w:val="0"/>
        <w:spacing w:line="596" w:lineRule="exact"/>
        <w:ind w:left="1360" w:leftChars="0" w:hanging="720" w:firstLineChars="0"/>
        <w:rPr>
          <w:rFonts w:hint="default" w:ascii="Times New Roman" w:hAnsi="Times New Roman" w:eastAsia="黑体" w:cs="Times New Roman"/>
          <w:kern w:val="2"/>
          <w:sz w:val="32"/>
          <w:szCs w:val="32"/>
          <w:lang w:val="en-US" w:eastAsia="zh-CN" w:bidi="ar-SA"/>
        </w:rPr>
      </w:pPr>
    </w:p>
    <w:p>
      <w:pPr>
        <w:pStyle w:val="18"/>
        <w:numPr>
          <w:ilvl w:val="0"/>
          <w:numId w:val="0"/>
        </w:numPr>
        <w:overflowPunct w:val="0"/>
        <w:spacing w:line="596" w:lineRule="exact"/>
        <w:ind w:left="1360" w:leftChars="0" w:hanging="720" w:firstLineChars="0"/>
        <w:rPr>
          <w:rFonts w:hint="default" w:ascii="Times New Roman" w:hAnsi="Times New Roman" w:eastAsia="黑体" w:cs="Times New Roman"/>
          <w:kern w:val="2"/>
          <w:sz w:val="32"/>
          <w:szCs w:val="32"/>
          <w:lang w:val="en-US" w:eastAsia="zh-CN" w:bidi="ar-SA"/>
        </w:rPr>
      </w:pPr>
    </w:p>
    <w:p>
      <w:pPr>
        <w:pStyle w:val="18"/>
        <w:numPr>
          <w:ilvl w:val="0"/>
          <w:numId w:val="0"/>
        </w:numPr>
        <w:overflowPunct w:val="0"/>
        <w:spacing w:line="596" w:lineRule="exact"/>
        <w:rPr>
          <w:rFonts w:hint="default" w:ascii="Times New Roman" w:hAnsi="Times New Roman" w:eastAsia="黑体" w:cs="Times New Roman"/>
          <w:kern w:val="2"/>
          <w:sz w:val="32"/>
          <w:szCs w:val="32"/>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kern w:val="2"/>
          <w:sz w:val="32"/>
          <w:szCs w:val="32"/>
          <w:lang w:val="en-US" w:eastAsia="zh-CN" w:bidi="ar-SA"/>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kern w:val="2"/>
          <w:sz w:val="32"/>
          <w:szCs w:val="32"/>
          <w:lang w:val="en-US" w:eastAsia="zh-CN" w:bidi="ar-SA"/>
        </w:rPr>
        <w:t>一、</w:t>
      </w:r>
      <w:r>
        <w:rPr>
          <w:rFonts w:hint="default" w:ascii="Times New Roman" w:hAnsi="Times New Roman" w:eastAsia="黑体" w:cs="Times New Roman"/>
          <w:sz w:val="32"/>
          <w:szCs w:val="32"/>
        </w:rPr>
        <w:t>部门职责</w:t>
      </w:r>
    </w:p>
    <w:p>
      <w:pPr>
        <w:pStyle w:val="17"/>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株洲市石峰区红十字会（以下简称区红十字会）的主要职责是：（一）、开展救灾的准备工作；在自然灾害和突发事件中，对伤病人员和其他受害者进行救助；（二）、普及卫生救护和防病知识，进行初级卫生救护培训，组织群众参加现场救护；参与输血献血工作，推动无偿献血；开展其他人道主义服务活动；（三）、开展红十字青少年活动；（四）、参加国际人道主义救援工作；（五）、宣传国际红十字和红新月运动的基本原则和日内瓦公约及其附加议定书；（六）、依照国际红十字和红新月运动的基本原则，完成人民政府委托事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bidi="ar-SA"/>
        </w:rPr>
        <w:t>二、</w:t>
      </w:r>
      <w:r>
        <w:rPr>
          <w:rFonts w:hint="default" w:ascii="Times New Roman" w:hAnsi="Times New Roman" w:eastAsia="黑体" w:cs="Times New Roman"/>
          <w:kern w:val="0"/>
          <w:sz w:val="32"/>
          <w:szCs w:val="32"/>
        </w:rPr>
        <w:t>机构设置及决算单位构成</w:t>
      </w:r>
    </w:p>
    <w:p>
      <w:pPr>
        <w:pStyle w:val="17"/>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株洲市石峰区红十字会单位内设机构包括：会长办公室1 个、业务办公室2个。决算单位构成。 从决算单位构成看，石峰区红十字会2023年部门决算汇总公开单位构成包括：石峰区红十字会本级，无其他二级决算单位。</w:t>
      </w:r>
    </w:p>
    <w:p>
      <w:pPr>
        <w:pStyle w:val="17"/>
        <w:jc w:val="both"/>
        <w:rPr>
          <w:rFonts w:hint="default" w:ascii="Times New Roman" w:hAnsi="Times New Roman" w:cs="Times New Roman"/>
          <w:sz w:val="84"/>
          <w:szCs w:val="84"/>
        </w:rPr>
      </w:pPr>
    </w:p>
    <w:p>
      <w:pPr>
        <w:pStyle w:val="17"/>
        <w:jc w:val="both"/>
        <w:rPr>
          <w:rFonts w:hint="default" w:ascii="Times New Roman" w:hAnsi="Times New Roman" w:cs="Times New Roman"/>
          <w:sz w:val="84"/>
          <w:szCs w:val="84"/>
        </w:rPr>
      </w:pPr>
    </w:p>
    <w:p>
      <w:pPr>
        <w:pStyle w:val="17"/>
        <w:jc w:val="both"/>
        <w:rPr>
          <w:rFonts w:hint="default" w:ascii="Times New Roman" w:hAnsi="Times New Roman" w:cs="Times New Roman"/>
          <w:sz w:val="84"/>
          <w:szCs w:val="84"/>
        </w:rPr>
      </w:pPr>
    </w:p>
    <w:p>
      <w:pPr>
        <w:pStyle w:val="17"/>
        <w:jc w:val="both"/>
        <w:rPr>
          <w:rFonts w:hint="default" w:ascii="Times New Roman" w:hAnsi="Times New Roman" w:cs="Times New Roman"/>
          <w:sz w:val="84"/>
          <w:szCs w:val="84"/>
        </w:rPr>
      </w:pPr>
    </w:p>
    <w:p>
      <w:pPr>
        <w:pStyle w:val="17"/>
        <w:jc w:val="both"/>
        <w:rPr>
          <w:rFonts w:hint="default" w:ascii="Times New Roman" w:hAnsi="Times New Roman" w:cs="Times New Roman"/>
          <w:sz w:val="84"/>
          <w:szCs w:val="84"/>
        </w:rPr>
      </w:pPr>
    </w:p>
    <w:p>
      <w:pPr>
        <w:pStyle w:val="17"/>
        <w:jc w:val="both"/>
        <w:rPr>
          <w:rFonts w:hint="default" w:ascii="Times New Roman" w:hAnsi="Times New Roman" w:cs="Times New Roman"/>
          <w:sz w:val="84"/>
          <w:szCs w:val="84"/>
        </w:rPr>
      </w:pPr>
    </w:p>
    <w:p>
      <w:pPr>
        <w:pStyle w:val="17"/>
        <w:jc w:val="center"/>
        <w:rPr>
          <w:rFonts w:hint="default" w:ascii="Times New Roman" w:hAnsi="Times New Roman" w:eastAsia="方正小标宋简体" w:cs="Times New Roman"/>
          <w:sz w:val="76"/>
          <w:szCs w:val="76"/>
        </w:rPr>
      </w:pPr>
      <w:r>
        <w:rPr>
          <w:rFonts w:hint="default" w:ascii="Times New Roman" w:hAnsi="Times New Roman" w:eastAsia="方正小标宋简体" w:cs="Times New Roman"/>
          <w:sz w:val="76"/>
          <w:szCs w:val="76"/>
        </w:rPr>
        <w:t>第二部分</w:t>
      </w:r>
    </w:p>
    <w:p>
      <w:pPr>
        <w:pStyle w:val="17"/>
        <w:jc w:val="center"/>
        <w:rPr>
          <w:rFonts w:hint="default" w:ascii="Times New Roman" w:hAnsi="Times New Roman" w:eastAsia="方正小标宋简体" w:cs="Times New Roman"/>
          <w:sz w:val="76"/>
          <w:szCs w:val="76"/>
        </w:rPr>
      </w:pPr>
    </w:p>
    <w:p>
      <w:pPr>
        <w:pStyle w:val="17"/>
        <w:jc w:val="center"/>
        <w:rPr>
          <w:rFonts w:hint="default" w:ascii="Times New Roman" w:hAnsi="Times New Roman" w:eastAsia="方正小标宋简体" w:cs="Times New Roman"/>
          <w:w w:val="90"/>
          <w:sz w:val="76"/>
          <w:szCs w:val="76"/>
        </w:rPr>
      </w:pPr>
      <w:r>
        <w:rPr>
          <w:rFonts w:hint="default" w:ascii="Times New Roman" w:hAnsi="Times New Roman" w:eastAsia="方正小标宋简体" w:cs="Times New Roman"/>
          <w:sz w:val="76"/>
          <w:szCs w:val="76"/>
        </w:rPr>
        <w:t>部门决算表</w:t>
      </w:r>
    </w:p>
    <w:p>
      <w:pPr>
        <w:rPr>
          <w:rFonts w:hint="default" w:ascii="Times New Roman" w:hAnsi="Times New Roman" w:eastAsia="仿宋_GB2312" w:cs="Times New Roman"/>
          <w:sz w:val="72"/>
          <w:szCs w:val="72"/>
        </w:rPr>
      </w:pPr>
    </w:p>
    <w:p>
      <w:pPr>
        <w:jc w:val="center"/>
        <w:rPr>
          <w:rFonts w:hint="default" w:ascii="Times New Roman" w:hAnsi="Times New Roman" w:eastAsia="仿宋_GB2312" w:cs="Times New Roman"/>
          <w:sz w:val="32"/>
          <w:szCs w:val="32"/>
          <w:lang w:eastAsia="zh-CN"/>
        </w:rPr>
        <w:sectPr>
          <w:footerReference r:id="rId3" w:type="default"/>
          <w:pgSz w:w="11906" w:h="16838"/>
          <w:pgMar w:top="1984" w:right="1531" w:bottom="1701" w:left="1531" w:header="851" w:footer="992" w:gutter="0"/>
          <w:cols w:space="425" w:num="1"/>
          <w:docGrid w:type="lines" w:linePitch="312" w:charSpace="0"/>
        </w:sectPr>
      </w:pPr>
      <w:r>
        <w:rPr>
          <w:rFonts w:hint="default" w:ascii="Times New Roman" w:hAnsi="Times New Roman" w:eastAsia="仿宋_GB2312" w:cs="Times New Roman"/>
          <w:sz w:val="32"/>
          <w:szCs w:val="32"/>
          <w:lang w:eastAsia="zh-CN"/>
        </w:rPr>
        <w:t>（见附件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p>
    <w:p>
      <w:pPr>
        <w:pStyle w:val="17"/>
        <w:jc w:val="both"/>
        <w:rPr>
          <w:rFonts w:hint="default" w:ascii="Times New Roman" w:hAnsi="Times New Roman" w:cs="Times New Roman"/>
          <w:sz w:val="84"/>
          <w:szCs w:val="84"/>
        </w:rPr>
      </w:pPr>
    </w:p>
    <w:p>
      <w:pPr>
        <w:pStyle w:val="17"/>
        <w:jc w:val="both"/>
        <w:rPr>
          <w:rFonts w:hint="default" w:ascii="Times New Roman" w:hAnsi="Times New Roman" w:cs="Times New Roman"/>
          <w:sz w:val="84"/>
          <w:szCs w:val="84"/>
        </w:rPr>
      </w:pPr>
    </w:p>
    <w:p>
      <w:pPr>
        <w:pStyle w:val="17"/>
        <w:jc w:val="both"/>
        <w:rPr>
          <w:rFonts w:hint="default" w:ascii="Times New Roman" w:hAnsi="Times New Roman" w:cs="Times New Roman"/>
          <w:sz w:val="84"/>
          <w:szCs w:val="84"/>
        </w:rPr>
      </w:pPr>
    </w:p>
    <w:p>
      <w:pPr>
        <w:pStyle w:val="17"/>
        <w:jc w:val="center"/>
        <w:rPr>
          <w:rFonts w:hint="default" w:ascii="Times New Roman" w:hAnsi="Times New Roman" w:eastAsia="方正小标宋简体" w:cs="Times New Roman"/>
          <w:sz w:val="76"/>
          <w:szCs w:val="76"/>
        </w:rPr>
      </w:pPr>
      <w:r>
        <w:rPr>
          <w:rFonts w:hint="default" w:ascii="Times New Roman" w:hAnsi="Times New Roman" w:eastAsia="方正小标宋简体" w:cs="Times New Roman"/>
          <w:sz w:val="72"/>
          <w:szCs w:val="72"/>
        </w:rPr>
        <w:t>第三部分</w:t>
      </w:r>
    </w:p>
    <w:p>
      <w:pPr>
        <w:pStyle w:val="17"/>
        <w:jc w:val="center"/>
        <w:rPr>
          <w:rFonts w:hint="default" w:ascii="Times New Roman" w:hAnsi="Times New Roman" w:eastAsia="方正小标宋简体" w:cs="Times New Roman"/>
          <w:sz w:val="76"/>
          <w:szCs w:val="76"/>
        </w:rPr>
      </w:pPr>
    </w:p>
    <w:p>
      <w:pPr>
        <w:pStyle w:val="17"/>
        <w:jc w:val="center"/>
        <w:rPr>
          <w:rFonts w:hint="default" w:ascii="Times New Roman" w:hAnsi="Times New Roman" w:eastAsia="仿宋_GB2312" w:cs="Times New Roman"/>
          <w:sz w:val="28"/>
          <w:szCs w:val="28"/>
        </w:rPr>
      </w:pPr>
      <w:r>
        <w:rPr>
          <w:rFonts w:hint="default" w:ascii="Times New Roman" w:hAnsi="Times New Roman" w:eastAsia="方正小标宋简体" w:cs="Times New Roman"/>
          <w:sz w:val="72"/>
          <w:szCs w:val="72"/>
        </w:rPr>
        <w:t>2023年度部门决算情况说明</w:t>
      </w:r>
    </w:p>
    <w:p>
      <w:pPr>
        <w:pStyle w:val="17"/>
        <w:keepNext w:val="0"/>
        <w:keepLines w:val="0"/>
        <w:pageBreakBefore w:val="0"/>
        <w:widowControl w:val="0"/>
        <w:numPr>
          <w:ilvl w:val="0"/>
          <w:numId w:val="1"/>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br w:type="page"/>
      </w:r>
      <w:r>
        <w:rPr>
          <w:rFonts w:hint="default" w:ascii="Times New Roman" w:hAnsi="Times New Roman" w:cs="Times New Roman"/>
          <w:sz w:val="32"/>
          <w:szCs w:val="32"/>
        </w:rPr>
        <w:t>收入支出决算总体情况说明</w:t>
      </w:r>
    </w:p>
    <w:p>
      <w:pPr>
        <w:pStyle w:val="17"/>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2023年度收、支总计74.08万元。与上年相比，增加8.20万元，增加11.07%， 主要是因为人员工资正常调级及项目经费增加。</w:t>
      </w:r>
    </w:p>
    <w:p>
      <w:pPr>
        <w:pStyle w:val="17"/>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收入决算情况说明</w:t>
      </w:r>
    </w:p>
    <w:p>
      <w:pPr>
        <w:pStyle w:val="17"/>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2023年度收入合计74.08万元，其中：财政拨款收入74.08万元，占100%。</w:t>
      </w:r>
    </w:p>
    <w:p>
      <w:pPr>
        <w:pStyle w:val="17"/>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支出决算情况说明</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2023年度支出合计74.08万元，其中：基本支出70.10万元，占94.63%；项目支出3.98万元，占5.37%。</w:t>
      </w:r>
    </w:p>
    <w:p>
      <w:pPr>
        <w:pStyle w:val="17"/>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财政拨款收入支出决算总体情况说明</w:t>
      </w:r>
    </w:p>
    <w:p>
      <w:pPr>
        <w:pStyle w:val="17"/>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2023年度财政拨款收、支总计74.08万元，与上年相比，增加8.80万元, 增加11.88%，主要是因为人员工资正常调级及项目经费增加。</w:t>
      </w:r>
    </w:p>
    <w:p>
      <w:pPr>
        <w:pStyle w:val="17"/>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rPr>
        <w:t>五、一般公共预算财政拨款支出决算情况说明</w:t>
      </w:r>
    </w:p>
    <w:p>
      <w:pPr>
        <w:pStyle w:val="8"/>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楷体_GB2312" w:cs="Times New Roman"/>
          <w:b/>
          <w:color w:val="000000"/>
          <w:kern w:val="0"/>
          <w:sz w:val="32"/>
          <w:szCs w:val="32"/>
        </w:rPr>
        <w:t>（一）财政拨款支出决算总体情况</w:t>
      </w:r>
    </w:p>
    <w:p>
      <w:pPr>
        <w:pStyle w:val="17"/>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2023年度财政拨款支出74.08万元，占本年支出合计的100%，与上年相比，财政拨款支出增加8.80万元，增加11.88%，主要是因为人员工资正常调级及项目经费增加。</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楷体_GB2312" w:cs="Times New Roman"/>
          <w:b/>
          <w:color w:val="000000"/>
          <w:kern w:val="0"/>
          <w:sz w:val="32"/>
          <w:szCs w:val="32"/>
        </w:rPr>
        <w:t>财政拨款支出决算结构情况</w:t>
      </w:r>
    </w:p>
    <w:p>
      <w:pPr>
        <w:pStyle w:val="17"/>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2023年度财政拨款支出74.08万元，主要用于以下方面：社会保障和就业（类）支出74.08万元，占100%。</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楷体_GB2312" w:cs="Times New Roman"/>
          <w:b/>
          <w:color w:val="000000"/>
          <w:kern w:val="0"/>
          <w:sz w:val="32"/>
          <w:szCs w:val="32"/>
        </w:rPr>
        <w:t>财政拨款支出决算具体情况</w:t>
      </w:r>
    </w:p>
    <w:p>
      <w:pPr>
        <w:pStyle w:val="17"/>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2023年度财政拨款支出年初预算数为53.78万元，支出决算数为74.08万元，完成年初预算的137.75%，其中： </w:t>
      </w:r>
    </w:p>
    <w:p>
      <w:pPr>
        <w:pStyle w:val="17"/>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1、社会保障和就业支出（类）红十字事业（款）行政运行（项）。 </w:t>
      </w:r>
    </w:p>
    <w:p>
      <w:pPr>
        <w:pStyle w:val="17"/>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年初预算为50.78万元，支出决算为70.10元，完成年初预算的138.05%，决算数大于年初预算数的主要原因是：人员调整及工资保险费增加。 </w:t>
      </w:r>
    </w:p>
    <w:p>
      <w:pPr>
        <w:pStyle w:val="17"/>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2、社会保障和就业支出（类）红十字事业（款）一般行政管理事务（项）。 </w:t>
      </w:r>
    </w:p>
    <w:p>
      <w:pPr>
        <w:pStyle w:val="17"/>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年初预算为3万元，支出决算为3.98万元，完成年初预算的132.67%，决算数大于年初预算数的主要原因是：红十字会专项事务增加。 </w:t>
      </w:r>
    </w:p>
    <w:p>
      <w:pPr>
        <w:pStyle w:val="17"/>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3、社会保障和就业支出（类）红十字事业（款）一其他红十字事业支出（项）。 </w:t>
      </w:r>
    </w:p>
    <w:p>
      <w:pPr>
        <w:pStyle w:val="17"/>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年初预算为0万元，支出决算为0.21万元，完成年初预算的0%，决算数小于年初预算数的主要原因是：项目增加，项目经费增加。</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eastAsia="zh-CN"/>
        </w:rPr>
        <w:t>六、</w:t>
      </w:r>
      <w:r>
        <w:rPr>
          <w:rFonts w:hint="default" w:ascii="Times New Roman" w:hAnsi="Times New Roman" w:eastAsia="黑体" w:cs="Times New Roman"/>
          <w:color w:val="000000"/>
          <w:kern w:val="0"/>
          <w:sz w:val="32"/>
          <w:szCs w:val="32"/>
        </w:rPr>
        <w:t>一般公共预算财政拨款基本支出决算情况说明</w:t>
      </w:r>
    </w:p>
    <w:p>
      <w:pPr>
        <w:pStyle w:val="17"/>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2023年度财政拨款基本支出70.10万元，其中：人员经费61.41万元，占基本支出的87.60%,主要包括基本工资、津贴补贴、奖金、伙食补助费、机关事业单位基本养老保险缴费、其他社会保障缴费等；公用经费8.69万元， 占基本支出的12.40%，主要包括办公费、印刷费、邮电费、专用材料费、工会经费、其他交通费用等。 </w:t>
      </w:r>
    </w:p>
    <w:p>
      <w:pPr>
        <w:pStyle w:val="8"/>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rPr>
        <w:t>七、一般公共预算财政拨款“三公”经费支出决算情况说明</w:t>
      </w:r>
    </w:p>
    <w:p>
      <w:pPr>
        <w:pStyle w:val="8"/>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楷体_GB2312" w:cs="Times New Roman"/>
          <w:b/>
          <w:color w:val="000000"/>
          <w:kern w:val="0"/>
          <w:sz w:val="32"/>
          <w:szCs w:val="32"/>
        </w:rPr>
        <w:t>（一）“三公”经费财政拨款支出决算总体情况说明</w:t>
      </w:r>
    </w:p>
    <w:p>
      <w:pPr>
        <w:pStyle w:val="17"/>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2023年度“三公”经费财政拨款支出预算为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highlight w:val="none"/>
        </w:rPr>
        <w:t>，决算数等于预算数,其中：</w:t>
      </w:r>
    </w:p>
    <w:p>
      <w:pPr>
        <w:pStyle w:val="17"/>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因公出国（境）费支出预算为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万元，支出决算为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万元，决算数等于预算数。与上年相比</w:t>
      </w:r>
      <w:r>
        <w:rPr>
          <w:rFonts w:hint="default" w:ascii="Times New Roman" w:hAnsi="Times New Roman" w:eastAsia="仿宋_GB2312" w:cs="Times New Roman"/>
          <w:sz w:val="32"/>
          <w:szCs w:val="32"/>
          <w:highlight w:val="none"/>
          <w:lang w:eastAsia="zh-CN"/>
        </w:rPr>
        <w:t>无</w:t>
      </w:r>
      <w:r>
        <w:rPr>
          <w:rFonts w:hint="default" w:ascii="Times New Roman" w:hAnsi="Times New Roman" w:eastAsia="仿宋_GB2312" w:cs="Times New Roman"/>
          <w:sz w:val="32"/>
          <w:szCs w:val="32"/>
          <w:highlight w:val="none"/>
        </w:rPr>
        <w:t>增加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主要原因是</w:t>
      </w:r>
      <w:r>
        <w:rPr>
          <w:rFonts w:hint="default" w:ascii="Times New Roman" w:hAnsi="Times New Roman" w:eastAsia="仿宋_GB2312" w:cs="Times New Roman"/>
          <w:sz w:val="32"/>
          <w:szCs w:val="32"/>
          <w:highlight w:val="none"/>
          <w:lang w:eastAsia="zh-CN"/>
        </w:rPr>
        <w:t>无</w:t>
      </w:r>
      <w:r>
        <w:rPr>
          <w:rFonts w:hint="default" w:ascii="Times New Roman" w:hAnsi="Times New Roman" w:eastAsia="仿宋_GB2312" w:cs="Times New Roman"/>
          <w:sz w:val="32"/>
          <w:szCs w:val="32"/>
          <w:highlight w:val="none"/>
        </w:rPr>
        <w:t>因公出国（境）费支出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公务接待费支出预算为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万元，支出决算为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万元，决算数等于预算数。与上年相比</w:t>
      </w:r>
      <w:r>
        <w:rPr>
          <w:rFonts w:hint="default" w:ascii="Times New Roman" w:hAnsi="Times New Roman" w:eastAsia="仿宋_GB2312" w:cs="Times New Roman"/>
          <w:sz w:val="32"/>
          <w:szCs w:val="32"/>
          <w:highlight w:val="none"/>
          <w:lang w:eastAsia="zh-CN"/>
        </w:rPr>
        <w:t>无</w:t>
      </w:r>
      <w:r>
        <w:rPr>
          <w:rFonts w:hint="default" w:ascii="Times New Roman" w:hAnsi="Times New Roman" w:eastAsia="仿宋_GB2312" w:cs="Times New Roman"/>
          <w:sz w:val="32"/>
          <w:szCs w:val="32"/>
          <w:highlight w:val="none"/>
        </w:rPr>
        <w:t>增加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主要原因是</w:t>
      </w:r>
      <w:r>
        <w:rPr>
          <w:rFonts w:hint="default" w:ascii="Times New Roman" w:hAnsi="Times New Roman" w:eastAsia="仿宋_GB2312" w:cs="Times New Roman"/>
          <w:sz w:val="32"/>
          <w:szCs w:val="32"/>
          <w:highlight w:val="none"/>
          <w:lang w:eastAsia="zh-CN"/>
        </w:rPr>
        <w:t>无</w:t>
      </w:r>
      <w:r>
        <w:rPr>
          <w:rFonts w:hint="default" w:ascii="Times New Roman" w:hAnsi="Times New Roman" w:eastAsia="仿宋_GB2312" w:cs="Times New Roman"/>
          <w:sz w:val="32"/>
          <w:szCs w:val="32"/>
          <w:highlight w:val="none"/>
        </w:rPr>
        <w:t>公务接待费支出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公务用车购置费支出预算为0万元，支出决算为0万元，决算数等于预算数。与上年相比</w:t>
      </w:r>
      <w:r>
        <w:rPr>
          <w:rFonts w:hint="default" w:ascii="Times New Roman" w:hAnsi="Times New Roman" w:eastAsia="仿宋_GB2312" w:cs="Times New Roman"/>
          <w:sz w:val="32"/>
          <w:szCs w:val="32"/>
          <w:highlight w:val="none"/>
          <w:lang w:eastAsia="zh-CN"/>
        </w:rPr>
        <w:t>无</w:t>
      </w:r>
      <w:r>
        <w:rPr>
          <w:rFonts w:hint="default" w:ascii="Times New Roman" w:hAnsi="Times New Roman" w:eastAsia="仿宋_GB2312" w:cs="Times New Roman"/>
          <w:sz w:val="32"/>
          <w:szCs w:val="32"/>
          <w:highlight w:val="none"/>
        </w:rPr>
        <w:t>增加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主要原因是</w:t>
      </w:r>
      <w:r>
        <w:rPr>
          <w:rFonts w:hint="default" w:ascii="Times New Roman" w:hAnsi="Times New Roman" w:eastAsia="仿宋_GB2312" w:cs="Times New Roman"/>
          <w:sz w:val="32"/>
          <w:szCs w:val="32"/>
          <w:highlight w:val="none"/>
          <w:lang w:eastAsia="zh-CN"/>
        </w:rPr>
        <w:t>无</w:t>
      </w:r>
      <w:r>
        <w:rPr>
          <w:rFonts w:hint="default" w:ascii="Times New Roman" w:hAnsi="Times New Roman" w:eastAsia="仿宋_GB2312" w:cs="Times New Roman"/>
          <w:sz w:val="32"/>
          <w:szCs w:val="32"/>
          <w:highlight w:val="none"/>
        </w:rPr>
        <w:t>公务用车购置费支出</w:t>
      </w:r>
      <w:r>
        <w:rPr>
          <w:rFonts w:hint="default" w:ascii="Times New Roman" w:hAnsi="Times New Roman" w:eastAsia="仿宋_GB2312" w:cs="Times New Roman"/>
          <w:sz w:val="32"/>
          <w:szCs w:val="32"/>
        </w:rPr>
        <w:t>。</w:t>
      </w:r>
    </w:p>
    <w:p>
      <w:pPr>
        <w:pStyle w:val="17"/>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公务用车运行维护费支出预算为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highlight w:val="none"/>
        </w:rPr>
        <w:t>决算数等于预算数</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与上年相比</w:t>
      </w:r>
      <w:r>
        <w:rPr>
          <w:rFonts w:hint="default" w:ascii="Times New Roman" w:hAnsi="Times New Roman" w:eastAsia="仿宋_GB2312" w:cs="Times New Roman"/>
          <w:sz w:val="32"/>
          <w:szCs w:val="32"/>
          <w:highlight w:val="none"/>
          <w:lang w:eastAsia="zh-CN"/>
        </w:rPr>
        <w:t>无</w:t>
      </w:r>
      <w:r>
        <w:rPr>
          <w:rFonts w:hint="default" w:ascii="Times New Roman" w:hAnsi="Times New Roman" w:eastAsia="仿宋_GB2312" w:cs="Times New Roman"/>
          <w:sz w:val="32"/>
          <w:szCs w:val="32"/>
          <w:highlight w:val="none"/>
        </w:rPr>
        <w:t>增加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主要原因是公务用车运行维护费支出</w:t>
      </w:r>
      <w:r>
        <w:rPr>
          <w:rFonts w:hint="default" w:ascii="Times New Roman" w:hAnsi="Times New Roman" w:eastAsia="仿宋_GB2312" w:cs="Times New Roman"/>
          <w:sz w:val="32"/>
          <w:szCs w:val="32"/>
          <w:lang w:eastAsia="zh-CN"/>
        </w:rPr>
        <w:t>。</w:t>
      </w:r>
    </w:p>
    <w:p>
      <w:pPr>
        <w:pStyle w:val="17"/>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（二）“三公”经费财政拨款支出决算具体情况说明</w:t>
      </w:r>
    </w:p>
    <w:p>
      <w:pPr>
        <w:pStyle w:val="17"/>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2023年度“三公”经费财政拨款支出决算中，公务接待费支出决算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%,因公出国（境）费支出决算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%,公务用车购置费及运行维护费支出决算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%。其中：</w:t>
      </w:r>
    </w:p>
    <w:p>
      <w:pPr>
        <w:pStyle w:val="17"/>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1、因公出国（境）费支出决算为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万元，全年安排因公出国（境）团组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个，累计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 xml:space="preserve">人次。    </w:t>
      </w:r>
    </w:p>
    <w:p>
      <w:pPr>
        <w:pStyle w:val="17"/>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2、公务接待费支出决算为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万元，全年共接待来访团组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个、来宾</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人次。</w:t>
      </w:r>
    </w:p>
    <w:p>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3、公务用车购置费及运行维护费支出决算为</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万元，其中：公务用车购置费</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万元，购置公务用车</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辆。公务用车运行维护费</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万元，截止2023年12月31日，我单位开支财政拨款的公务用车保有量为</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辆。</w:t>
      </w:r>
    </w:p>
    <w:p>
      <w:pPr>
        <w:pStyle w:val="8"/>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八、政府性基金预算收入支出决算情况</w:t>
      </w:r>
    </w:p>
    <w:p>
      <w:pPr>
        <w:pStyle w:val="8"/>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color w:val="000000"/>
          <w:kern w:val="0"/>
          <w:sz w:val="32"/>
          <w:szCs w:val="32"/>
        </w:rPr>
        <w:t>2023</w:t>
      </w:r>
      <w:r>
        <w:rPr>
          <w:rFonts w:hint="default" w:ascii="Times New Roman" w:hAnsi="Times New Roman" w:eastAsia="仿宋_GB2312" w:cs="Times New Roman"/>
          <w:color w:val="000000"/>
          <w:sz w:val="32"/>
          <w:szCs w:val="32"/>
          <w:lang w:val="en-US" w:eastAsia="zh-CN" w:bidi="ar-SA"/>
        </w:rPr>
        <w:t>年度本单位没有使用政府性基金预算安排的支出。</w:t>
      </w:r>
    </w:p>
    <w:p>
      <w:pPr>
        <w:pStyle w:val="8"/>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rPr>
        <w:t>九、国有资本经营预算支出决算情况</w:t>
      </w:r>
    </w:p>
    <w:p>
      <w:pPr>
        <w:pStyle w:val="8"/>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color w:val="000000"/>
          <w:kern w:val="0"/>
          <w:sz w:val="32"/>
          <w:szCs w:val="32"/>
        </w:rPr>
        <w:t>2023</w:t>
      </w:r>
      <w:r>
        <w:rPr>
          <w:rFonts w:hint="default" w:ascii="Times New Roman" w:hAnsi="Times New Roman" w:eastAsia="仿宋_GB2312" w:cs="Times New Roman"/>
          <w:color w:val="000000"/>
          <w:sz w:val="32"/>
          <w:szCs w:val="32"/>
          <w:lang w:val="en-US" w:eastAsia="zh-CN" w:bidi="ar-SA"/>
        </w:rPr>
        <w:t>年度本单位没有使用国有资本经营预算安排的支出。</w:t>
      </w:r>
    </w:p>
    <w:p>
      <w:pPr>
        <w:pStyle w:val="8"/>
        <w:keepNext w:val="0"/>
        <w:keepLines w:val="0"/>
        <w:pageBreakBefore w:val="0"/>
        <w:widowControl w:val="0"/>
        <w:numPr>
          <w:ilvl w:val="0"/>
          <w:numId w:val="3"/>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机关运行经费支出说明</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本部门2023年度机关运行经费支出8.69万元，比上年决算数增加2.63万元，增加30.26%。主要原因是：人员调整及事务增加。</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一般性支出情况说明</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2023年本部门开支会议费0万元；开支培训费0.048万元。</w:t>
      </w:r>
    </w:p>
    <w:p>
      <w:pPr>
        <w:pStyle w:val="8"/>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政府采购支出说明</w:t>
      </w:r>
    </w:p>
    <w:p>
      <w:pPr>
        <w:keepNext w:val="0"/>
        <w:keepLines w:val="0"/>
        <w:pageBreakBefore w:val="0"/>
        <w:widowControl w:val="0"/>
        <w:suppressLineNumbers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本部门2023年度政府采购支出总额2.98万元，其中：政府采购货物支出2.98万元、政府采购工程支出0万元、政府采购服务支出0万元。授予中小企业合同金额2.98万元，占政府采购支出总额的100%，其中：授予小微企业合同金额2.98万元，占授予中小企业合同金额的100%；货物采购授予中小企业合同金额占货物支出金额的100%，工程采购授予中小企业合同金额占工程支出金额的0%，服务采购授予中小企业合同金额占服务支出金额的0%。</w:t>
      </w:r>
    </w:p>
    <w:p>
      <w:pPr>
        <w:pStyle w:val="8"/>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截至2023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8"/>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rPr>
        <w:t>十四、重点项目预算的绩效评价结果等情况说明</w:t>
      </w:r>
    </w:p>
    <w:p>
      <w:pPr>
        <w:pStyle w:val="8"/>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楷体_GB2312" w:cs="Times New Roman"/>
          <w:b/>
          <w:color w:val="000000"/>
          <w:kern w:val="0"/>
          <w:sz w:val="32"/>
          <w:szCs w:val="32"/>
        </w:rPr>
        <w:t>（一）绩效管理评价工作开展情况。</w:t>
      </w:r>
    </w:p>
    <w:p>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根据预算绩效管理要求，我部门组织对2023 年度一般公共预算项目支出全面开展绩效自评，其中，一级项目1个，共涉及资金3.98 万元，占一般公共预算项目支出总额的100%。从评价情况来看，预算执行及时、有效，绩效目标得到较好实现，绩效管理水平不断提高。</w:t>
      </w:r>
    </w:p>
    <w:p>
      <w:pPr>
        <w:pStyle w:val="8"/>
        <w:keepNext w:val="0"/>
        <w:keepLines w:val="0"/>
        <w:pageBreakBefore w:val="0"/>
        <w:widowControl w:val="0"/>
        <w:numPr>
          <w:ilvl w:val="0"/>
          <w:numId w:val="4"/>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楷体_GB2312" w:cs="Times New Roman"/>
          <w:b/>
          <w:color w:val="000000"/>
          <w:kern w:val="0"/>
          <w:sz w:val="32"/>
          <w:szCs w:val="32"/>
        </w:rPr>
      </w:pPr>
      <w:r>
        <w:rPr>
          <w:rFonts w:hint="default" w:ascii="Times New Roman" w:hAnsi="Times New Roman" w:eastAsia="楷体_GB2312" w:cs="Times New Roman"/>
          <w:b/>
          <w:color w:val="000000"/>
          <w:kern w:val="0"/>
          <w:sz w:val="32"/>
          <w:szCs w:val="32"/>
        </w:rPr>
        <w:t>部门评价项目绩效评价结果。</w:t>
      </w:r>
    </w:p>
    <w:p>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红十字会工作专项项目绩效自评综述：根据年初设定的绩效目标，项目绩效自评得分为 90 分。项目全年预算数为 3 万元，执行数为3.98万元，完成预算的132.67%。项目绩效目标完成情况：广泛传播“人道、博爱、奉献”的红十字精神，切实履行救灾、救助、救护三大职能，切实做好党和政府 人道工作助手作用，为建设富强石峰、文化石峰、生态石峰、幸福石峰作出贡献。</w:t>
      </w:r>
    </w:p>
    <w:p>
      <w:pPr>
        <w:pStyle w:val="8"/>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rPr>
        <w:t>十五、其他重要事项情况说明</w:t>
      </w:r>
    </w:p>
    <w:p>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pPr>
        <w:pStyle w:val="17"/>
        <w:jc w:val="both"/>
        <w:rPr>
          <w:rFonts w:hint="default" w:ascii="Times New Roman" w:hAnsi="Times New Roman" w:cs="Times New Roman"/>
          <w:sz w:val="84"/>
          <w:szCs w:val="84"/>
        </w:rPr>
      </w:pPr>
    </w:p>
    <w:p>
      <w:pPr>
        <w:pStyle w:val="17"/>
        <w:jc w:val="both"/>
        <w:rPr>
          <w:rFonts w:hint="default" w:ascii="Times New Roman" w:hAnsi="Times New Roman" w:cs="Times New Roman"/>
          <w:sz w:val="84"/>
          <w:szCs w:val="84"/>
        </w:rPr>
      </w:pPr>
    </w:p>
    <w:p>
      <w:pPr>
        <w:pStyle w:val="17"/>
        <w:jc w:val="both"/>
        <w:rPr>
          <w:rFonts w:hint="default" w:ascii="Times New Roman" w:hAnsi="Times New Roman" w:cs="Times New Roman"/>
          <w:sz w:val="84"/>
          <w:szCs w:val="84"/>
        </w:rPr>
      </w:pPr>
    </w:p>
    <w:p>
      <w:pPr>
        <w:pStyle w:val="17"/>
        <w:jc w:val="both"/>
        <w:rPr>
          <w:rFonts w:hint="default" w:ascii="Times New Roman" w:hAnsi="Times New Roman" w:cs="Times New Roman"/>
          <w:sz w:val="84"/>
          <w:szCs w:val="84"/>
        </w:rPr>
      </w:pPr>
    </w:p>
    <w:p>
      <w:pPr>
        <w:pStyle w:val="17"/>
        <w:jc w:val="center"/>
        <w:rPr>
          <w:rFonts w:hint="default" w:ascii="Times New Roman" w:hAnsi="Times New Roman" w:eastAsia="方正小标宋简体" w:cs="Times New Roman"/>
          <w:sz w:val="76"/>
          <w:szCs w:val="76"/>
        </w:rPr>
      </w:pPr>
      <w:r>
        <w:rPr>
          <w:rFonts w:hint="default" w:ascii="Times New Roman" w:hAnsi="Times New Roman" w:eastAsia="方正小标宋简体" w:cs="Times New Roman"/>
          <w:sz w:val="76"/>
          <w:szCs w:val="76"/>
        </w:rPr>
        <w:t>第四部分</w:t>
      </w:r>
    </w:p>
    <w:p>
      <w:pPr>
        <w:pStyle w:val="17"/>
        <w:jc w:val="center"/>
        <w:rPr>
          <w:rFonts w:hint="default" w:ascii="Times New Roman" w:hAnsi="Times New Roman" w:eastAsia="方正小标宋简体" w:cs="Times New Roman"/>
          <w:sz w:val="76"/>
          <w:szCs w:val="76"/>
        </w:rPr>
      </w:pPr>
    </w:p>
    <w:p>
      <w:pPr>
        <w:pStyle w:val="17"/>
        <w:jc w:val="center"/>
        <w:rPr>
          <w:rFonts w:hint="default" w:ascii="Times New Roman" w:hAnsi="Times New Roman" w:eastAsia="方正小标宋简体" w:cs="Times New Roman"/>
          <w:sz w:val="76"/>
          <w:szCs w:val="76"/>
        </w:rPr>
      </w:pPr>
      <w:r>
        <w:rPr>
          <w:rFonts w:hint="default" w:ascii="Times New Roman" w:hAnsi="Times New Roman" w:eastAsia="方正小标宋简体" w:cs="Times New Roman"/>
          <w:sz w:val="76"/>
          <w:szCs w:val="76"/>
        </w:rPr>
        <w:t>名词解释</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方正小标宋简体" w:cs="Times New Roman"/>
          <w:sz w:val="32"/>
          <w:szCs w:val="32"/>
        </w:rPr>
        <w:br w:type="page"/>
      </w:r>
      <w:r>
        <w:rPr>
          <w:rFonts w:hint="default" w:ascii="Times New Roman" w:hAnsi="Times New Roman" w:eastAsia="黑体" w:cs="Times New Roman"/>
          <w:color w:val="000000"/>
          <w:kern w:val="0"/>
          <w:sz w:val="32"/>
          <w:szCs w:val="32"/>
        </w:rPr>
        <w:t>一、财政拨款收入：</w:t>
      </w:r>
      <w:r>
        <w:rPr>
          <w:rFonts w:hint="default" w:ascii="Times New Roman" w:hAnsi="Times New Roman" w:eastAsia="仿宋_GB2312" w:cs="Times New Roman"/>
          <w:color w:val="000000"/>
          <w:kern w:val="0"/>
          <w:sz w:val="32"/>
          <w:szCs w:val="32"/>
        </w:rPr>
        <w:t>指单位从同级财政部门取得的财政预算资金。</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二、事业收入：</w:t>
      </w:r>
      <w:r>
        <w:rPr>
          <w:rFonts w:hint="default" w:ascii="Times New Roman" w:hAnsi="Times New Roman" w:eastAsia="仿宋_GB2312" w:cs="Times New Roman"/>
          <w:color w:val="000000"/>
          <w:kern w:val="0"/>
          <w:sz w:val="32"/>
          <w:szCs w:val="32"/>
        </w:rPr>
        <w:t>指事业单位开展专业业务活动及辅助活动取得的收入。</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三、经营收入：</w:t>
      </w:r>
      <w:r>
        <w:rPr>
          <w:rFonts w:hint="default" w:ascii="Times New Roman" w:hAnsi="Times New Roman" w:eastAsia="仿宋_GB2312" w:cs="Times New Roman"/>
          <w:color w:val="000000"/>
          <w:kern w:val="0"/>
          <w:sz w:val="32"/>
          <w:szCs w:val="32"/>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四、其他收入：</w:t>
      </w:r>
      <w:r>
        <w:rPr>
          <w:rFonts w:hint="default" w:ascii="Times New Roman" w:hAnsi="Times New Roman" w:eastAsia="仿宋_GB2312" w:cs="Times New Roman"/>
          <w:color w:val="000000"/>
          <w:kern w:val="0"/>
          <w:sz w:val="32"/>
          <w:szCs w:val="32"/>
        </w:rPr>
        <w:t>指单位取得的除上述收入以外的各项收入。</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五、用事业基金弥补收支差额：</w:t>
      </w:r>
      <w:r>
        <w:rPr>
          <w:rFonts w:hint="default"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六、年初结转和结余：</w:t>
      </w:r>
      <w:r>
        <w:rPr>
          <w:rFonts w:hint="default" w:ascii="Times New Roman" w:hAnsi="Times New Roman" w:eastAsia="仿宋_GB2312" w:cs="Times New Roman"/>
          <w:color w:val="000000"/>
          <w:kern w:val="0"/>
          <w:sz w:val="32"/>
          <w:szCs w:val="32"/>
        </w:rPr>
        <w:t>指单位以前年度尚未完成、结转到本年按有关规定继续使用的资金。</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七、“三公经费”支出：</w:t>
      </w:r>
      <w:r>
        <w:rPr>
          <w:rFonts w:hint="default" w:ascii="Times New Roman" w:hAnsi="Times New Roman" w:eastAsia="仿宋_GB2312" w:cs="Times New Roman"/>
          <w:color w:val="000000"/>
          <w:kern w:val="0"/>
          <w:sz w:val="32"/>
          <w:szCs w:val="32"/>
        </w:rPr>
        <w:t>指通过财政拨款资金安排的因公出国（境）费、公务用车购置及运行费和公务接待费支出。</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八、机关运行经费：</w:t>
      </w:r>
      <w:r>
        <w:rPr>
          <w:rFonts w:hint="default"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17"/>
        <w:jc w:val="both"/>
        <w:rPr>
          <w:rFonts w:hint="default" w:ascii="Times New Roman" w:hAnsi="Times New Roman" w:cs="Times New Roman"/>
          <w:sz w:val="72"/>
          <w:szCs w:val="72"/>
        </w:rPr>
      </w:pPr>
    </w:p>
    <w:p>
      <w:pPr>
        <w:pStyle w:val="17"/>
        <w:jc w:val="both"/>
        <w:rPr>
          <w:rFonts w:hint="default" w:ascii="Times New Roman" w:hAnsi="Times New Roman" w:cs="Times New Roman"/>
          <w:sz w:val="84"/>
          <w:szCs w:val="84"/>
        </w:rPr>
      </w:pPr>
    </w:p>
    <w:p>
      <w:pPr>
        <w:pStyle w:val="17"/>
        <w:jc w:val="both"/>
        <w:rPr>
          <w:rFonts w:hint="default" w:ascii="Times New Roman" w:hAnsi="Times New Roman" w:cs="Times New Roman"/>
          <w:sz w:val="84"/>
          <w:szCs w:val="84"/>
        </w:rPr>
      </w:pPr>
    </w:p>
    <w:p>
      <w:pPr>
        <w:pStyle w:val="17"/>
        <w:jc w:val="center"/>
        <w:rPr>
          <w:rFonts w:hint="default" w:ascii="Times New Roman" w:hAnsi="Times New Roman" w:eastAsia="方正小标宋简体" w:cs="Times New Roman"/>
          <w:sz w:val="76"/>
          <w:szCs w:val="76"/>
        </w:rPr>
      </w:pPr>
      <w:r>
        <w:rPr>
          <w:rFonts w:hint="default" w:ascii="Times New Roman" w:hAnsi="Times New Roman" w:eastAsia="方正小标宋简体" w:cs="Times New Roman"/>
          <w:sz w:val="76"/>
          <w:szCs w:val="76"/>
        </w:rPr>
        <w:t>第五部分</w:t>
      </w:r>
    </w:p>
    <w:p>
      <w:pPr>
        <w:pStyle w:val="17"/>
        <w:jc w:val="center"/>
        <w:rPr>
          <w:rFonts w:hint="default" w:ascii="Times New Roman" w:hAnsi="Times New Roman" w:eastAsia="方正小标宋简体" w:cs="Times New Roman"/>
          <w:sz w:val="56"/>
          <w:szCs w:val="56"/>
        </w:rPr>
      </w:pPr>
    </w:p>
    <w:p>
      <w:pPr>
        <w:pStyle w:val="17"/>
        <w:jc w:val="center"/>
        <w:rPr>
          <w:rFonts w:hint="default" w:ascii="Times New Roman" w:hAnsi="Times New Roman" w:eastAsia="方正小标宋简体" w:cs="Times New Roman"/>
          <w:sz w:val="76"/>
          <w:szCs w:val="76"/>
        </w:rPr>
      </w:pPr>
      <w:r>
        <w:rPr>
          <w:rFonts w:hint="default" w:ascii="Times New Roman" w:hAnsi="Times New Roman" w:eastAsia="方正小标宋简体" w:cs="Times New Roman"/>
          <w:sz w:val="76"/>
          <w:szCs w:val="76"/>
        </w:rPr>
        <w:t>附  件</w:t>
      </w:r>
    </w:p>
    <w:p>
      <w:pPr>
        <w:pStyle w:val="17"/>
        <w:spacing w:line="596" w:lineRule="exact"/>
        <w:jc w:val="center"/>
        <w:rPr>
          <w:rFonts w:hint="default" w:ascii="Times New Roman" w:hAnsi="Times New Roman" w:eastAsia="方正小标宋简体" w:cs="Times New Roman"/>
          <w:sz w:val="76"/>
          <w:szCs w:val="76"/>
        </w:rPr>
      </w:pPr>
      <w:r>
        <w:rPr>
          <w:rFonts w:hint="default" w:ascii="Times New Roman" w:hAnsi="Times New Roman" w:eastAsia="方正小标宋简体" w:cs="Times New Roman"/>
          <w:sz w:val="76"/>
          <w:szCs w:val="76"/>
        </w:rPr>
        <w:br w:type="page"/>
      </w:r>
    </w:p>
    <w:p>
      <w:pPr>
        <w:pStyle w:val="17"/>
        <w:spacing w:line="596"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2023年度部门整体支出绩效</w:t>
      </w:r>
      <w:r>
        <w:rPr>
          <w:rFonts w:hint="default" w:ascii="Times New Roman" w:hAnsi="Times New Roman" w:eastAsia="方正小标宋简体" w:cs="Times New Roman"/>
          <w:sz w:val="44"/>
          <w:szCs w:val="44"/>
          <w:lang w:eastAsia="zh-CN"/>
        </w:rPr>
        <w:t>自评报告</w:t>
      </w:r>
    </w:p>
    <w:p>
      <w:pPr>
        <w:pStyle w:val="17"/>
        <w:spacing w:line="596" w:lineRule="exact"/>
        <w:jc w:val="center"/>
        <w:rPr>
          <w:rFonts w:hint="default" w:ascii="Times New Roman" w:hAnsi="Times New Roman" w:eastAsia="方正小标宋简体" w:cs="Times New Roman"/>
          <w:sz w:val="32"/>
          <w:szCs w:val="32"/>
          <w:lang w:eastAsia="zh-CN"/>
        </w:rPr>
      </w:pPr>
    </w:p>
    <w:p>
      <w:pPr>
        <w:pStyle w:val="17"/>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（详见附件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219"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A16A33"/>
    <w:multiLevelType w:val="singleLevel"/>
    <w:tmpl w:val="FFA16A33"/>
    <w:lvl w:ilvl="0" w:tentative="0">
      <w:start w:val="10"/>
      <w:numFmt w:val="chineseCounting"/>
      <w:suff w:val="nothing"/>
      <w:lvlText w:val="%1、"/>
      <w:lvlJc w:val="left"/>
      <w:rPr>
        <w:rFonts w:hint="eastAsia"/>
      </w:rPr>
    </w:lvl>
  </w:abstractNum>
  <w:abstractNum w:abstractNumId="1">
    <w:nsid w:val="22C2BFD7"/>
    <w:multiLevelType w:val="singleLevel"/>
    <w:tmpl w:val="22C2BFD7"/>
    <w:lvl w:ilvl="0" w:tentative="0">
      <w:start w:val="2"/>
      <w:numFmt w:val="chineseCounting"/>
      <w:suff w:val="nothing"/>
      <w:lvlText w:val="（%1）"/>
      <w:lvlJc w:val="left"/>
      <w:rPr>
        <w:rFonts w:hint="eastAsia"/>
      </w:rPr>
    </w:lvl>
  </w:abstractNum>
  <w:abstractNum w:abstractNumId="2">
    <w:nsid w:val="434305C6"/>
    <w:multiLevelType w:val="singleLevel"/>
    <w:tmpl w:val="434305C6"/>
    <w:lvl w:ilvl="0" w:tentative="0">
      <w:start w:val="1"/>
      <w:numFmt w:val="chineseCounting"/>
      <w:suff w:val="nothing"/>
      <w:lvlText w:val="%1、"/>
      <w:lvlJc w:val="left"/>
      <w:rPr>
        <w:rFonts w:hint="eastAsia"/>
      </w:rPr>
    </w:lvl>
  </w:abstractNum>
  <w:abstractNum w:abstractNumId="3">
    <w:nsid w:val="78AF73A8"/>
    <w:multiLevelType w:val="singleLevel"/>
    <w:tmpl w:val="78AF73A8"/>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NTE1YmM4MmEyM2JiZTRkOWExYzQyYzUzZTI3MzA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4DA56DD"/>
    <w:rsid w:val="06915006"/>
    <w:rsid w:val="0751274D"/>
    <w:rsid w:val="07634BF4"/>
    <w:rsid w:val="07A77932"/>
    <w:rsid w:val="08F14AE1"/>
    <w:rsid w:val="0B567F72"/>
    <w:rsid w:val="0C0E4DD5"/>
    <w:rsid w:val="0C7C6B53"/>
    <w:rsid w:val="0D3F15F5"/>
    <w:rsid w:val="0EF6245F"/>
    <w:rsid w:val="11E43B98"/>
    <w:rsid w:val="13692089"/>
    <w:rsid w:val="14DA3413"/>
    <w:rsid w:val="18985D2F"/>
    <w:rsid w:val="18FA38C9"/>
    <w:rsid w:val="1B323160"/>
    <w:rsid w:val="1B714E5F"/>
    <w:rsid w:val="1E532BCB"/>
    <w:rsid w:val="1EBE63A2"/>
    <w:rsid w:val="1F041D62"/>
    <w:rsid w:val="1F6317DE"/>
    <w:rsid w:val="1F745786"/>
    <w:rsid w:val="203D5363"/>
    <w:rsid w:val="21B1218A"/>
    <w:rsid w:val="238B2E7B"/>
    <w:rsid w:val="2AD95BF4"/>
    <w:rsid w:val="2F101369"/>
    <w:rsid w:val="321612FC"/>
    <w:rsid w:val="32B56379"/>
    <w:rsid w:val="38090922"/>
    <w:rsid w:val="38D75D21"/>
    <w:rsid w:val="395219B1"/>
    <w:rsid w:val="407576D8"/>
    <w:rsid w:val="46BE0A2A"/>
    <w:rsid w:val="472236C4"/>
    <w:rsid w:val="47867568"/>
    <w:rsid w:val="47C05439"/>
    <w:rsid w:val="4B1C68ED"/>
    <w:rsid w:val="4B8003CD"/>
    <w:rsid w:val="4F976C0B"/>
    <w:rsid w:val="50111B38"/>
    <w:rsid w:val="523F5138"/>
    <w:rsid w:val="538D47D7"/>
    <w:rsid w:val="538E105C"/>
    <w:rsid w:val="53BF69FD"/>
    <w:rsid w:val="591A5257"/>
    <w:rsid w:val="5D2E7409"/>
    <w:rsid w:val="60841B7E"/>
    <w:rsid w:val="635D15B9"/>
    <w:rsid w:val="64714AD2"/>
    <w:rsid w:val="64857E64"/>
    <w:rsid w:val="65965345"/>
    <w:rsid w:val="65F04BE5"/>
    <w:rsid w:val="6A484E25"/>
    <w:rsid w:val="6E0F6D2F"/>
    <w:rsid w:val="6EAE4254"/>
    <w:rsid w:val="74205B29"/>
    <w:rsid w:val="75F714AD"/>
    <w:rsid w:val="78081C98"/>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annotation text"/>
    <w:basedOn w:val="1"/>
    <w:link w:val="12"/>
    <w:semiHidden/>
    <w:qFormat/>
    <w:uiPriority w:val="99"/>
    <w:pPr>
      <w:jc w:val="left"/>
    </w:pPr>
  </w:style>
  <w:style w:type="paragraph" w:styleId="4">
    <w:name w:val="Body Text"/>
    <w:basedOn w:val="1"/>
    <w:link w:val="13"/>
    <w:qFormat/>
    <w:uiPriority w:val="99"/>
    <w:pPr>
      <w:spacing w:before="100" w:beforeAutospacing="1" w:after="120"/>
    </w:pPr>
    <w:rPr>
      <w:rFonts w:ascii="Times New Roman" w:hAnsi="Times New Roman" w:cs="Times New Roman"/>
    </w:r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character" w:styleId="11">
    <w:name w:val="annotation reference"/>
    <w:basedOn w:val="10"/>
    <w:semiHidden/>
    <w:qFormat/>
    <w:uiPriority w:val="99"/>
    <w:rPr>
      <w:sz w:val="21"/>
      <w:szCs w:val="21"/>
    </w:rPr>
  </w:style>
  <w:style w:type="character" w:customStyle="1" w:styleId="12">
    <w:name w:val="批注文字 Char"/>
    <w:basedOn w:val="10"/>
    <w:link w:val="3"/>
    <w:semiHidden/>
    <w:qFormat/>
    <w:locked/>
    <w:uiPriority w:val="99"/>
    <w:rPr>
      <w:rFonts w:ascii="Calibri" w:hAnsi="Calibri" w:cs="Calibri"/>
      <w:sz w:val="21"/>
      <w:szCs w:val="21"/>
    </w:rPr>
  </w:style>
  <w:style w:type="character" w:customStyle="1" w:styleId="13">
    <w:name w:val="正文文本 Char"/>
    <w:basedOn w:val="10"/>
    <w:link w:val="4"/>
    <w:qFormat/>
    <w:locked/>
    <w:uiPriority w:val="99"/>
    <w:rPr>
      <w:rFonts w:eastAsia="宋体"/>
      <w:kern w:val="2"/>
      <w:sz w:val="21"/>
      <w:szCs w:val="21"/>
      <w:lang w:val="en-US" w:eastAsia="zh-CN"/>
    </w:rPr>
  </w:style>
  <w:style w:type="character" w:customStyle="1" w:styleId="14">
    <w:name w:val="批注框文本 Char"/>
    <w:basedOn w:val="10"/>
    <w:link w:val="5"/>
    <w:semiHidden/>
    <w:qFormat/>
    <w:locked/>
    <w:uiPriority w:val="99"/>
    <w:rPr>
      <w:sz w:val="18"/>
      <w:szCs w:val="18"/>
    </w:rPr>
  </w:style>
  <w:style w:type="character" w:customStyle="1" w:styleId="15">
    <w:name w:val="页脚 Char"/>
    <w:basedOn w:val="10"/>
    <w:link w:val="6"/>
    <w:qFormat/>
    <w:locked/>
    <w:uiPriority w:val="99"/>
    <w:rPr>
      <w:sz w:val="18"/>
      <w:szCs w:val="18"/>
    </w:rPr>
  </w:style>
  <w:style w:type="character" w:customStyle="1" w:styleId="16">
    <w:name w:val="页眉 Char"/>
    <w:basedOn w:val="10"/>
    <w:link w:val="7"/>
    <w:qFormat/>
    <w:locked/>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19</Words>
  <Characters>24</Characters>
  <Lines>56</Lines>
  <Paragraphs>15</Paragraphs>
  <TotalTime>19</TotalTime>
  <ScaleCrop>false</ScaleCrop>
  <LinksUpToDate>false</LinksUpToDate>
  <CharactersWithSpaces>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2024-11-18T02:49:00Z</cp:lastPrinted>
  <dcterms:modified xsi:type="dcterms:W3CDTF">2024-11-21T07:13:38Z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356AAFC500CF4308A58029FED8291502_13</vt:lpwstr>
  </property>
</Properties>
</file>