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F84B45">
      <w:pPr>
        <w:pStyle w:val="16"/>
        <w:jc w:val="both"/>
        <w:rPr>
          <w:rFonts w:ascii="Times New Roman" w:hAnsi="Times New Roman" w:cs="Times New Roman"/>
          <w:sz w:val="56"/>
          <w:szCs w:val="56"/>
        </w:rPr>
      </w:pPr>
    </w:p>
    <w:p w14:paraId="2AE0319D">
      <w:pPr>
        <w:pStyle w:val="16"/>
        <w:jc w:val="both"/>
        <w:rPr>
          <w:rFonts w:ascii="Times New Roman" w:hAnsi="Times New Roman" w:cs="Times New Roman"/>
          <w:sz w:val="56"/>
          <w:szCs w:val="56"/>
        </w:rPr>
      </w:pPr>
    </w:p>
    <w:p w14:paraId="46520D96">
      <w:pPr>
        <w:pStyle w:val="16"/>
        <w:jc w:val="both"/>
        <w:rPr>
          <w:rFonts w:ascii="Times New Roman" w:hAnsi="Times New Roman" w:cs="Times New Roman"/>
          <w:sz w:val="84"/>
          <w:szCs w:val="84"/>
        </w:rPr>
      </w:pPr>
    </w:p>
    <w:p w14:paraId="22328A91">
      <w:pPr>
        <w:pStyle w:val="16"/>
        <w:jc w:val="center"/>
        <w:rPr>
          <w:rFonts w:ascii="Times New Roman" w:hAnsi="Times New Roman" w:eastAsia="方正小标宋简体" w:cs="Times New Roman"/>
          <w:sz w:val="76"/>
          <w:szCs w:val="76"/>
        </w:rPr>
      </w:pPr>
    </w:p>
    <w:p w14:paraId="340F79B5">
      <w:pPr>
        <w:pStyle w:val="16"/>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2023年度</w:t>
      </w:r>
    </w:p>
    <w:p w14:paraId="1D98725C">
      <w:pPr>
        <w:pStyle w:val="16"/>
        <w:jc w:val="center"/>
        <w:rPr>
          <w:rFonts w:ascii="Times New Roman" w:hAnsi="Times New Roman" w:eastAsia="方正小标宋简体" w:cs="Times New Roman"/>
          <w:w w:val="90"/>
          <w:sz w:val="72"/>
          <w:szCs w:val="72"/>
        </w:rPr>
      </w:pPr>
      <w:bookmarkStart w:id="0" w:name="_GoBack"/>
      <w:r>
        <w:rPr>
          <w:rFonts w:hint="eastAsia" w:ascii="Times New Roman" w:hAnsi="Times New Roman" w:eastAsia="方正小标宋简体" w:cs="Times New Roman"/>
          <w:w w:val="90"/>
          <w:sz w:val="72"/>
          <w:szCs w:val="72"/>
        </w:rPr>
        <w:t>株洲市石峰区人力资源和社会保障局</w:t>
      </w:r>
    </w:p>
    <w:bookmarkEnd w:id="0"/>
    <w:p w14:paraId="53A8B6F5">
      <w:pPr>
        <w:pStyle w:val="16"/>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部门决算</w:t>
      </w:r>
    </w:p>
    <w:p w14:paraId="03659EEA">
      <w:pPr>
        <w:pStyle w:val="16"/>
        <w:jc w:val="both"/>
        <w:rPr>
          <w:rFonts w:ascii="Times New Roman" w:hAnsi="Times New Roman" w:cs="Times New Roman"/>
          <w:sz w:val="32"/>
          <w:szCs w:val="32"/>
        </w:rPr>
      </w:pPr>
    </w:p>
    <w:p w14:paraId="452687AB">
      <w:pPr>
        <w:pStyle w:val="16"/>
        <w:spacing w:line="440" w:lineRule="exact"/>
        <w:ind w:firstLine="640" w:firstLineChars="200"/>
        <w:jc w:val="center"/>
        <w:rPr>
          <w:rFonts w:ascii="Times New Roman" w:hAnsi="Times New Roman" w:cs="Times New Roman"/>
          <w:sz w:val="32"/>
          <w:szCs w:val="32"/>
        </w:rPr>
      </w:pPr>
      <w:r>
        <w:rPr>
          <w:rFonts w:ascii="Times New Roman" w:hAnsi="Times New Roman" w:cs="Times New Roman"/>
          <w:sz w:val="32"/>
          <w:szCs w:val="32"/>
        </w:rPr>
        <w:br w:type="page"/>
      </w:r>
      <w:r>
        <w:rPr>
          <w:rFonts w:ascii="Times New Roman" w:hAnsi="Times New Roman" w:cs="Times New Roman"/>
          <w:sz w:val="32"/>
          <w:szCs w:val="32"/>
        </w:rPr>
        <w:t>目录</w:t>
      </w:r>
    </w:p>
    <w:p w14:paraId="4FB82DF0">
      <w:pPr>
        <w:pStyle w:val="16"/>
        <w:spacing w:line="440" w:lineRule="exact"/>
        <w:ind w:firstLine="640" w:firstLineChars="200"/>
        <w:jc w:val="both"/>
        <w:rPr>
          <w:rFonts w:ascii="Times New Roman" w:hAnsi="Times New Roman" w:cs="Times New Roman"/>
          <w:sz w:val="32"/>
          <w:szCs w:val="32"/>
        </w:rPr>
      </w:pPr>
      <w:r>
        <w:rPr>
          <w:rFonts w:ascii="Times New Roman" w:hAnsi="Times New Roman" w:cs="Times New Roman"/>
          <w:sz w:val="32"/>
          <w:szCs w:val="32"/>
        </w:rPr>
        <w:t xml:space="preserve">第一部分  </w:t>
      </w:r>
      <w:r>
        <w:rPr>
          <w:rFonts w:hint="eastAsia" w:ascii="Times New Roman" w:hAnsi="Times New Roman" w:cs="Times New Roman"/>
          <w:sz w:val="32"/>
          <w:szCs w:val="32"/>
        </w:rPr>
        <w:t>株洲市石峰区人力资源和社会保障局</w:t>
      </w:r>
      <w:r>
        <w:rPr>
          <w:rFonts w:ascii="Times New Roman" w:hAnsi="Times New Roman" w:cs="Times New Roman"/>
          <w:sz w:val="32"/>
          <w:szCs w:val="32"/>
        </w:rPr>
        <w:t>概况</w:t>
      </w:r>
    </w:p>
    <w:p w14:paraId="2913CF2C">
      <w:pPr>
        <w:pStyle w:val="16"/>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14:paraId="2984718D">
      <w:pPr>
        <w:pStyle w:val="16"/>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w:t>
      </w:r>
    </w:p>
    <w:p w14:paraId="4046EDC2">
      <w:pPr>
        <w:pStyle w:val="16"/>
        <w:spacing w:line="440" w:lineRule="exact"/>
        <w:ind w:firstLine="640" w:firstLineChars="200"/>
        <w:jc w:val="both"/>
        <w:rPr>
          <w:rFonts w:ascii="Times New Roman" w:hAnsi="Times New Roman" w:cs="Times New Roman"/>
          <w:sz w:val="32"/>
          <w:szCs w:val="32"/>
        </w:rPr>
      </w:pPr>
      <w:r>
        <w:rPr>
          <w:rFonts w:ascii="Times New Roman" w:hAnsi="Times New Roman" w:cs="Times New Roman"/>
          <w:sz w:val="32"/>
          <w:szCs w:val="32"/>
        </w:rPr>
        <w:t>第二部分  2023年度部门决算表</w:t>
      </w:r>
    </w:p>
    <w:p w14:paraId="0B8576BA">
      <w:pPr>
        <w:pStyle w:val="16"/>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14:paraId="1186F11C">
      <w:pPr>
        <w:pStyle w:val="16"/>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14:paraId="6357E341">
      <w:pPr>
        <w:pStyle w:val="16"/>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14:paraId="503EDC8C">
      <w:pPr>
        <w:pStyle w:val="16"/>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14:paraId="573A60F6">
      <w:pPr>
        <w:pStyle w:val="16"/>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14:paraId="106EEE1B">
      <w:pPr>
        <w:pStyle w:val="16"/>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14:paraId="2560350D">
      <w:pPr>
        <w:pStyle w:val="16"/>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七、一般公共预算财政拨款“三公”经费支出决算表</w:t>
      </w:r>
    </w:p>
    <w:p w14:paraId="3AC52307">
      <w:pPr>
        <w:pStyle w:val="16"/>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八、政府性基金预算财政拨款收入支出决算表</w:t>
      </w:r>
    </w:p>
    <w:p w14:paraId="78AAC83E">
      <w:pPr>
        <w:pStyle w:val="16"/>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九、国有资本经营预算财政拨款支出决算表</w:t>
      </w:r>
    </w:p>
    <w:p w14:paraId="58E57BE6">
      <w:pPr>
        <w:pStyle w:val="16"/>
        <w:spacing w:line="440" w:lineRule="exact"/>
        <w:ind w:firstLine="640" w:firstLineChars="200"/>
        <w:jc w:val="both"/>
        <w:rPr>
          <w:rFonts w:ascii="Times New Roman" w:hAnsi="Times New Roman" w:cs="Times New Roman"/>
          <w:sz w:val="32"/>
          <w:szCs w:val="32"/>
        </w:rPr>
      </w:pPr>
      <w:r>
        <w:rPr>
          <w:rFonts w:ascii="Times New Roman" w:hAnsi="Times New Roman" w:cs="Times New Roman"/>
          <w:sz w:val="32"/>
          <w:szCs w:val="32"/>
        </w:rPr>
        <w:t>第三部分  2023年度部门决算情况说明</w:t>
      </w:r>
    </w:p>
    <w:p w14:paraId="326C75D6">
      <w:pPr>
        <w:pStyle w:val="16"/>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14:paraId="5DC67FFB">
      <w:pPr>
        <w:spacing w:line="4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14:paraId="4488451E">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14:paraId="3EA3675A">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14:paraId="36311243">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14:paraId="01E0D23B">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14:paraId="12EF7731">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七、一般公共预算财政拨款“三公”经费支出决算情况说明</w:t>
      </w:r>
    </w:p>
    <w:p w14:paraId="25FDEA0D">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八、政府性基金预算收入支出决算情况</w:t>
      </w:r>
    </w:p>
    <w:p w14:paraId="6FB2F3B2">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九、国有资本经营预算支出决算情况</w:t>
      </w:r>
    </w:p>
    <w:p w14:paraId="4564F9BB">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十、机关运行经费支出说明</w:t>
      </w:r>
    </w:p>
    <w:p w14:paraId="287BFA2A">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十一、一般性支出情况说明</w:t>
      </w:r>
    </w:p>
    <w:p w14:paraId="4A4F2395">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十二、政府采购支出说明</w:t>
      </w:r>
    </w:p>
    <w:p w14:paraId="05200299">
      <w:pPr>
        <w:pStyle w:val="16"/>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十三、国有资产占用情况说明</w:t>
      </w:r>
    </w:p>
    <w:p w14:paraId="3079A1C4">
      <w:pPr>
        <w:pStyle w:val="16"/>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十四、重点项目预算的绩效评价结果等情况说明</w:t>
      </w:r>
    </w:p>
    <w:p w14:paraId="1A23DCBD">
      <w:pPr>
        <w:pStyle w:val="16"/>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十五、其他重要事项说明</w:t>
      </w:r>
    </w:p>
    <w:p w14:paraId="62F24F82">
      <w:pPr>
        <w:pStyle w:val="16"/>
        <w:spacing w:line="440" w:lineRule="exact"/>
        <w:ind w:firstLine="640" w:firstLineChars="200"/>
        <w:jc w:val="both"/>
        <w:rPr>
          <w:rFonts w:ascii="Times New Roman" w:hAnsi="Times New Roman" w:cs="Times New Roman"/>
          <w:sz w:val="32"/>
          <w:szCs w:val="32"/>
        </w:rPr>
      </w:pPr>
      <w:r>
        <w:rPr>
          <w:rFonts w:ascii="Times New Roman" w:hAnsi="Times New Roman" w:cs="Times New Roman"/>
          <w:sz w:val="32"/>
          <w:szCs w:val="32"/>
        </w:rPr>
        <w:t>第四部分  名词解释</w:t>
      </w:r>
    </w:p>
    <w:p w14:paraId="5B580408">
      <w:pPr>
        <w:pStyle w:val="16"/>
        <w:spacing w:line="440" w:lineRule="exact"/>
        <w:ind w:firstLine="640" w:firstLineChars="200"/>
        <w:jc w:val="both"/>
        <w:rPr>
          <w:rFonts w:ascii="Times New Roman" w:hAnsi="Times New Roman" w:cs="Times New Roman"/>
          <w:sz w:val="32"/>
          <w:szCs w:val="32"/>
        </w:rPr>
      </w:pPr>
      <w:r>
        <w:rPr>
          <w:rFonts w:ascii="Times New Roman" w:hAnsi="Times New Roman" w:cs="Times New Roman"/>
          <w:sz w:val="32"/>
          <w:szCs w:val="32"/>
        </w:rPr>
        <w:t>第五部分  附件</w:t>
      </w:r>
    </w:p>
    <w:p w14:paraId="3915D515">
      <w:pPr>
        <w:pStyle w:val="16"/>
        <w:spacing w:line="440" w:lineRule="exact"/>
        <w:jc w:val="both"/>
        <w:rPr>
          <w:rFonts w:ascii="Times New Roman" w:hAnsi="Times New Roman" w:cs="Times New Roman"/>
          <w:sz w:val="84"/>
          <w:szCs w:val="84"/>
        </w:rPr>
      </w:pPr>
      <w:r>
        <w:rPr>
          <w:rFonts w:ascii="Times New Roman" w:hAnsi="Times New Roman" w:cs="Times New Roman"/>
          <w:sz w:val="84"/>
          <w:szCs w:val="84"/>
        </w:rPr>
        <w:br w:type="page"/>
      </w:r>
    </w:p>
    <w:p w14:paraId="1C07F865">
      <w:pPr>
        <w:pStyle w:val="16"/>
        <w:jc w:val="both"/>
        <w:rPr>
          <w:rFonts w:ascii="Times New Roman" w:hAnsi="Times New Roman" w:cs="Times New Roman"/>
          <w:sz w:val="84"/>
          <w:szCs w:val="84"/>
        </w:rPr>
      </w:pPr>
    </w:p>
    <w:p w14:paraId="310A5848">
      <w:pPr>
        <w:pStyle w:val="16"/>
        <w:jc w:val="both"/>
        <w:rPr>
          <w:rFonts w:ascii="Times New Roman" w:hAnsi="Times New Roman" w:cs="Times New Roman"/>
          <w:sz w:val="84"/>
          <w:szCs w:val="84"/>
        </w:rPr>
      </w:pPr>
    </w:p>
    <w:p w14:paraId="5E8BF086">
      <w:pPr>
        <w:pStyle w:val="16"/>
        <w:jc w:val="center"/>
        <w:rPr>
          <w:rFonts w:ascii="Times New Roman" w:hAnsi="Times New Roman" w:eastAsia="方正小标宋简体" w:cs="Times New Roman"/>
          <w:w w:val="90"/>
          <w:sz w:val="76"/>
          <w:szCs w:val="76"/>
        </w:rPr>
      </w:pPr>
    </w:p>
    <w:p w14:paraId="39D6A65A">
      <w:pPr>
        <w:pStyle w:val="16"/>
        <w:jc w:val="center"/>
        <w:rPr>
          <w:rFonts w:ascii="Times New Roman" w:hAnsi="Times New Roman" w:eastAsia="方正小标宋简体" w:cs="Times New Roman"/>
          <w:sz w:val="76"/>
          <w:szCs w:val="76"/>
        </w:rPr>
      </w:pPr>
      <w:r>
        <w:rPr>
          <w:rFonts w:ascii="Times New Roman" w:hAnsi="Times New Roman" w:eastAsia="方正小标宋简体" w:cs="Times New Roman"/>
          <w:sz w:val="76"/>
          <w:szCs w:val="76"/>
        </w:rPr>
        <w:t>第一部分</w:t>
      </w:r>
    </w:p>
    <w:p w14:paraId="35514DD9">
      <w:pPr>
        <w:pStyle w:val="16"/>
        <w:jc w:val="center"/>
        <w:rPr>
          <w:rFonts w:ascii="Times New Roman" w:hAnsi="Times New Roman" w:eastAsia="方正小标宋简体" w:cs="Times New Roman"/>
          <w:sz w:val="76"/>
          <w:szCs w:val="76"/>
        </w:rPr>
      </w:pPr>
    </w:p>
    <w:p w14:paraId="793C9C90">
      <w:pPr>
        <w:pStyle w:val="16"/>
        <w:jc w:val="center"/>
        <w:rPr>
          <w:rFonts w:ascii="Times New Roman" w:hAnsi="Times New Roman" w:eastAsia="方正小标宋简体" w:cs="Times New Roman"/>
          <w:sz w:val="76"/>
          <w:szCs w:val="76"/>
        </w:rPr>
      </w:pPr>
      <w:r>
        <w:rPr>
          <w:rFonts w:hint="eastAsia" w:ascii="Times New Roman" w:hAnsi="Times New Roman" w:eastAsia="方正小标宋简体" w:cs="Times New Roman"/>
          <w:w w:val="90"/>
          <w:sz w:val="72"/>
          <w:szCs w:val="72"/>
        </w:rPr>
        <w:t>株洲市石峰区人力资源和社会保障局</w:t>
      </w:r>
    </w:p>
    <w:p w14:paraId="603F5A77">
      <w:pPr>
        <w:pStyle w:val="16"/>
        <w:jc w:val="center"/>
        <w:rPr>
          <w:rFonts w:ascii="Times New Roman" w:hAnsi="Times New Roman" w:eastAsia="方正小标宋简体" w:cs="Times New Roman"/>
          <w:sz w:val="76"/>
          <w:szCs w:val="76"/>
        </w:rPr>
      </w:pPr>
      <w:r>
        <w:rPr>
          <w:rFonts w:ascii="Times New Roman" w:hAnsi="Times New Roman" w:eastAsia="方正小标宋简体" w:cs="Times New Roman"/>
          <w:sz w:val="76"/>
          <w:szCs w:val="76"/>
        </w:rPr>
        <w:t>单位概况</w:t>
      </w:r>
    </w:p>
    <w:p w14:paraId="4A9D7087">
      <w:pPr>
        <w:pStyle w:val="17"/>
        <w:numPr>
          <w:ilvl w:val="0"/>
          <w:numId w:val="1"/>
        </w:numPr>
        <w:overflowPunct w:val="0"/>
        <w:spacing w:line="596" w:lineRule="exact"/>
        <w:ind w:firstLineChars="0"/>
        <w:rPr>
          <w:rFonts w:ascii="Times New Roman" w:hAnsi="Times New Roman" w:eastAsia="黑体" w:cs="Times New Roman"/>
          <w:sz w:val="32"/>
          <w:szCs w:val="32"/>
        </w:rPr>
      </w:pPr>
      <w:r>
        <w:rPr>
          <w:rFonts w:ascii="Times New Roman" w:hAnsi="Times New Roman" w:eastAsia="黑体" w:cs="Times New Roman"/>
          <w:sz w:val="32"/>
          <w:szCs w:val="32"/>
        </w:rPr>
        <w:br w:type="page"/>
      </w:r>
      <w:r>
        <w:rPr>
          <w:rFonts w:ascii="Times New Roman" w:hAnsi="Times New Roman" w:eastAsia="黑体" w:cs="Times New Roman"/>
          <w:sz w:val="32"/>
          <w:szCs w:val="32"/>
        </w:rPr>
        <w:t>部门职责</w:t>
      </w:r>
    </w:p>
    <w:p w14:paraId="13431389">
      <w:pPr>
        <w:spacing w:line="560" w:lineRule="exact"/>
        <w:ind w:firstLine="640" w:firstLineChars="200"/>
        <w:rPr>
          <w:rFonts w:eastAsia="仿宋_GB2312"/>
          <w:color w:val="000000"/>
          <w:sz w:val="32"/>
          <w:szCs w:val="32"/>
        </w:rPr>
      </w:pPr>
      <w:r>
        <w:rPr>
          <w:rFonts w:hint="eastAsia" w:eastAsia="仿宋_GB2312"/>
          <w:color w:val="000000"/>
          <w:sz w:val="32"/>
          <w:szCs w:val="32"/>
        </w:rPr>
        <w:t>根据株石办发【2019】23号文件规定，本部门主要职责是：</w:t>
      </w:r>
    </w:p>
    <w:p w14:paraId="02901AEF">
      <w:pPr>
        <w:spacing w:line="560" w:lineRule="exact"/>
        <w:ind w:firstLine="640" w:firstLineChars="200"/>
        <w:rPr>
          <w:rFonts w:eastAsia="仿宋_GB2312"/>
          <w:color w:val="000000"/>
          <w:sz w:val="32"/>
          <w:szCs w:val="32"/>
        </w:rPr>
      </w:pPr>
      <w:r>
        <w:rPr>
          <w:rFonts w:hint="eastAsia" w:eastAsia="仿宋_GB2312"/>
          <w:color w:val="000000"/>
          <w:sz w:val="32"/>
          <w:szCs w:val="32"/>
        </w:rPr>
        <w:t>(一)贯彻执行有关人资源和社会保障工作的法律、法规和方针政策，拟订全区人力资源和社会保障工作规划并组织实施。</w:t>
      </w:r>
    </w:p>
    <w:p w14:paraId="312CB1C8">
      <w:pPr>
        <w:spacing w:line="560" w:lineRule="exact"/>
        <w:ind w:firstLine="640" w:firstLineChars="200"/>
        <w:rPr>
          <w:rFonts w:eastAsia="仿宋_GB2312"/>
          <w:color w:val="000000"/>
          <w:sz w:val="32"/>
          <w:szCs w:val="32"/>
        </w:rPr>
      </w:pPr>
      <w:r>
        <w:rPr>
          <w:rFonts w:hint="eastAsia" w:eastAsia="仿宋_GB2312"/>
          <w:color w:val="000000"/>
          <w:sz w:val="32"/>
          <w:szCs w:val="32"/>
        </w:rPr>
        <w:t>(二)落实人资源服务业发展、人力资源流动政策，促进全区人力资源合理流动、有效配置。</w:t>
      </w:r>
    </w:p>
    <w:p w14:paraId="459AE625">
      <w:pPr>
        <w:spacing w:line="560" w:lineRule="exact"/>
        <w:ind w:firstLine="640" w:firstLineChars="200"/>
        <w:rPr>
          <w:rFonts w:eastAsia="仿宋_GB2312"/>
          <w:color w:val="000000"/>
          <w:sz w:val="32"/>
          <w:szCs w:val="32"/>
        </w:rPr>
      </w:pPr>
      <w:r>
        <w:rPr>
          <w:rFonts w:hint="eastAsia" w:eastAsia="仿宋_GB2312"/>
          <w:color w:val="000000"/>
          <w:sz w:val="32"/>
          <w:szCs w:val="32"/>
        </w:rPr>
        <w:t>(三)负责统筹、促进、指导、监督、管理、考评全区城乡就业工作；落实就业、创业援助、培训政策。</w:t>
      </w:r>
    </w:p>
    <w:p w14:paraId="014C6C03">
      <w:pPr>
        <w:spacing w:line="560" w:lineRule="exact"/>
        <w:ind w:firstLine="640" w:firstLineChars="200"/>
        <w:rPr>
          <w:rFonts w:eastAsia="仿宋_GB2312"/>
          <w:color w:val="000000"/>
          <w:sz w:val="32"/>
          <w:szCs w:val="32"/>
        </w:rPr>
      </w:pPr>
      <w:r>
        <w:rPr>
          <w:rFonts w:hint="eastAsia" w:eastAsia="仿宋_GB2312"/>
          <w:color w:val="000000"/>
          <w:sz w:val="32"/>
          <w:szCs w:val="32"/>
        </w:rPr>
        <w:t>(四)推进建立覆盖城乡的多层次社会保障体系，落实养老失业、工伤等社会保险及其补充保险政策；负责全区养老、失业保险基金预测预警和信息引导，拟订应对预案。</w:t>
      </w:r>
    </w:p>
    <w:p w14:paraId="47F51604">
      <w:pPr>
        <w:spacing w:line="560" w:lineRule="exact"/>
        <w:ind w:firstLine="640" w:firstLineChars="200"/>
        <w:rPr>
          <w:rFonts w:eastAsia="仿宋_GB2312"/>
          <w:color w:val="000000"/>
          <w:sz w:val="32"/>
          <w:szCs w:val="32"/>
        </w:rPr>
      </w:pPr>
      <w:r>
        <w:rPr>
          <w:rFonts w:hint="eastAsia" w:eastAsia="仿宋_GB2312"/>
          <w:color w:val="000000"/>
          <w:sz w:val="32"/>
          <w:szCs w:val="32"/>
        </w:rPr>
        <w:t>(五)会同有关部门指导全区事业单位人事制度改革，按照管理权限负责规范事业单位岗位设置、公开招聘、聘用合同、绩效考核等人事综合管理工作；实施事业单位工作人员和机关工勤人员管理政策。</w:t>
      </w:r>
    </w:p>
    <w:p w14:paraId="15395409">
      <w:pPr>
        <w:spacing w:line="560" w:lineRule="exact"/>
        <w:ind w:firstLine="640" w:firstLineChars="200"/>
        <w:rPr>
          <w:rFonts w:eastAsia="仿宋_GB2312"/>
          <w:color w:val="000000"/>
          <w:sz w:val="32"/>
          <w:szCs w:val="32"/>
        </w:rPr>
      </w:pPr>
      <w:r>
        <w:rPr>
          <w:rFonts w:hint="eastAsia" w:eastAsia="仿宋_GB2312"/>
          <w:color w:val="000000"/>
          <w:sz w:val="32"/>
          <w:szCs w:val="32"/>
        </w:rPr>
        <w:t>(六)会同有关部门实施全区事业单位人员工资收入分配政策，实施事业单位人员福利和离退休政策。</w:t>
      </w:r>
    </w:p>
    <w:p w14:paraId="025A2938">
      <w:pPr>
        <w:spacing w:line="560" w:lineRule="exact"/>
        <w:ind w:firstLine="640" w:firstLineChars="200"/>
        <w:rPr>
          <w:rFonts w:eastAsia="仿宋_GB2312"/>
          <w:color w:val="000000"/>
          <w:sz w:val="32"/>
          <w:szCs w:val="32"/>
        </w:rPr>
      </w:pPr>
      <w:r>
        <w:rPr>
          <w:rFonts w:hint="eastAsia" w:eastAsia="仿宋_GB2312"/>
          <w:color w:val="000000"/>
          <w:sz w:val="32"/>
          <w:szCs w:val="32"/>
        </w:rPr>
        <w:t>(七)统筹落实劳动人事争议调解仲裁制度和劳动关系政策，完善劳动关系协调机童工政策和女工、未成年工的特殊劳动保护政策，组织实施劳动监察，协调劳动者维权工作，依法查处相关重大案件。</w:t>
      </w:r>
    </w:p>
    <w:p w14:paraId="0550A9E9">
      <w:pPr>
        <w:pStyle w:val="17"/>
        <w:overflowPunct w:val="0"/>
        <w:spacing w:line="596" w:lineRule="exact"/>
        <w:ind w:firstLine="640"/>
        <w:rPr>
          <w:rFonts w:ascii="Times New Roman" w:hAnsi="Times New Roman" w:eastAsia="黑体" w:cs="Times New Roman"/>
          <w:sz w:val="32"/>
          <w:szCs w:val="32"/>
        </w:rPr>
      </w:pPr>
      <w:r>
        <w:rPr>
          <w:rFonts w:hint="eastAsia" w:ascii="Times New Roman" w:hAnsi="Times New Roman" w:eastAsia="仿宋_GB2312"/>
          <w:color w:val="000000"/>
          <w:sz w:val="32"/>
          <w:szCs w:val="32"/>
        </w:rPr>
        <w:t>(八)组织落实职称制度改革相关工作，实施专业技术人员管理政策。</w:t>
      </w:r>
    </w:p>
    <w:p w14:paraId="6F4A05B8">
      <w:pPr>
        <w:numPr>
          <w:ilvl w:val="0"/>
          <w:numId w:val="1"/>
        </w:numPr>
        <w:overflowPunct w:val="0"/>
        <w:spacing w:line="596" w:lineRule="exact"/>
        <w:rPr>
          <w:rFonts w:ascii="Times New Roman" w:hAnsi="Times New Roman" w:eastAsia="黑体" w:cs="Times New Roman"/>
          <w:kern w:val="0"/>
          <w:sz w:val="32"/>
          <w:szCs w:val="32"/>
        </w:rPr>
      </w:pPr>
      <w:r>
        <w:rPr>
          <w:rFonts w:ascii="Times New Roman" w:hAnsi="Times New Roman" w:eastAsia="黑体" w:cs="Times New Roman"/>
          <w:kern w:val="0"/>
          <w:sz w:val="32"/>
          <w:szCs w:val="32"/>
        </w:rPr>
        <w:t>机构设置及决算单位构成</w:t>
      </w:r>
    </w:p>
    <w:p w14:paraId="4830D905">
      <w:pPr>
        <w:tabs>
          <w:tab w:val="left" w:pos="7560"/>
        </w:tabs>
        <w:adjustRightInd w:val="0"/>
        <w:snapToGrid w:val="0"/>
        <w:spacing w:line="560" w:lineRule="exact"/>
        <w:ind w:firstLine="640" w:firstLineChars="200"/>
        <w:jc w:val="left"/>
        <w:rPr>
          <w:rFonts w:ascii="仿宋_GB2312" w:eastAsia="仿宋_GB2312"/>
          <w:color w:val="000000"/>
          <w:sz w:val="32"/>
          <w:szCs w:val="32"/>
        </w:rPr>
      </w:pPr>
      <w:r>
        <w:rPr>
          <w:rFonts w:hint="eastAsia" w:asciiTheme="minorEastAsia" w:hAnsiTheme="minorEastAsia"/>
          <w:bCs/>
          <w:kern w:val="0"/>
          <w:sz w:val="32"/>
          <w:szCs w:val="32"/>
        </w:rPr>
        <w:t>（一）内设机构设置。</w:t>
      </w:r>
      <w:r>
        <w:rPr>
          <w:rFonts w:hint="eastAsia" w:ascii="仿宋_GB2312" w:eastAsia="仿宋_GB2312"/>
          <w:color w:val="000000"/>
          <w:sz w:val="32"/>
          <w:szCs w:val="32"/>
        </w:rPr>
        <w:t>本部门共有编制人数20人，实有人数20人。内设科室4个，分别为：</w:t>
      </w:r>
      <w:r>
        <w:rPr>
          <w:rFonts w:hint="eastAsia" w:eastAsia="仿宋_GB2312"/>
          <w:sz w:val="32"/>
          <w:szCs w:val="32"/>
        </w:rPr>
        <w:t>办公室（财务室）、事业单位人事管理股、就业服务及劳动管理股、社保基金监督股。</w:t>
      </w:r>
    </w:p>
    <w:p w14:paraId="5C3B30D4">
      <w:pPr>
        <w:spacing w:line="596" w:lineRule="exact"/>
        <w:ind w:firstLine="640" w:firstLineChars="200"/>
        <w:rPr>
          <w:rFonts w:eastAsia="仿宋_GB2312"/>
          <w:sz w:val="32"/>
          <w:szCs w:val="32"/>
        </w:rPr>
      </w:pPr>
      <w:r>
        <w:rPr>
          <w:rFonts w:hint="eastAsia" w:ascii="仿宋_GB2312" w:eastAsia="仿宋_GB2312"/>
          <w:color w:val="000000"/>
          <w:sz w:val="32"/>
          <w:szCs w:val="32"/>
        </w:rPr>
        <w:t>本部门包含下属二级预算单位3个</w:t>
      </w:r>
      <w:r>
        <w:rPr>
          <w:rFonts w:hint="eastAsia" w:ascii="仿宋_GB2312" w:eastAsia="仿宋_GB2312"/>
          <w:b/>
          <w:bCs/>
          <w:color w:val="000000"/>
          <w:sz w:val="32"/>
          <w:szCs w:val="32"/>
        </w:rPr>
        <w:t>,</w:t>
      </w:r>
      <w:r>
        <w:rPr>
          <w:rFonts w:hint="eastAsia" w:ascii="仿宋_GB2312" w:eastAsia="仿宋_GB2312"/>
          <w:color w:val="000000"/>
          <w:sz w:val="32"/>
          <w:szCs w:val="32"/>
        </w:rPr>
        <w:t>分别为：</w:t>
      </w:r>
      <w:r>
        <w:rPr>
          <w:rFonts w:hint="eastAsia" w:eastAsia="仿宋_GB2312"/>
          <w:sz w:val="32"/>
          <w:szCs w:val="32"/>
        </w:rPr>
        <w:t>区人力资源服务中心、区劳动保障监察大队、就业服务中心（清水塘企业职工档案中心）等3家单位，区社会保险中心单独编制预算。</w:t>
      </w:r>
    </w:p>
    <w:p w14:paraId="392B353B">
      <w:pPr>
        <w:widowControl/>
        <w:spacing w:line="600" w:lineRule="exact"/>
        <w:ind w:firstLine="640" w:firstLineChars="200"/>
        <w:rPr>
          <w:rFonts w:ascii="仿宋_GB2312" w:hAnsi="仿宋_GB2312" w:eastAsia="仿宋_GB2312" w:cs="仿宋_GB2312"/>
          <w:bCs/>
          <w:kern w:val="0"/>
          <w:sz w:val="32"/>
          <w:szCs w:val="32"/>
        </w:rPr>
      </w:pPr>
      <w:r>
        <w:rPr>
          <w:rFonts w:hint="eastAsia" w:asciiTheme="minorEastAsia" w:hAnsiTheme="minorEastAsia"/>
          <w:bCs/>
          <w:kern w:val="0"/>
          <w:sz w:val="32"/>
          <w:szCs w:val="32"/>
        </w:rPr>
        <w:t>（二）决算单位构成。</w:t>
      </w:r>
      <w:r>
        <w:rPr>
          <w:rFonts w:hint="eastAsia" w:ascii="仿宋_GB2312" w:hAnsi="仿宋_GB2312" w:eastAsia="仿宋_GB2312" w:cs="仿宋_GB2312"/>
          <w:bCs/>
          <w:kern w:val="0"/>
          <w:sz w:val="32"/>
          <w:szCs w:val="32"/>
        </w:rPr>
        <w:t>区人社局单位2021年部门决算汇总公开单位构成包括：区人社局单位本级以及下属二级机构。</w:t>
      </w:r>
    </w:p>
    <w:p w14:paraId="7BB77CE7">
      <w:pPr>
        <w:overflowPunct w:val="0"/>
        <w:spacing w:line="596" w:lineRule="exact"/>
        <w:ind w:left="640"/>
        <w:rPr>
          <w:rFonts w:ascii="Times New Roman" w:hAnsi="Times New Roman" w:eastAsia="黑体" w:cs="Times New Roman"/>
          <w:kern w:val="0"/>
          <w:sz w:val="32"/>
          <w:szCs w:val="32"/>
        </w:rPr>
      </w:pPr>
    </w:p>
    <w:p w14:paraId="5A72A8B7">
      <w:pPr>
        <w:pStyle w:val="16"/>
        <w:jc w:val="both"/>
        <w:rPr>
          <w:rFonts w:ascii="Times New Roman" w:hAnsi="Times New Roman" w:cs="Times New Roman"/>
          <w:sz w:val="84"/>
          <w:szCs w:val="84"/>
        </w:rPr>
      </w:pPr>
    </w:p>
    <w:p w14:paraId="32AE1B06">
      <w:pPr>
        <w:pStyle w:val="16"/>
        <w:jc w:val="both"/>
        <w:rPr>
          <w:rFonts w:ascii="Times New Roman" w:hAnsi="Times New Roman" w:cs="Times New Roman"/>
          <w:sz w:val="84"/>
          <w:szCs w:val="84"/>
        </w:rPr>
      </w:pPr>
    </w:p>
    <w:p w14:paraId="302C84CB">
      <w:pPr>
        <w:pStyle w:val="16"/>
        <w:jc w:val="both"/>
        <w:rPr>
          <w:rFonts w:ascii="Times New Roman" w:hAnsi="Times New Roman" w:cs="Times New Roman"/>
          <w:sz w:val="84"/>
          <w:szCs w:val="84"/>
        </w:rPr>
      </w:pPr>
    </w:p>
    <w:p w14:paraId="1BEE752C">
      <w:pPr>
        <w:pStyle w:val="16"/>
        <w:jc w:val="both"/>
        <w:rPr>
          <w:rFonts w:ascii="Times New Roman" w:hAnsi="Times New Roman" w:cs="Times New Roman"/>
          <w:sz w:val="84"/>
          <w:szCs w:val="84"/>
        </w:rPr>
      </w:pPr>
    </w:p>
    <w:p w14:paraId="7549ED7C">
      <w:pPr>
        <w:pStyle w:val="16"/>
        <w:jc w:val="both"/>
        <w:rPr>
          <w:rFonts w:ascii="Times New Roman" w:hAnsi="Times New Roman" w:cs="Times New Roman"/>
          <w:sz w:val="84"/>
          <w:szCs w:val="84"/>
        </w:rPr>
      </w:pPr>
    </w:p>
    <w:p w14:paraId="002979D9">
      <w:pPr>
        <w:pStyle w:val="16"/>
        <w:jc w:val="both"/>
        <w:rPr>
          <w:rFonts w:ascii="Times New Roman" w:hAnsi="Times New Roman" w:cs="Times New Roman"/>
          <w:sz w:val="84"/>
          <w:szCs w:val="84"/>
        </w:rPr>
      </w:pPr>
    </w:p>
    <w:p w14:paraId="1EF2D175">
      <w:pPr>
        <w:pStyle w:val="16"/>
        <w:jc w:val="both"/>
        <w:rPr>
          <w:rFonts w:ascii="Times New Roman" w:hAnsi="Times New Roman" w:cs="Times New Roman"/>
          <w:sz w:val="84"/>
          <w:szCs w:val="84"/>
        </w:rPr>
      </w:pPr>
    </w:p>
    <w:p w14:paraId="55DA11D2">
      <w:pPr>
        <w:pStyle w:val="16"/>
        <w:jc w:val="both"/>
        <w:rPr>
          <w:rFonts w:ascii="Times New Roman" w:hAnsi="Times New Roman" w:cs="Times New Roman"/>
          <w:sz w:val="84"/>
          <w:szCs w:val="84"/>
        </w:rPr>
      </w:pPr>
    </w:p>
    <w:p w14:paraId="422706F7">
      <w:pPr>
        <w:pStyle w:val="16"/>
        <w:jc w:val="both"/>
        <w:rPr>
          <w:rFonts w:ascii="Times New Roman" w:hAnsi="Times New Roman" w:cs="Times New Roman"/>
          <w:sz w:val="84"/>
          <w:szCs w:val="84"/>
        </w:rPr>
      </w:pPr>
    </w:p>
    <w:p w14:paraId="712A021C">
      <w:pPr>
        <w:pStyle w:val="16"/>
        <w:jc w:val="both"/>
        <w:rPr>
          <w:rFonts w:ascii="Times New Roman" w:hAnsi="Times New Roman" w:cs="Times New Roman"/>
          <w:sz w:val="84"/>
          <w:szCs w:val="84"/>
        </w:rPr>
      </w:pPr>
    </w:p>
    <w:p w14:paraId="0B251493">
      <w:pPr>
        <w:pStyle w:val="16"/>
        <w:jc w:val="both"/>
        <w:rPr>
          <w:rFonts w:ascii="Times New Roman" w:hAnsi="Times New Roman" w:cs="Times New Roman"/>
          <w:sz w:val="84"/>
          <w:szCs w:val="84"/>
        </w:rPr>
      </w:pPr>
    </w:p>
    <w:p w14:paraId="03FFA7B4">
      <w:pPr>
        <w:pStyle w:val="16"/>
        <w:jc w:val="both"/>
        <w:rPr>
          <w:rFonts w:ascii="Times New Roman" w:hAnsi="Times New Roman" w:cs="Times New Roman"/>
          <w:sz w:val="84"/>
          <w:szCs w:val="84"/>
        </w:rPr>
      </w:pPr>
    </w:p>
    <w:p w14:paraId="5B2579F2">
      <w:pPr>
        <w:pStyle w:val="16"/>
        <w:jc w:val="both"/>
        <w:rPr>
          <w:rFonts w:ascii="Times New Roman" w:hAnsi="Times New Roman" w:cs="Times New Roman"/>
          <w:sz w:val="84"/>
          <w:szCs w:val="84"/>
        </w:rPr>
      </w:pPr>
    </w:p>
    <w:p w14:paraId="19C7C579">
      <w:pPr>
        <w:pStyle w:val="16"/>
        <w:jc w:val="both"/>
        <w:rPr>
          <w:rFonts w:ascii="Times New Roman" w:hAnsi="Times New Roman" w:cs="Times New Roman"/>
          <w:sz w:val="84"/>
          <w:szCs w:val="84"/>
        </w:rPr>
      </w:pPr>
    </w:p>
    <w:p w14:paraId="54901E4C">
      <w:pPr>
        <w:pStyle w:val="16"/>
        <w:jc w:val="center"/>
        <w:rPr>
          <w:rFonts w:ascii="Times New Roman" w:hAnsi="Times New Roman" w:eastAsia="方正小标宋简体" w:cs="Times New Roman"/>
          <w:sz w:val="76"/>
          <w:szCs w:val="76"/>
        </w:rPr>
      </w:pPr>
      <w:r>
        <w:rPr>
          <w:rFonts w:ascii="Times New Roman" w:hAnsi="Times New Roman" w:eastAsia="方正小标宋简体" w:cs="Times New Roman"/>
          <w:sz w:val="76"/>
          <w:szCs w:val="76"/>
        </w:rPr>
        <w:t>第二部分</w:t>
      </w:r>
    </w:p>
    <w:p w14:paraId="7FABB2D4">
      <w:pPr>
        <w:pStyle w:val="16"/>
        <w:jc w:val="center"/>
        <w:rPr>
          <w:rFonts w:ascii="Times New Roman" w:hAnsi="Times New Roman" w:eastAsia="方正小标宋简体" w:cs="Times New Roman"/>
          <w:sz w:val="76"/>
          <w:szCs w:val="76"/>
        </w:rPr>
      </w:pPr>
    </w:p>
    <w:p w14:paraId="45B338F1">
      <w:pPr>
        <w:pStyle w:val="16"/>
        <w:jc w:val="center"/>
        <w:rPr>
          <w:rFonts w:ascii="Times New Roman" w:hAnsi="Times New Roman" w:eastAsia="方正小标宋简体" w:cs="Times New Roman"/>
          <w:w w:val="90"/>
          <w:sz w:val="76"/>
          <w:szCs w:val="76"/>
        </w:rPr>
      </w:pPr>
      <w:r>
        <w:rPr>
          <w:rFonts w:ascii="Times New Roman" w:hAnsi="Times New Roman" w:eastAsia="方正小标宋简体" w:cs="Times New Roman"/>
          <w:sz w:val="76"/>
          <w:szCs w:val="76"/>
        </w:rPr>
        <w:t>部门决算表</w:t>
      </w:r>
    </w:p>
    <w:p w14:paraId="4362DACB">
      <w:pPr>
        <w:rPr>
          <w:rFonts w:ascii="Times New Roman" w:hAnsi="Times New Roman" w:eastAsia="仿宋_GB2312" w:cs="Times New Roman"/>
          <w:sz w:val="72"/>
          <w:szCs w:val="72"/>
        </w:rPr>
      </w:pPr>
    </w:p>
    <w:p w14:paraId="6935F6E2">
      <w:pPr>
        <w:jc w:val="center"/>
        <w:rPr>
          <w:rFonts w:ascii="Times New Roman" w:hAnsi="Times New Roman" w:cs="Times New Roman"/>
          <w:sz w:val="32"/>
          <w:szCs w:val="32"/>
        </w:rPr>
        <w:sectPr>
          <w:footerReference r:id="rId3" w:type="default"/>
          <w:pgSz w:w="11906" w:h="16838"/>
          <w:pgMar w:top="720" w:right="720" w:bottom="720" w:left="720" w:header="851" w:footer="992" w:gutter="0"/>
          <w:cols w:space="425" w:num="1"/>
          <w:docGrid w:type="lines" w:linePitch="312" w:charSpace="0"/>
        </w:sectPr>
      </w:pPr>
      <w:r>
        <w:rPr>
          <w:rFonts w:hint="eastAsia" w:ascii="Times New Roman" w:hAnsi="Times New Roman" w:cs="Times New Roman"/>
          <w:sz w:val="32"/>
          <w:szCs w:val="32"/>
        </w:rPr>
        <w:t>（见附件1）</w:t>
      </w:r>
    </w:p>
    <w:p w14:paraId="690640B1">
      <w:pPr>
        <w:pStyle w:val="16"/>
        <w:jc w:val="both"/>
        <w:rPr>
          <w:rFonts w:ascii="Times New Roman" w:hAnsi="Times New Roman" w:cs="Times New Roman"/>
          <w:sz w:val="84"/>
          <w:szCs w:val="84"/>
        </w:rPr>
      </w:pPr>
    </w:p>
    <w:p w14:paraId="3E9915C4">
      <w:pPr>
        <w:pStyle w:val="16"/>
        <w:jc w:val="both"/>
        <w:rPr>
          <w:rFonts w:ascii="Times New Roman" w:hAnsi="Times New Roman" w:cs="Times New Roman"/>
          <w:sz w:val="84"/>
          <w:szCs w:val="84"/>
        </w:rPr>
      </w:pPr>
    </w:p>
    <w:p w14:paraId="5C1EF00E">
      <w:pPr>
        <w:pStyle w:val="16"/>
        <w:jc w:val="center"/>
        <w:rPr>
          <w:rFonts w:ascii="Times New Roman" w:hAnsi="Times New Roman" w:eastAsia="方正小标宋简体" w:cs="Times New Roman"/>
          <w:sz w:val="76"/>
          <w:szCs w:val="76"/>
        </w:rPr>
      </w:pPr>
      <w:r>
        <w:rPr>
          <w:rFonts w:ascii="Times New Roman" w:hAnsi="Times New Roman" w:eastAsia="方正小标宋简体" w:cs="Times New Roman"/>
          <w:sz w:val="72"/>
          <w:szCs w:val="72"/>
        </w:rPr>
        <w:t>第三部分</w:t>
      </w:r>
    </w:p>
    <w:p w14:paraId="4C2DD1B2">
      <w:pPr>
        <w:pStyle w:val="16"/>
        <w:jc w:val="center"/>
        <w:rPr>
          <w:rFonts w:ascii="Times New Roman" w:hAnsi="Times New Roman" w:eastAsia="方正小标宋简体" w:cs="Times New Roman"/>
          <w:sz w:val="76"/>
          <w:szCs w:val="76"/>
        </w:rPr>
      </w:pPr>
    </w:p>
    <w:p w14:paraId="19E8D374">
      <w:pPr>
        <w:pStyle w:val="16"/>
        <w:jc w:val="center"/>
        <w:rPr>
          <w:rFonts w:ascii="Times New Roman" w:hAnsi="Times New Roman" w:eastAsia="仿宋_GB2312" w:cs="Times New Roman"/>
          <w:sz w:val="28"/>
          <w:szCs w:val="28"/>
        </w:rPr>
      </w:pPr>
      <w:r>
        <w:rPr>
          <w:rFonts w:ascii="Times New Roman" w:hAnsi="Times New Roman" w:eastAsia="方正小标宋简体" w:cs="Times New Roman"/>
          <w:sz w:val="72"/>
          <w:szCs w:val="72"/>
        </w:rPr>
        <w:t>2023年度部门决算情况说明</w:t>
      </w:r>
    </w:p>
    <w:p w14:paraId="4AB22EF2">
      <w:pPr>
        <w:pStyle w:val="16"/>
        <w:numPr>
          <w:ilvl w:val="0"/>
          <w:numId w:val="2"/>
        </w:numPr>
        <w:spacing w:line="570" w:lineRule="exact"/>
        <w:jc w:val="both"/>
        <w:rPr>
          <w:rFonts w:ascii="Times New Roman" w:hAnsi="Times New Roman" w:cs="Times New Roman"/>
          <w:sz w:val="32"/>
          <w:szCs w:val="32"/>
        </w:rPr>
      </w:pPr>
      <w:r>
        <w:rPr>
          <w:rFonts w:ascii="Times New Roman" w:hAnsi="Times New Roman" w:cs="Times New Roman"/>
          <w:sz w:val="32"/>
          <w:szCs w:val="32"/>
        </w:rPr>
        <w:br w:type="page"/>
      </w:r>
      <w:r>
        <w:rPr>
          <w:rFonts w:ascii="Times New Roman" w:hAnsi="Times New Roman" w:cs="Times New Roman"/>
          <w:sz w:val="32"/>
          <w:szCs w:val="32"/>
        </w:rPr>
        <w:t>收入支出决算总体情况说明</w:t>
      </w:r>
    </w:p>
    <w:p w14:paraId="7E09040B">
      <w:pPr>
        <w:pStyle w:val="16"/>
        <w:ind w:firstLine="640" w:firstLineChars="200"/>
        <w:rPr>
          <w:rFonts w:ascii="Times New Roman" w:hAnsi="Times New Roman"/>
          <w:sz w:val="32"/>
          <w:szCs w:val="32"/>
        </w:rPr>
      </w:pPr>
      <w:r>
        <w:rPr>
          <w:rFonts w:hint="eastAsia" w:asciiTheme="minorEastAsia" w:hAnsiTheme="minorEastAsia" w:eastAsiaTheme="minorEastAsia"/>
          <w:sz w:val="32"/>
          <w:szCs w:val="32"/>
        </w:rPr>
        <w:t>2023年度收、支总计1991.23万元。与上年相比，增加261.2万元，增加15%，主要是因为就业补助资金收入及高层次人才补贴增加。</w:t>
      </w:r>
    </w:p>
    <w:p w14:paraId="419CAB69">
      <w:pPr>
        <w:pStyle w:val="16"/>
        <w:numPr>
          <w:ilvl w:val="0"/>
          <w:numId w:val="2"/>
        </w:numPr>
        <w:spacing w:line="570" w:lineRule="exact"/>
        <w:jc w:val="both"/>
        <w:rPr>
          <w:rFonts w:ascii="Times New Roman" w:hAnsi="Times New Roman" w:cs="Times New Roman"/>
          <w:sz w:val="32"/>
          <w:szCs w:val="32"/>
        </w:rPr>
      </w:pPr>
      <w:r>
        <w:rPr>
          <w:rFonts w:ascii="Times New Roman" w:hAnsi="Times New Roman" w:cs="Times New Roman"/>
          <w:sz w:val="32"/>
          <w:szCs w:val="32"/>
        </w:rPr>
        <w:t>收入决算情况说明</w:t>
      </w:r>
    </w:p>
    <w:p w14:paraId="3812DFD4">
      <w:pPr>
        <w:pStyle w:val="16"/>
        <w:ind w:firstLine="640" w:firstLineChars="200"/>
        <w:rPr>
          <w:rFonts w:ascii="Times New Roman" w:hAnsi="Times New Roman"/>
          <w:sz w:val="32"/>
          <w:szCs w:val="32"/>
        </w:rPr>
      </w:pPr>
      <w:r>
        <w:rPr>
          <w:rFonts w:hint="eastAsia" w:asciiTheme="minorEastAsia" w:hAnsiTheme="minorEastAsia" w:eastAsiaTheme="minorEastAsia"/>
          <w:sz w:val="32"/>
          <w:szCs w:val="32"/>
        </w:rPr>
        <w:t>2023年度收入合计1991.23万元，其中：财政拨款收入1948.23万元，占97.84%；其他收入43万元，占2.16%。</w:t>
      </w:r>
    </w:p>
    <w:p w14:paraId="011DBCA2">
      <w:pPr>
        <w:pStyle w:val="16"/>
        <w:numPr>
          <w:ilvl w:val="0"/>
          <w:numId w:val="2"/>
        </w:numPr>
        <w:spacing w:line="570" w:lineRule="exact"/>
        <w:jc w:val="both"/>
        <w:rPr>
          <w:rFonts w:ascii="Times New Roman" w:hAnsi="Times New Roman" w:cs="Times New Roman"/>
          <w:sz w:val="32"/>
          <w:szCs w:val="32"/>
        </w:rPr>
      </w:pPr>
      <w:r>
        <w:rPr>
          <w:rFonts w:ascii="Times New Roman" w:hAnsi="Times New Roman" w:cs="Times New Roman"/>
          <w:sz w:val="32"/>
          <w:szCs w:val="32"/>
        </w:rPr>
        <w:t>支出决算情况说明</w:t>
      </w:r>
    </w:p>
    <w:p w14:paraId="2BE61B49">
      <w:pPr>
        <w:pStyle w:val="16"/>
        <w:ind w:firstLine="640" w:firstLineChars="200"/>
        <w:rPr>
          <w:rFonts w:ascii="Times New Roman" w:hAnsi="Times New Roman"/>
          <w:sz w:val="32"/>
          <w:szCs w:val="32"/>
        </w:rPr>
      </w:pPr>
      <w:r>
        <w:rPr>
          <w:rFonts w:hint="eastAsia" w:asciiTheme="minorEastAsia" w:hAnsiTheme="minorEastAsia" w:eastAsiaTheme="minorEastAsia"/>
          <w:sz w:val="32"/>
          <w:szCs w:val="32"/>
        </w:rPr>
        <w:t>2023年度支出合计1991.23万元，其中：基本支出497.14万元，占25%；项目支出1494.09万元，占75%。</w:t>
      </w:r>
    </w:p>
    <w:p w14:paraId="5EE181E4">
      <w:pPr>
        <w:pStyle w:val="16"/>
        <w:numPr>
          <w:ilvl w:val="0"/>
          <w:numId w:val="2"/>
        </w:numPr>
        <w:spacing w:line="570" w:lineRule="exact"/>
        <w:jc w:val="both"/>
        <w:rPr>
          <w:rFonts w:ascii="Times New Roman" w:hAnsi="Times New Roman" w:cs="Times New Roman"/>
          <w:sz w:val="32"/>
          <w:szCs w:val="32"/>
        </w:rPr>
      </w:pPr>
      <w:r>
        <w:rPr>
          <w:rFonts w:ascii="Times New Roman" w:hAnsi="Times New Roman" w:cs="Times New Roman"/>
          <w:sz w:val="32"/>
          <w:szCs w:val="32"/>
        </w:rPr>
        <w:t>财政拨款收入支出决算总体情况说明</w:t>
      </w:r>
    </w:p>
    <w:p w14:paraId="2F4BF4B2">
      <w:pPr>
        <w:pStyle w:val="16"/>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2023年度财政拨款收、支总计1948.23万元，与上年相比，增加444.76万元,增加29.6%，主要是因为就业补助资金收入及高层次人才补贴增加。</w:t>
      </w:r>
    </w:p>
    <w:p w14:paraId="64EE63F2">
      <w:pPr>
        <w:pStyle w:val="7"/>
        <w:autoSpaceDE w:val="0"/>
        <w:autoSpaceDN w:val="0"/>
        <w:adjustRightInd w:val="0"/>
        <w:spacing w:line="570" w:lineRule="exact"/>
        <w:ind w:firstLine="640" w:firstLineChars="200"/>
        <w:rPr>
          <w:rFonts w:ascii="Times New Roman" w:hAnsi="Times New Roman" w:cs="Times New Roman"/>
          <w:sz w:val="32"/>
          <w:szCs w:val="32"/>
        </w:rPr>
      </w:pPr>
      <w:r>
        <w:rPr>
          <w:rFonts w:ascii="Times New Roman" w:hAnsi="Times New Roman" w:eastAsia="黑体" w:cs="Times New Roman"/>
          <w:color w:val="000000"/>
          <w:kern w:val="0"/>
          <w:sz w:val="32"/>
          <w:szCs w:val="32"/>
        </w:rPr>
        <w:t>五、一般公共预算财政拨款支出决算情况说明</w:t>
      </w:r>
    </w:p>
    <w:p w14:paraId="351082C9">
      <w:pPr>
        <w:pStyle w:val="7"/>
        <w:autoSpaceDE w:val="0"/>
        <w:autoSpaceDN w:val="0"/>
        <w:adjustRightInd w:val="0"/>
        <w:spacing w:line="570" w:lineRule="exact"/>
        <w:ind w:firstLine="640" w:firstLineChars="200"/>
        <w:rPr>
          <w:rFonts w:ascii="Times New Roman" w:hAnsi="Times New Roman" w:eastAsia="楷体_GB2312" w:cs="Times New Roman"/>
          <w:b/>
          <w:color w:val="000000"/>
          <w:kern w:val="0"/>
          <w:sz w:val="32"/>
          <w:szCs w:val="32"/>
        </w:rPr>
      </w:pPr>
      <w:r>
        <w:rPr>
          <w:rFonts w:ascii="Times New Roman" w:hAnsi="Times New Roman" w:eastAsia="楷体_GB2312" w:cs="Times New Roman"/>
          <w:b/>
          <w:color w:val="000000"/>
          <w:kern w:val="0"/>
          <w:sz w:val="32"/>
          <w:szCs w:val="32"/>
        </w:rPr>
        <w:t>（一）财政拨款支出决算总体情况</w:t>
      </w:r>
    </w:p>
    <w:p w14:paraId="3B8212B3">
      <w:pPr>
        <w:pStyle w:val="16"/>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2023年度财政拨款支出1948.23万元，占本年支出合计的97.84%，与上年相比，财政拨款支出增加444.76万元,增加29.6%，主要是因为就业补助资金收入及高层次人才补贴增加。</w:t>
      </w:r>
    </w:p>
    <w:p w14:paraId="4063F1FC">
      <w:pPr>
        <w:pStyle w:val="7"/>
        <w:autoSpaceDE w:val="0"/>
        <w:autoSpaceDN w:val="0"/>
        <w:adjustRightInd w:val="0"/>
        <w:spacing w:line="570" w:lineRule="exact"/>
        <w:ind w:firstLine="640" w:firstLineChars="200"/>
        <w:rPr>
          <w:rFonts w:ascii="Times New Roman" w:hAnsi="Times New Roman" w:eastAsia="楷体_GB2312" w:cs="Times New Roman"/>
          <w:b/>
          <w:color w:val="000000"/>
          <w:kern w:val="0"/>
          <w:sz w:val="32"/>
          <w:szCs w:val="32"/>
        </w:rPr>
      </w:pPr>
      <w:r>
        <w:rPr>
          <w:rFonts w:ascii="Times New Roman" w:hAnsi="Times New Roman" w:eastAsia="楷体_GB2312" w:cs="Times New Roman"/>
          <w:b/>
          <w:color w:val="000000"/>
          <w:kern w:val="0"/>
          <w:sz w:val="32"/>
          <w:szCs w:val="32"/>
        </w:rPr>
        <w:t>（二）财政拨款支出决算结构情况</w:t>
      </w:r>
    </w:p>
    <w:p w14:paraId="7F69B364">
      <w:pPr>
        <w:pStyle w:val="16"/>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2023年度财政拨款支出1948.23万元，主要用于以下方面：科学技术支出158.5万元，占8.14%；社会保障和就业（类）支出1789.73万元，占91.86%。</w:t>
      </w:r>
      <w:r>
        <w:rPr>
          <w:rFonts w:asciiTheme="minorEastAsia" w:hAnsiTheme="minorEastAsia" w:eastAsiaTheme="minorEastAsia"/>
          <w:sz w:val="32"/>
          <w:szCs w:val="32"/>
        </w:rPr>
        <w:t xml:space="preserve"> </w:t>
      </w:r>
    </w:p>
    <w:p w14:paraId="634910E7">
      <w:pPr>
        <w:pStyle w:val="7"/>
        <w:autoSpaceDE w:val="0"/>
        <w:autoSpaceDN w:val="0"/>
        <w:adjustRightInd w:val="0"/>
        <w:spacing w:line="570" w:lineRule="exact"/>
        <w:ind w:firstLine="640" w:firstLineChars="200"/>
        <w:rPr>
          <w:rFonts w:ascii="Times New Roman" w:hAnsi="Times New Roman" w:eastAsia="楷体_GB2312" w:cs="Times New Roman"/>
          <w:b/>
          <w:color w:val="000000"/>
          <w:kern w:val="0"/>
          <w:sz w:val="32"/>
          <w:szCs w:val="32"/>
        </w:rPr>
      </w:pPr>
      <w:r>
        <w:rPr>
          <w:rFonts w:ascii="Times New Roman" w:hAnsi="Times New Roman" w:eastAsia="楷体_GB2312" w:cs="Times New Roman"/>
          <w:b/>
          <w:color w:val="000000"/>
          <w:kern w:val="0"/>
          <w:sz w:val="32"/>
          <w:szCs w:val="32"/>
        </w:rPr>
        <w:t>（三）财政拨款支出决算具体情况</w:t>
      </w:r>
    </w:p>
    <w:p w14:paraId="7ABFFB34">
      <w:pPr>
        <w:pStyle w:val="16"/>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2023年度财政拨款支出年初预算数为547.72万元，支出决算数为1948.23万元，完成年初预算的355.7%，其中：</w:t>
      </w:r>
    </w:p>
    <w:p w14:paraId="60C33F5E">
      <w:pPr>
        <w:pStyle w:val="16"/>
        <w:spacing w:line="540" w:lineRule="exact"/>
        <w:ind w:firstLine="640" w:firstLineChars="200"/>
        <w:jc w:val="both"/>
        <w:rPr>
          <w:rFonts w:asciiTheme="minorEastAsia" w:hAnsiTheme="minorEastAsia" w:eastAsiaTheme="minorEastAsia"/>
          <w:sz w:val="32"/>
          <w:szCs w:val="32"/>
        </w:rPr>
      </w:pPr>
      <w:r>
        <w:rPr>
          <w:rFonts w:hint="eastAsia" w:asciiTheme="minorEastAsia" w:hAnsiTheme="minorEastAsia" w:eastAsiaTheme="minorEastAsia"/>
          <w:sz w:val="32"/>
          <w:szCs w:val="32"/>
        </w:rPr>
        <w:t>1、科学技术支出（类） 其他科学技术支出（款）其他科学技术支出（项）。</w:t>
      </w:r>
    </w:p>
    <w:p w14:paraId="22CB295C">
      <w:pPr>
        <w:pStyle w:val="16"/>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年初预算为0万元，支出决算为158.5万元，决算数大于年初预算数的主要原因是：增加新引进人才安家补贴区级配套资金、省科技创新人才资金。</w:t>
      </w:r>
    </w:p>
    <w:p w14:paraId="7362B7BA">
      <w:pPr>
        <w:pStyle w:val="16"/>
        <w:numPr>
          <w:ilvl w:val="0"/>
          <w:numId w:val="3"/>
        </w:numPr>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社会保障和就业支出（类）人力资源和社会保障管理事务（款）行政运行（项）。</w:t>
      </w:r>
    </w:p>
    <w:p w14:paraId="632A0EC1">
      <w:pPr>
        <w:pStyle w:val="16"/>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年初预算为418.72万元，支出决算为454.14万元，完成年初预算的108.46%。决算数大于年初预算数的主要原因是：人员经费增加。</w:t>
      </w:r>
    </w:p>
    <w:p w14:paraId="183205BB">
      <w:pPr>
        <w:pStyle w:val="16"/>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3、社会保障和就业支出（类）人力资源和社会保障管理事务（款）一般行政管理事务（项）。</w:t>
      </w:r>
    </w:p>
    <w:p w14:paraId="4276B96D">
      <w:pPr>
        <w:pStyle w:val="16"/>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年初预算为18万元，支出决算为24.43万元，决算数大于年初预算数的主要原因是：去年业务性专项经费结余支出。</w:t>
      </w:r>
    </w:p>
    <w:p w14:paraId="03B4AF7E">
      <w:pPr>
        <w:pStyle w:val="16"/>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4、社会保障和就业支出（类）人力资源和社会保障管理事务（款）其他人力资源和社会保障管理事务支出（项）。</w:t>
      </w:r>
    </w:p>
    <w:p w14:paraId="5E602FCF">
      <w:pPr>
        <w:pStyle w:val="16"/>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年初预算为31万元，支出决算为65.73万元，决算数大于年初预算数的主要原因是：增加2023年事业单位面向社会公开招聘工作经费及养老保险待遇核查回头看相关经费。</w:t>
      </w:r>
    </w:p>
    <w:p w14:paraId="3838ABC7">
      <w:pPr>
        <w:pStyle w:val="16"/>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5、社会保障和就业支出（类）就业补助（款）社会保险补贴（项）。</w:t>
      </w:r>
    </w:p>
    <w:p w14:paraId="5E96D0A2">
      <w:pPr>
        <w:pStyle w:val="16"/>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年初预算为0万元，支出决算为5.13万元，决算数大于年初预算数的主要原因是：增加市级企业社保补贴。</w:t>
      </w:r>
    </w:p>
    <w:p w14:paraId="6D0A8066">
      <w:pPr>
        <w:pStyle w:val="16"/>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6、社会保障和就业支出（类）就业补助（款）其他就业补助支出（项）。</w:t>
      </w:r>
    </w:p>
    <w:p w14:paraId="7DFF00E7">
      <w:pPr>
        <w:pStyle w:val="16"/>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年初预算为80万元，支出决算为1240.3万元，决算数大于年初预算数的主要原因是：增加企业就业见习补贴、2023年创业培训补贴和灵活就业人员社保补贴。</w:t>
      </w:r>
    </w:p>
    <w:p w14:paraId="1517169C">
      <w:pPr>
        <w:pStyle w:val="7"/>
        <w:autoSpaceDE w:val="0"/>
        <w:autoSpaceDN w:val="0"/>
        <w:adjustRightInd w:val="0"/>
        <w:spacing w:line="570" w:lineRule="exact"/>
        <w:ind w:firstLine="640" w:firstLineChars="200"/>
        <w:rPr>
          <w:rFonts w:ascii="Times New Roman" w:hAnsi="Times New Roman" w:eastAsia="黑体" w:cs="Times New Roman"/>
          <w:color w:val="000000"/>
          <w:kern w:val="0"/>
          <w:sz w:val="32"/>
          <w:szCs w:val="32"/>
        </w:rPr>
      </w:pPr>
      <w:r>
        <w:rPr>
          <w:rFonts w:hint="eastAsia" w:ascii="Times New Roman" w:hAnsi="Times New Roman" w:eastAsia="黑体" w:cs="Times New Roman"/>
          <w:color w:val="000000"/>
          <w:kern w:val="0"/>
          <w:sz w:val="32"/>
          <w:szCs w:val="32"/>
        </w:rPr>
        <w:t>六、</w:t>
      </w:r>
      <w:r>
        <w:rPr>
          <w:rFonts w:ascii="Times New Roman" w:hAnsi="Times New Roman" w:eastAsia="黑体" w:cs="Times New Roman"/>
          <w:color w:val="000000"/>
          <w:kern w:val="0"/>
          <w:sz w:val="32"/>
          <w:szCs w:val="32"/>
        </w:rPr>
        <w:t>一般公共预算财政拨款基本支出决算情况说明</w:t>
      </w:r>
    </w:p>
    <w:p w14:paraId="5B301910">
      <w:pPr>
        <w:pStyle w:val="16"/>
        <w:ind w:firstLine="640" w:firstLineChars="200"/>
        <w:rPr>
          <w:rFonts w:ascii="Times New Roman" w:hAnsi="Times New Roman"/>
          <w:color w:val="0000FF"/>
          <w:sz w:val="32"/>
          <w:szCs w:val="32"/>
        </w:rPr>
      </w:pPr>
      <w:r>
        <w:rPr>
          <w:rFonts w:hint="eastAsia" w:asciiTheme="minorEastAsia" w:hAnsiTheme="minorEastAsia" w:eastAsiaTheme="minorEastAsia"/>
          <w:sz w:val="32"/>
          <w:szCs w:val="32"/>
        </w:rPr>
        <w:t>2023年度财政拨</w:t>
      </w:r>
      <w:r>
        <w:rPr>
          <w:rFonts w:hint="eastAsia" w:asciiTheme="minorEastAsia" w:hAnsiTheme="minorEastAsia" w:eastAsiaTheme="minorEastAsia"/>
          <w:color w:val="auto"/>
          <w:sz w:val="32"/>
          <w:szCs w:val="32"/>
        </w:rPr>
        <w:t>款基本支出454.14万元，其中：人员经费414.44万元，占基本支出的91.26%,主要包括基本工资、津贴补贴、奖金、伙食补助费；公用经费39.7万元，占基本支出的8.74%，主要包括办公费、印刷费、咨询费、手续费。</w:t>
      </w:r>
    </w:p>
    <w:p w14:paraId="5B27F39E">
      <w:pPr>
        <w:pStyle w:val="7"/>
        <w:autoSpaceDE w:val="0"/>
        <w:autoSpaceDN w:val="0"/>
        <w:adjustRightInd w:val="0"/>
        <w:spacing w:line="570" w:lineRule="exact"/>
        <w:ind w:firstLine="640" w:firstLineChars="200"/>
        <w:rPr>
          <w:rFonts w:ascii="Times New Roman" w:hAnsi="Times New Roman" w:cs="Times New Roman"/>
          <w:sz w:val="32"/>
          <w:szCs w:val="32"/>
        </w:rPr>
      </w:pPr>
      <w:r>
        <w:rPr>
          <w:rFonts w:ascii="Times New Roman" w:hAnsi="Times New Roman" w:eastAsia="黑体" w:cs="Times New Roman"/>
          <w:color w:val="000000"/>
          <w:kern w:val="0"/>
          <w:sz w:val="32"/>
          <w:szCs w:val="32"/>
        </w:rPr>
        <w:t>七、一般公共预算财政拨款“三公”经费支出决算情况说明</w:t>
      </w:r>
    </w:p>
    <w:p w14:paraId="37223CF4">
      <w:pPr>
        <w:pStyle w:val="7"/>
        <w:autoSpaceDE w:val="0"/>
        <w:autoSpaceDN w:val="0"/>
        <w:adjustRightInd w:val="0"/>
        <w:spacing w:line="570" w:lineRule="exact"/>
        <w:ind w:firstLine="640" w:firstLineChars="200"/>
        <w:rPr>
          <w:rFonts w:ascii="Times New Roman" w:hAnsi="Times New Roman" w:eastAsia="楷体_GB2312" w:cs="Times New Roman"/>
          <w:b/>
          <w:color w:val="000000"/>
          <w:kern w:val="0"/>
          <w:sz w:val="32"/>
          <w:szCs w:val="32"/>
        </w:rPr>
      </w:pPr>
      <w:r>
        <w:rPr>
          <w:rFonts w:ascii="Times New Roman" w:hAnsi="Times New Roman" w:eastAsia="楷体_GB2312" w:cs="Times New Roman"/>
          <w:b/>
          <w:color w:val="000000"/>
          <w:kern w:val="0"/>
          <w:sz w:val="32"/>
          <w:szCs w:val="32"/>
        </w:rPr>
        <w:t>（一）“三公”经费财政拨款支出决算总体情况说明</w:t>
      </w:r>
    </w:p>
    <w:p w14:paraId="30BF9647">
      <w:pPr>
        <w:pStyle w:val="16"/>
        <w:ind w:firstLine="800" w:firstLineChars="250"/>
        <w:rPr>
          <w:rFonts w:ascii="Times New Roman" w:hAnsi="Times New Roman" w:eastAsia="仿宋" w:cs="Times New Roman"/>
          <w:sz w:val="32"/>
          <w:szCs w:val="32"/>
        </w:rPr>
      </w:pPr>
      <w:r>
        <w:rPr>
          <w:rFonts w:ascii="Times New Roman" w:hAnsi="Times New Roman" w:eastAsia="仿宋" w:cs="Times New Roman"/>
          <w:sz w:val="32"/>
          <w:szCs w:val="32"/>
        </w:rPr>
        <w:t>2023年度“三公”经费财政拨款支出预算为</w:t>
      </w:r>
      <w:r>
        <w:rPr>
          <w:rFonts w:hint="eastAsia" w:ascii="Times New Roman" w:hAnsi="Times New Roman" w:eastAsia="仿宋" w:cs="Times New Roman"/>
          <w:sz w:val="32"/>
          <w:szCs w:val="32"/>
        </w:rPr>
        <w:t>0</w:t>
      </w:r>
      <w:r>
        <w:rPr>
          <w:rFonts w:ascii="Times New Roman" w:hAnsi="Times New Roman" w:eastAsia="仿宋" w:cs="Times New Roman"/>
          <w:sz w:val="32"/>
          <w:szCs w:val="32"/>
        </w:rPr>
        <w:t>万元，支出决算为</w:t>
      </w:r>
      <w:r>
        <w:rPr>
          <w:rFonts w:hint="eastAsia" w:ascii="Times New Roman" w:hAnsi="Times New Roman" w:eastAsia="仿宋" w:cs="Times New Roman"/>
          <w:sz w:val="32"/>
          <w:szCs w:val="32"/>
        </w:rPr>
        <w:t>0</w:t>
      </w:r>
      <w:r>
        <w:rPr>
          <w:rFonts w:ascii="Times New Roman" w:hAnsi="Times New Roman" w:eastAsia="仿宋" w:cs="Times New Roman"/>
          <w:sz w:val="32"/>
          <w:szCs w:val="32"/>
        </w:rPr>
        <w:t>万元，决算数等于预算数</w:t>
      </w:r>
      <w:r>
        <w:rPr>
          <w:rFonts w:hint="eastAsia" w:ascii="Times New Roman" w:hAnsi="Times New Roman" w:eastAsia="仿宋" w:cs="Times New Roman"/>
          <w:sz w:val="32"/>
          <w:szCs w:val="32"/>
        </w:rPr>
        <w:t>。</w:t>
      </w:r>
    </w:p>
    <w:p w14:paraId="3E70ADAE">
      <w:pPr>
        <w:pStyle w:val="16"/>
        <w:ind w:firstLine="640" w:firstLineChars="200"/>
        <w:rPr>
          <w:rFonts w:ascii="Times New Roman" w:hAnsi="Times New Roman" w:eastAsia="楷体_GB2312" w:cs="Times New Roman"/>
          <w:b/>
          <w:sz w:val="32"/>
          <w:szCs w:val="32"/>
        </w:rPr>
      </w:pPr>
      <w:r>
        <w:rPr>
          <w:rFonts w:ascii="Times New Roman" w:hAnsi="Times New Roman" w:eastAsia="楷体_GB2312" w:cs="Times New Roman"/>
          <w:b/>
          <w:sz w:val="32"/>
          <w:szCs w:val="32"/>
        </w:rPr>
        <w:t>（二）“三公”经费财政拨款支出决算具体情况说明</w:t>
      </w:r>
    </w:p>
    <w:p w14:paraId="5B44A914">
      <w:pPr>
        <w:ind w:firstLine="800" w:firstLineChars="250"/>
        <w:rPr>
          <w:rFonts w:ascii="仿宋" w:hAnsi="仿宋" w:eastAsia="仿宋" w:cs="黑体"/>
          <w:color w:val="000000"/>
          <w:kern w:val="0"/>
          <w:sz w:val="32"/>
          <w:szCs w:val="32"/>
        </w:rPr>
      </w:pPr>
      <w:r>
        <w:rPr>
          <w:rFonts w:hint="eastAsia" w:ascii="仿宋" w:hAnsi="仿宋" w:eastAsia="仿宋"/>
          <w:sz w:val="32"/>
          <w:szCs w:val="32"/>
        </w:rPr>
        <w:t>2023年度“三公”经费财政拨款支出决算中，</w:t>
      </w:r>
      <w:r>
        <w:rPr>
          <w:rFonts w:ascii="Times New Roman" w:hAnsi="Times New Roman" w:eastAsia="仿宋" w:cs="Times New Roman"/>
          <w:sz w:val="32"/>
          <w:szCs w:val="32"/>
        </w:rPr>
        <w:t>公务接待费支出决算</w:t>
      </w:r>
      <w:r>
        <w:rPr>
          <w:rFonts w:hint="eastAsia" w:ascii="Times New Roman" w:hAnsi="Times New Roman" w:eastAsia="仿宋" w:cs="Times New Roman"/>
          <w:sz w:val="32"/>
          <w:szCs w:val="32"/>
        </w:rPr>
        <w:t>0万元，</w:t>
      </w:r>
      <w:r>
        <w:rPr>
          <w:rFonts w:hint="eastAsia" w:ascii="仿宋" w:hAnsi="仿宋" w:eastAsia="仿宋"/>
          <w:sz w:val="32"/>
          <w:szCs w:val="32"/>
        </w:rPr>
        <w:t>因公出国（境）费支出决算0万元，公务用车购置费及运行维护费支出决算0万元。</w:t>
      </w:r>
    </w:p>
    <w:p w14:paraId="6F4B9987">
      <w:pPr>
        <w:pStyle w:val="7"/>
        <w:autoSpaceDE w:val="0"/>
        <w:autoSpaceDN w:val="0"/>
        <w:adjustRightInd w:val="0"/>
        <w:spacing w:line="570" w:lineRule="exact"/>
        <w:ind w:firstLine="640" w:firstLineChars="200"/>
        <w:rPr>
          <w:rFonts w:ascii="Times New Roman" w:hAnsi="Times New Roman" w:eastAsia="黑体" w:cs="Times New Roman"/>
          <w:color w:val="000000"/>
          <w:kern w:val="0"/>
          <w:sz w:val="32"/>
          <w:szCs w:val="32"/>
        </w:rPr>
      </w:pPr>
      <w:r>
        <w:rPr>
          <w:rFonts w:ascii="Times New Roman" w:hAnsi="Times New Roman" w:eastAsia="黑体" w:cs="Times New Roman"/>
          <w:color w:val="000000"/>
          <w:kern w:val="0"/>
          <w:sz w:val="32"/>
          <w:szCs w:val="32"/>
        </w:rPr>
        <w:t>八、政府性基金预算收入支出决算情况</w:t>
      </w:r>
    </w:p>
    <w:p w14:paraId="5938C8BA">
      <w:pPr>
        <w:pStyle w:val="7"/>
        <w:autoSpaceDE w:val="0"/>
        <w:autoSpaceDN w:val="0"/>
        <w:adjustRightInd w:val="0"/>
        <w:spacing w:line="570" w:lineRule="exact"/>
        <w:ind w:firstLine="640" w:firstLineChars="200"/>
        <w:rPr>
          <w:rFonts w:ascii="Times New Roman" w:hAnsi="Times New Roman" w:cs="Times New Roman"/>
          <w:sz w:val="32"/>
          <w:szCs w:val="32"/>
        </w:rPr>
      </w:pPr>
      <w:r>
        <w:rPr>
          <w:rFonts w:hint="eastAsia" w:asciiTheme="minorEastAsia" w:hAnsiTheme="minorEastAsia" w:eastAsiaTheme="minorEastAsia"/>
          <w:sz w:val="32"/>
          <w:szCs w:val="32"/>
        </w:rPr>
        <w:t>2023年度政府性基金预算财政拨款年初结转和结余0万元，本年收入0.87万元，本年支出0.87万元，年末结转和结余0万元。</w:t>
      </w:r>
    </w:p>
    <w:p w14:paraId="54710C66">
      <w:pPr>
        <w:pStyle w:val="7"/>
        <w:autoSpaceDE w:val="0"/>
        <w:autoSpaceDN w:val="0"/>
        <w:adjustRightInd w:val="0"/>
        <w:spacing w:line="570" w:lineRule="exact"/>
        <w:ind w:firstLine="640" w:firstLineChars="200"/>
        <w:rPr>
          <w:rFonts w:ascii="Times New Roman" w:hAnsi="Times New Roman" w:cs="Times New Roman"/>
          <w:sz w:val="32"/>
          <w:szCs w:val="32"/>
        </w:rPr>
      </w:pPr>
      <w:r>
        <w:rPr>
          <w:rFonts w:ascii="Times New Roman" w:hAnsi="Times New Roman" w:eastAsia="黑体" w:cs="Times New Roman"/>
          <w:color w:val="000000"/>
          <w:kern w:val="0"/>
          <w:sz w:val="32"/>
          <w:szCs w:val="32"/>
        </w:rPr>
        <w:t>九、国有资本经营预算支出决算情况</w:t>
      </w:r>
    </w:p>
    <w:p w14:paraId="3ADCAEAC">
      <w:pPr>
        <w:pStyle w:val="7"/>
        <w:autoSpaceDE w:val="0"/>
        <w:autoSpaceDN w:val="0"/>
        <w:adjustRightInd w:val="0"/>
        <w:spacing w:line="570" w:lineRule="exact"/>
        <w:ind w:firstLine="640" w:firstLineChars="200"/>
        <w:rPr>
          <w:rFonts w:ascii="Times New Roman" w:hAnsi="Times New Roman" w:eastAsia="仿宋_GB2312" w:cs="Times New Roman"/>
          <w:sz w:val="32"/>
          <w:szCs w:val="32"/>
        </w:rPr>
      </w:pPr>
      <w:r>
        <w:rPr>
          <w:rFonts w:ascii="Times New Roman" w:hAnsi="Times New Roman" w:eastAsia="仿宋" w:cs="Times New Roman"/>
          <w:color w:val="000000"/>
          <w:kern w:val="0"/>
          <w:sz w:val="32"/>
          <w:szCs w:val="32"/>
        </w:rPr>
        <w:t>2023年度本单位没有使用国有资本经营预算安排的支出</w:t>
      </w:r>
      <w:r>
        <w:rPr>
          <w:rFonts w:ascii="Times New Roman" w:hAnsi="Times New Roman" w:eastAsia="仿宋_GB2312" w:cs="Times New Roman"/>
          <w:color w:val="000000"/>
          <w:kern w:val="0"/>
          <w:sz w:val="32"/>
          <w:szCs w:val="32"/>
        </w:rPr>
        <w:t>。</w:t>
      </w:r>
    </w:p>
    <w:p w14:paraId="4A60D007">
      <w:pPr>
        <w:pStyle w:val="7"/>
        <w:autoSpaceDE w:val="0"/>
        <w:autoSpaceDN w:val="0"/>
        <w:adjustRightInd w:val="0"/>
        <w:spacing w:line="570" w:lineRule="exact"/>
        <w:ind w:firstLine="640" w:firstLineChars="200"/>
        <w:rPr>
          <w:rFonts w:ascii="Times New Roman" w:hAnsi="Times New Roman" w:eastAsia="黑体" w:cs="Times New Roman"/>
          <w:color w:val="000000"/>
          <w:kern w:val="0"/>
          <w:sz w:val="32"/>
          <w:szCs w:val="32"/>
        </w:rPr>
      </w:pPr>
      <w:r>
        <w:rPr>
          <w:rFonts w:ascii="Times New Roman" w:hAnsi="Times New Roman" w:eastAsia="黑体" w:cs="Times New Roman"/>
          <w:color w:val="000000"/>
          <w:kern w:val="0"/>
          <w:sz w:val="32"/>
          <w:szCs w:val="32"/>
        </w:rPr>
        <w:t>十、机关运行经费支出说明</w:t>
      </w:r>
    </w:p>
    <w:p w14:paraId="57675176">
      <w:pPr>
        <w:pStyle w:val="16"/>
        <w:ind w:firstLine="640" w:firstLineChars="200"/>
        <w:rPr>
          <w:rFonts w:ascii="Times New Roman" w:hAnsi="Times New Roman"/>
          <w:sz w:val="32"/>
          <w:szCs w:val="32"/>
        </w:rPr>
      </w:pPr>
      <w:r>
        <w:rPr>
          <w:rFonts w:hint="eastAsia" w:asciiTheme="minorEastAsia" w:hAnsiTheme="minorEastAsia" w:eastAsiaTheme="minorEastAsia"/>
          <w:sz w:val="32"/>
          <w:szCs w:val="32"/>
        </w:rPr>
        <w:t>本部门2023年度机关运行经费支出39.7万元，比上年决算数减少9.98万元，减少20%。</w:t>
      </w:r>
    </w:p>
    <w:p w14:paraId="62C43A97">
      <w:pPr>
        <w:pStyle w:val="7"/>
        <w:autoSpaceDE w:val="0"/>
        <w:autoSpaceDN w:val="0"/>
        <w:adjustRightInd w:val="0"/>
        <w:spacing w:line="570" w:lineRule="exact"/>
        <w:ind w:firstLine="640" w:firstLineChars="200"/>
        <w:rPr>
          <w:rFonts w:ascii="Times New Roman" w:hAnsi="Times New Roman" w:eastAsia="黑体" w:cs="Times New Roman"/>
          <w:color w:val="000000"/>
          <w:kern w:val="0"/>
          <w:sz w:val="32"/>
          <w:szCs w:val="32"/>
        </w:rPr>
      </w:pPr>
      <w:r>
        <w:rPr>
          <w:rFonts w:ascii="Times New Roman" w:hAnsi="Times New Roman" w:eastAsia="黑体" w:cs="Times New Roman"/>
          <w:color w:val="000000"/>
          <w:kern w:val="0"/>
          <w:sz w:val="32"/>
          <w:szCs w:val="32"/>
        </w:rPr>
        <w:t>十一、一般性支出情况说明</w:t>
      </w:r>
    </w:p>
    <w:p w14:paraId="5F7921F0">
      <w:pPr>
        <w:pStyle w:val="7"/>
        <w:autoSpaceDE w:val="0"/>
        <w:autoSpaceDN w:val="0"/>
        <w:adjustRightInd w:val="0"/>
        <w:spacing w:line="570" w:lineRule="exact"/>
        <w:ind w:left="420" w:leftChars="200" w:firstLine="320" w:firstLineChars="100"/>
        <w:rPr>
          <w:rFonts w:ascii="Times New Roman" w:hAnsi="Times New Roman" w:eastAsia="黑体" w:cs="黑体"/>
          <w:color w:val="000000"/>
          <w:kern w:val="0"/>
          <w:sz w:val="32"/>
          <w:szCs w:val="32"/>
        </w:rPr>
      </w:pPr>
      <w:r>
        <w:rPr>
          <w:rFonts w:hint="eastAsia" w:asciiTheme="minorEastAsia" w:hAnsiTheme="minorEastAsia" w:eastAsiaTheme="minorEastAsia"/>
          <w:sz w:val="32"/>
          <w:szCs w:val="32"/>
        </w:rPr>
        <w:t>2023年本部门开支会议费0万元</w:t>
      </w:r>
    </w:p>
    <w:p w14:paraId="1845B621">
      <w:pPr>
        <w:pStyle w:val="7"/>
        <w:autoSpaceDE w:val="0"/>
        <w:autoSpaceDN w:val="0"/>
        <w:adjustRightInd w:val="0"/>
        <w:spacing w:line="570" w:lineRule="exact"/>
        <w:ind w:firstLine="640" w:firstLineChars="200"/>
        <w:rPr>
          <w:rFonts w:ascii="Times New Roman" w:hAnsi="Times New Roman" w:eastAsia="黑体" w:cs="Times New Roman"/>
          <w:color w:val="000000"/>
          <w:kern w:val="0"/>
          <w:sz w:val="32"/>
          <w:szCs w:val="32"/>
        </w:rPr>
      </w:pPr>
      <w:r>
        <w:rPr>
          <w:rFonts w:ascii="Times New Roman" w:hAnsi="Times New Roman" w:eastAsia="黑体" w:cs="Times New Roman"/>
          <w:color w:val="000000"/>
          <w:kern w:val="0"/>
          <w:sz w:val="32"/>
          <w:szCs w:val="32"/>
        </w:rPr>
        <w:t>十二、政府采购支出说明</w:t>
      </w:r>
    </w:p>
    <w:p w14:paraId="1E3BF2EB">
      <w:pPr>
        <w:pStyle w:val="16"/>
        <w:ind w:firstLine="640" w:firstLineChars="200"/>
        <w:rPr>
          <w:rFonts w:ascii="Times New Roman" w:hAnsi="Times New Roman"/>
          <w:sz w:val="32"/>
          <w:szCs w:val="32"/>
        </w:rPr>
      </w:pPr>
      <w:r>
        <w:rPr>
          <w:rFonts w:hint="eastAsia" w:asciiTheme="minorEastAsia" w:hAnsiTheme="minorEastAsia" w:eastAsiaTheme="minorEastAsia"/>
          <w:sz w:val="32"/>
          <w:szCs w:val="32"/>
        </w:rPr>
        <w:t>本部门2023年度政府采购支出总额0万元，其中：政府采购货物支出0万元、政府采购工程支出0 万元、政府采购服务支出0万元。授予中小企业合同金额0万元，占政府采购支出总额的0%，其中：授予小微企业合同金额0万元，占政府采购支出总额的0%。</w:t>
      </w:r>
    </w:p>
    <w:p w14:paraId="3E49FD7E">
      <w:pPr>
        <w:pStyle w:val="7"/>
        <w:autoSpaceDE w:val="0"/>
        <w:autoSpaceDN w:val="0"/>
        <w:adjustRightInd w:val="0"/>
        <w:spacing w:line="570" w:lineRule="exact"/>
        <w:ind w:firstLine="640" w:firstLineChars="200"/>
        <w:rPr>
          <w:rFonts w:ascii="Times New Roman" w:hAnsi="Times New Roman" w:eastAsia="黑体" w:cs="Times New Roman"/>
          <w:color w:val="000000"/>
          <w:kern w:val="0"/>
          <w:sz w:val="32"/>
          <w:szCs w:val="32"/>
        </w:rPr>
      </w:pPr>
      <w:r>
        <w:rPr>
          <w:rFonts w:ascii="Times New Roman" w:hAnsi="Times New Roman" w:eastAsia="黑体" w:cs="Times New Roman"/>
          <w:color w:val="000000"/>
          <w:kern w:val="0"/>
          <w:sz w:val="32"/>
          <w:szCs w:val="32"/>
        </w:rPr>
        <w:t>十三、国有资产占用情况说明</w:t>
      </w:r>
    </w:p>
    <w:p w14:paraId="0C83AACC">
      <w:pPr>
        <w:pStyle w:val="16"/>
        <w:ind w:firstLine="640" w:firstLineChars="200"/>
        <w:rPr>
          <w:rFonts w:ascii="Times New Roman" w:hAnsi="Times New Roman"/>
          <w:sz w:val="32"/>
          <w:szCs w:val="32"/>
        </w:rPr>
      </w:pPr>
      <w:r>
        <w:rPr>
          <w:rFonts w:hint="eastAsia" w:asciiTheme="minorEastAsia" w:hAnsiTheme="minorEastAsia" w:eastAsiaTheme="minorEastAsia"/>
          <w:sz w:val="32"/>
          <w:szCs w:val="32"/>
        </w:rPr>
        <w:t>截至2023年12月31日，本单位共有车辆0辆，其中，主要领导干部用车0辆，机要通信用车0辆、应急保障用车0辆、执法执勤用车0辆、特种专业技术用车0辆、其他用车0辆；单位价值50万元以上通用设备0台（套）；单位价值100万元以上专用设备0台（套）。</w:t>
      </w:r>
    </w:p>
    <w:p w14:paraId="721C7320">
      <w:pPr>
        <w:pStyle w:val="7"/>
        <w:autoSpaceDE w:val="0"/>
        <w:autoSpaceDN w:val="0"/>
        <w:adjustRightInd w:val="0"/>
        <w:spacing w:line="570" w:lineRule="exact"/>
        <w:ind w:firstLine="640" w:firstLineChars="200"/>
        <w:rPr>
          <w:rFonts w:ascii="Times New Roman" w:hAnsi="Times New Roman" w:cs="Times New Roman"/>
          <w:sz w:val="32"/>
          <w:szCs w:val="32"/>
        </w:rPr>
      </w:pPr>
      <w:r>
        <w:rPr>
          <w:rFonts w:ascii="Times New Roman" w:hAnsi="Times New Roman" w:eastAsia="黑体" w:cs="Times New Roman"/>
          <w:color w:val="000000"/>
          <w:kern w:val="0"/>
          <w:sz w:val="32"/>
          <w:szCs w:val="32"/>
        </w:rPr>
        <w:t>十四、重点项目预算的绩效评价结果等情况说明</w:t>
      </w:r>
    </w:p>
    <w:p w14:paraId="189753F0">
      <w:pPr>
        <w:pStyle w:val="7"/>
        <w:numPr>
          <w:ilvl w:val="0"/>
          <w:numId w:val="4"/>
        </w:numPr>
        <w:autoSpaceDE w:val="0"/>
        <w:autoSpaceDN w:val="0"/>
        <w:adjustRightInd w:val="0"/>
        <w:spacing w:line="570" w:lineRule="exact"/>
        <w:rPr>
          <w:rFonts w:hint="eastAsia" w:ascii="Times New Roman" w:hAnsi="Times New Roman" w:eastAsia="楷体_GB2312" w:cs="Times New Roman"/>
          <w:b/>
          <w:color w:val="000000"/>
          <w:kern w:val="0"/>
          <w:sz w:val="32"/>
          <w:szCs w:val="32"/>
        </w:rPr>
      </w:pPr>
      <w:r>
        <w:rPr>
          <w:rFonts w:ascii="Times New Roman" w:hAnsi="Times New Roman" w:eastAsia="楷体_GB2312" w:cs="Times New Roman"/>
          <w:b/>
          <w:color w:val="000000"/>
          <w:kern w:val="0"/>
          <w:sz w:val="32"/>
          <w:szCs w:val="32"/>
        </w:rPr>
        <w:t>绩效管理评价工作开展情况。</w:t>
      </w:r>
    </w:p>
    <w:p w14:paraId="2EFD25AF">
      <w:pPr>
        <w:pStyle w:val="7"/>
        <w:autoSpaceDE w:val="0"/>
        <w:autoSpaceDN w:val="0"/>
        <w:adjustRightInd w:val="0"/>
        <w:spacing w:line="570" w:lineRule="exact"/>
        <w:ind w:firstLine="640" w:firstLineChars="200"/>
        <w:rPr>
          <w:rFonts w:hint="eastAsia" w:cs="黑体" w:asciiTheme="minorEastAsia" w:hAnsiTheme="minorEastAsia" w:eastAsiaTheme="minorEastAsia"/>
          <w:color w:val="000000"/>
          <w:kern w:val="0"/>
          <w:sz w:val="32"/>
          <w:szCs w:val="32"/>
        </w:rPr>
      </w:pPr>
      <w:r>
        <w:rPr>
          <w:rFonts w:hint="eastAsia" w:cs="黑体" w:asciiTheme="minorEastAsia" w:hAnsiTheme="minorEastAsia" w:eastAsiaTheme="minorEastAsia"/>
          <w:color w:val="000000"/>
          <w:kern w:val="0"/>
          <w:sz w:val="32"/>
          <w:szCs w:val="32"/>
        </w:rPr>
        <w:t>根据预算绩效管理要求，我部门组织对2023年度一般公共预算项目支出全面开展绩效自评，其中，一级项目8个，二级项目0个，共涉及资金1494.09万元，占一般公共预算项目支出总额的100%。</w:t>
      </w:r>
    </w:p>
    <w:p w14:paraId="6A77E450">
      <w:pPr>
        <w:pStyle w:val="7"/>
        <w:autoSpaceDE w:val="0"/>
        <w:autoSpaceDN w:val="0"/>
        <w:adjustRightInd w:val="0"/>
        <w:spacing w:line="570" w:lineRule="exact"/>
        <w:ind w:firstLine="640" w:firstLineChars="200"/>
        <w:rPr>
          <w:rFonts w:cs="黑体" w:asciiTheme="minorEastAsia" w:hAnsiTheme="minorEastAsia" w:eastAsiaTheme="minorEastAsia"/>
          <w:color w:val="000000"/>
          <w:kern w:val="0"/>
          <w:sz w:val="32"/>
          <w:szCs w:val="32"/>
        </w:rPr>
      </w:pPr>
      <w:r>
        <w:rPr>
          <w:rFonts w:hint="eastAsia" w:cs="黑体" w:asciiTheme="minorEastAsia" w:hAnsiTheme="minorEastAsia" w:eastAsiaTheme="minorEastAsia"/>
          <w:color w:val="000000"/>
          <w:kern w:val="0"/>
          <w:sz w:val="32"/>
          <w:szCs w:val="32"/>
        </w:rPr>
        <w:t>组织对“就业补助资金”““2023年度退（离）休干部职工福利费”项目”等8个项目开展了部门评价，涉及一般公共预算支出1494.09万元。从评价情况来看，预算执行及时、有效，绩效目标得到较好实现，绩效管理水平不断提高。</w:t>
      </w:r>
    </w:p>
    <w:p w14:paraId="4347878B">
      <w:pPr>
        <w:pStyle w:val="7"/>
        <w:numPr>
          <w:ilvl w:val="0"/>
          <w:numId w:val="4"/>
        </w:numPr>
        <w:autoSpaceDE w:val="0"/>
        <w:autoSpaceDN w:val="0"/>
        <w:adjustRightInd w:val="0"/>
        <w:spacing w:line="570" w:lineRule="exact"/>
        <w:rPr>
          <w:rFonts w:hint="eastAsia" w:ascii="Times New Roman" w:hAnsi="Times New Roman" w:eastAsia="楷体_GB2312" w:cs="Times New Roman"/>
          <w:b/>
          <w:color w:val="000000"/>
          <w:kern w:val="0"/>
          <w:sz w:val="32"/>
          <w:szCs w:val="32"/>
        </w:rPr>
      </w:pPr>
      <w:r>
        <w:rPr>
          <w:rFonts w:ascii="Times New Roman" w:hAnsi="Times New Roman" w:eastAsia="楷体_GB2312" w:cs="Times New Roman"/>
          <w:b/>
          <w:color w:val="000000"/>
          <w:kern w:val="0"/>
          <w:sz w:val="32"/>
          <w:szCs w:val="32"/>
        </w:rPr>
        <w:t>部门评价项目绩效评价结果。</w:t>
      </w:r>
    </w:p>
    <w:p w14:paraId="5201B634">
      <w:pPr>
        <w:autoSpaceDE w:val="0"/>
        <w:autoSpaceDN w:val="0"/>
        <w:adjustRightInd w:val="0"/>
        <w:ind w:firstLine="640" w:firstLineChars="200"/>
        <w:jc w:val="left"/>
        <w:rPr>
          <w:rFonts w:hint="eastAsia" w:cs="黑体" w:asciiTheme="minorEastAsia" w:hAnsiTheme="minorEastAsia"/>
          <w:color w:val="FF0000"/>
          <w:kern w:val="0"/>
          <w:sz w:val="32"/>
          <w:szCs w:val="32"/>
        </w:rPr>
      </w:pPr>
      <w:r>
        <w:rPr>
          <w:rFonts w:hint="eastAsia" w:cs="黑体" w:asciiTheme="minorEastAsia" w:hAnsiTheme="minorEastAsia" w:eastAsiaTheme="minorEastAsia"/>
          <w:color w:val="000000"/>
          <w:kern w:val="0"/>
          <w:sz w:val="32"/>
          <w:szCs w:val="32"/>
        </w:rPr>
        <w:t>2023年度退（离）休干部职工福利费项目</w:t>
      </w:r>
      <w:r>
        <w:rPr>
          <w:rFonts w:hint="eastAsia" w:cs="黑体" w:asciiTheme="minorEastAsia" w:hAnsiTheme="minorEastAsia"/>
          <w:color w:val="000000"/>
          <w:kern w:val="0"/>
          <w:sz w:val="32"/>
          <w:szCs w:val="32"/>
        </w:rPr>
        <w:t>绩效自评综述：年初预算</w:t>
      </w:r>
      <w:r>
        <w:rPr>
          <w:rFonts w:hint="eastAsia" w:cs="黑体" w:asciiTheme="minorEastAsia" w:hAnsiTheme="minorEastAsia" w:eastAsiaTheme="minorEastAsia"/>
          <w:color w:val="000000"/>
          <w:kern w:val="0"/>
          <w:sz w:val="32"/>
          <w:szCs w:val="32"/>
        </w:rPr>
        <w:t>金额31万元，实际支出31.58万元，主要用于发放离退休干部护理费、离休干部配偶生活补助、退职救济费、伤残金、遗属补助等。</w:t>
      </w:r>
      <w:r>
        <w:rPr>
          <w:rFonts w:hint="eastAsia" w:cs="黑体" w:asciiTheme="minorEastAsia" w:hAnsiTheme="minorEastAsia"/>
          <w:kern w:val="0"/>
          <w:sz w:val="32"/>
          <w:szCs w:val="32"/>
        </w:rPr>
        <w:t>发现的主要问题及原因：无。下一步改进措施：无。</w:t>
      </w:r>
    </w:p>
    <w:p w14:paraId="0139ECC9">
      <w:pPr>
        <w:pStyle w:val="7"/>
        <w:autoSpaceDE w:val="0"/>
        <w:autoSpaceDN w:val="0"/>
        <w:adjustRightInd w:val="0"/>
        <w:spacing w:line="570" w:lineRule="exact"/>
        <w:ind w:firstLine="640" w:firstLineChars="200"/>
        <w:rPr>
          <w:rFonts w:hint="eastAsia" w:cs="黑体" w:asciiTheme="minorEastAsia" w:hAnsiTheme="minorEastAsia" w:eastAsiaTheme="minorEastAsia"/>
          <w:color w:val="000000"/>
          <w:kern w:val="0"/>
          <w:sz w:val="32"/>
          <w:szCs w:val="32"/>
        </w:rPr>
      </w:pPr>
      <w:r>
        <w:rPr>
          <w:rFonts w:hint="eastAsia" w:cs="黑体" w:asciiTheme="minorEastAsia" w:hAnsiTheme="minorEastAsia" w:eastAsiaTheme="minorEastAsia"/>
          <w:color w:val="000000"/>
          <w:kern w:val="0"/>
          <w:sz w:val="32"/>
          <w:szCs w:val="32"/>
        </w:rPr>
        <w:t>就业服务及档案管理项目</w:t>
      </w:r>
      <w:r>
        <w:rPr>
          <w:rFonts w:hint="eastAsia" w:cs="黑体" w:asciiTheme="minorEastAsia" w:hAnsiTheme="minorEastAsia"/>
          <w:color w:val="000000"/>
          <w:kern w:val="0"/>
          <w:sz w:val="32"/>
          <w:szCs w:val="32"/>
        </w:rPr>
        <w:t>绩效自评综述：年初预算</w:t>
      </w:r>
      <w:r>
        <w:rPr>
          <w:rFonts w:hint="eastAsia" w:cs="黑体" w:asciiTheme="minorEastAsia" w:hAnsiTheme="minorEastAsia" w:eastAsiaTheme="minorEastAsia"/>
          <w:color w:val="000000"/>
          <w:kern w:val="0"/>
          <w:sz w:val="32"/>
          <w:szCs w:val="32"/>
        </w:rPr>
        <w:t>金额80万元，实际支出77.57万元，主要用于流动人员、退休人员档案管理及数字化工作开支。</w:t>
      </w:r>
      <w:r>
        <w:rPr>
          <w:rFonts w:hint="eastAsia" w:cs="黑体" w:asciiTheme="minorEastAsia" w:hAnsiTheme="minorEastAsia"/>
          <w:kern w:val="0"/>
          <w:sz w:val="32"/>
          <w:szCs w:val="32"/>
        </w:rPr>
        <w:t>发现的主要问题及原因：无。下一步改进措施：无。</w:t>
      </w:r>
    </w:p>
    <w:p w14:paraId="28E77EC7">
      <w:pPr>
        <w:pStyle w:val="7"/>
        <w:autoSpaceDE w:val="0"/>
        <w:autoSpaceDN w:val="0"/>
        <w:adjustRightInd w:val="0"/>
        <w:spacing w:line="570" w:lineRule="exact"/>
        <w:ind w:firstLine="640" w:firstLineChars="200"/>
        <w:rPr>
          <w:rFonts w:hint="eastAsia" w:cs="黑体" w:asciiTheme="minorEastAsia" w:hAnsiTheme="minorEastAsia" w:eastAsiaTheme="minorEastAsia"/>
          <w:color w:val="000000"/>
          <w:kern w:val="0"/>
          <w:sz w:val="32"/>
          <w:szCs w:val="32"/>
        </w:rPr>
      </w:pPr>
      <w:r>
        <w:rPr>
          <w:rFonts w:hint="eastAsia" w:cs="黑体" w:asciiTheme="minorEastAsia" w:hAnsiTheme="minorEastAsia" w:eastAsiaTheme="minorEastAsia"/>
          <w:color w:val="000000"/>
          <w:kern w:val="0"/>
          <w:sz w:val="32"/>
          <w:szCs w:val="32"/>
        </w:rPr>
        <w:t>业务性专项经费项目</w:t>
      </w:r>
      <w:r>
        <w:rPr>
          <w:rFonts w:hint="eastAsia" w:cs="黑体" w:asciiTheme="minorEastAsia" w:hAnsiTheme="minorEastAsia"/>
          <w:color w:val="000000"/>
          <w:kern w:val="0"/>
          <w:sz w:val="32"/>
          <w:szCs w:val="32"/>
        </w:rPr>
        <w:t>绩效自评综述：</w:t>
      </w:r>
      <w:r>
        <w:rPr>
          <w:rFonts w:hint="eastAsia" w:cs="黑体" w:asciiTheme="minorEastAsia" w:hAnsiTheme="minorEastAsia" w:eastAsiaTheme="minorEastAsia"/>
          <w:color w:val="000000"/>
          <w:kern w:val="0"/>
          <w:sz w:val="32"/>
          <w:szCs w:val="32"/>
        </w:rPr>
        <w:t>18万元，实际支出24.43万元。主要用于各项业务活动开支。</w:t>
      </w:r>
      <w:r>
        <w:rPr>
          <w:rFonts w:hint="eastAsia" w:cs="黑体" w:asciiTheme="minorEastAsia" w:hAnsiTheme="minorEastAsia"/>
          <w:kern w:val="0"/>
          <w:sz w:val="32"/>
          <w:szCs w:val="32"/>
        </w:rPr>
        <w:t>发现的主要问题及原因：无。下一步改进措施：无。</w:t>
      </w:r>
    </w:p>
    <w:p w14:paraId="72E4A994">
      <w:pPr>
        <w:pStyle w:val="7"/>
        <w:autoSpaceDE w:val="0"/>
        <w:autoSpaceDN w:val="0"/>
        <w:adjustRightInd w:val="0"/>
        <w:spacing w:line="570" w:lineRule="exact"/>
        <w:ind w:firstLine="640" w:firstLineChars="200"/>
        <w:rPr>
          <w:rFonts w:hint="eastAsia" w:cs="黑体" w:asciiTheme="minorEastAsia" w:hAnsiTheme="minorEastAsia" w:eastAsiaTheme="minorEastAsia"/>
          <w:color w:val="000000"/>
          <w:kern w:val="0"/>
          <w:sz w:val="32"/>
          <w:szCs w:val="32"/>
        </w:rPr>
      </w:pPr>
      <w:r>
        <w:rPr>
          <w:rFonts w:hint="eastAsia" w:cs="黑体" w:asciiTheme="minorEastAsia" w:hAnsiTheme="minorEastAsia" w:eastAsiaTheme="minorEastAsia"/>
          <w:color w:val="000000"/>
          <w:kern w:val="0"/>
          <w:sz w:val="32"/>
          <w:szCs w:val="32"/>
        </w:rPr>
        <w:t>年中追加项目“就业补助”项目金额1162.73万元，实际支出1162.73万元。主要用于就业培训、困难人员就业保障、灵活就业人员补贴、公益性岗位补贴、见习补贴等就业开支。</w:t>
      </w:r>
    </w:p>
    <w:p w14:paraId="15349C8C">
      <w:pPr>
        <w:pStyle w:val="7"/>
        <w:autoSpaceDE w:val="0"/>
        <w:autoSpaceDN w:val="0"/>
        <w:adjustRightInd w:val="0"/>
        <w:spacing w:line="570" w:lineRule="exact"/>
        <w:ind w:firstLine="640" w:firstLineChars="200"/>
        <w:rPr>
          <w:rFonts w:hint="eastAsia" w:cs="黑体" w:asciiTheme="minorEastAsia" w:hAnsiTheme="minorEastAsia" w:eastAsiaTheme="minorEastAsia"/>
          <w:color w:val="000000"/>
          <w:kern w:val="0"/>
          <w:sz w:val="32"/>
          <w:szCs w:val="32"/>
        </w:rPr>
      </w:pPr>
      <w:r>
        <w:rPr>
          <w:rFonts w:hint="eastAsia" w:cs="黑体" w:asciiTheme="minorEastAsia" w:hAnsiTheme="minorEastAsia" w:eastAsiaTheme="minorEastAsia"/>
          <w:color w:val="000000"/>
          <w:kern w:val="0"/>
          <w:sz w:val="32"/>
          <w:szCs w:val="32"/>
        </w:rPr>
        <w:t>年中追加项目“养老保险待遇核查回头看相关经费”13.5万元，实际支出13.5万元，主要用于待遇统筹核查、委托第三方经费、软硬件设施设备、走村入户经费、协调领导小组、街道、社区（村）、社保经办机构等工作经费。</w:t>
      </w:r>
    </w:p>
    <w:p w14:paraId="1D33DEF6">
      <w:pPr>
        <w:pStyle w:val="7"/>
        <w:autoSpaceDE w:val="0"/>
        <w:autoSpaceDN w:val="0"/>
        <w:adjustRightInd w:val="0"/>
        <w:spacing w:line="570" w:lineRule="exact"/>
        <w:ind w:firstLine="640" w:firstLineChars="200"/>
        <w:rPr>
          <w:rFonts w:hint="eastAsia" w:cs="黑体" w:asciiTheme="minorEastAsia" w:hAnsiTheme="minorEastAsia" w:eastAsiaTheme="minorEastAsia"/>
          <w:color w:val="000000"/>
          <w:kern w:val="0"/>
          <w:sz w:val="32"/>
          <w:szCs w:val="32"/>
        </w:rPr>
      </w:pPr>
      <w:r>
        <w:rPr>
          <w:rFonts w:hint="eastAsia" w:cs="黑体" w:asciiTheme="minorEastAsia" w:hAnsiTheme="minorEastAsia" w:eastAsiaTheme="minorEastAsia"/>
          <w:color w:val="000000"/>
          <w:kern w:val="0"/>
          <w:sz w:val="32"/>
          <w:szCs w:val="32"/>
        </w:rPr>
        <w:t>年中追加项目“人才奖补资金”158.5万元，实际支出158.5万元，主要用于引进人才安家补贴支出。</w:t>
      </w:r>
    </w:p>
    <w:p w14:paraId="4A98AA58">
      <w:pPr>
        <w:pStyle w:val="7"/>
        <w:autoSpaceDE w:val="0"/>
        <w:autoSpaceDN w:val="0"/>
        <w:adjustRightInd w:val="0"/>
        <w:spacing w:line="570" w:lineRule="exact"/>
        <w:ind w:firstLine="640" w:firstLineChars="200"/>
        <w:rPr>
          <w:rFonts w:hint="eastAsia" w:cs="黑体" w:asciiTheme="minorEastAsia" w:hAnsiTheme="minorEastAsia" w:eastAsiaTheme="minorEastAsia"/>
          <w:color w:val="000000"/>
          <w:kern w:val="0"/>
          <w:sz w:val="32"/>
          <w:szCs w:val="32"/>
        </w:rPr>
      </w:pPr>
      <w:r>
        <w:rPr>
          <w:rFonts w:hint="eastAsia" w:cs="黑体" w:asciiTheme="minorEastAsia" w:hAnsiTheme="minorEastAsia" w:eastAsiaTheme="minorEastAsia"/>
          <w:color w:val="000000"/>
          <w:kern w:val="0"/>
          <w:sz w:val="32"/>
          <w:szCs w:val="32"/>
        </w:rPr>
        <w:t>年中追加项目“公开招考经费”20.64万元，实际支出20.64万元，主要用于公开招考相关经费支出。</w:t>
      </w:r>
    </w:p>
    <w:p w14:paraId="55D16153">
      <w:pPr>
        <w:pStyle w:val="7"/>
        <w:autoSpaceDE w:val="0"/>
        <w:autoSpaceDN w:val="0"/>
        <w:adjustRightInd w:val="0"/>
        <w:spacing w:line="570" w:lineRule="exact"/>
        <w:ind w:firstLine="640" w:firstLineChars="200"/>
        <w:rPr>
          <w:rFonts w:cs="黑体" w:asciiTheme="minorEastAsia" w:hAnsiTheme="minorEastAsia" w:eastAsiaTheme="minorEastAsia"/>
          <w:color w:val="000000"/>
          <w:kern w:val="0"/>
          <w:sz w:val="32"/>
          <w:szCs w:val="32"/>
        </w:rPr>
      </w:pPr>
      <w:r>
        <w:rPr>
          <w:rFonts w:hint="eastAsia" w:cs="黑体" w:asciiTheme="minorEastAsia" w:hAnsiTheme="minorEastAsia" w:eastAsiaTheme="minorEastAsia"/>
          <w:color w:val="000000"/>
          <w:kern w:val="0"/>
          <w:sz w:val="32"/>
          <w:szCs w:val="32"/>
        </w:rPr>
        <w:t>年中追加项目“就业资金（巧匠）”5.13万元，实际支出5.13万元，为市级拨款代发就业资金。</w:t>
      </w:r>
    </w:p>
    <w:p w14:paraId="20285EA8">
      <w:pPr>
        <w:pStyle w:val="7"/>
        <w:autoSpaceDE w:val="0"/>
        <w:autoSpaceDN w:val="0"/>
        <w:adjustRightInd w:val="0"/>
        <w:spacing w:line="570" w:lineRule="exact"/>
        <w:ind w:firstLine="640" w:firstLineChars="200"/>
        <w:rPr>
          <w:rFonts w:ascii="Times New Roman" w:hAnsi="Times New Roman" w:cs="Times New Roman"/>
          <w:sz w:val="32"/>
          <w:szCs w:val="32"/>
        </w:rPr>
      </w:pPr>
      <w:r>
        <w:rPr>
          <w:rFonts w:ascii="Times New Roman" w:hAnsi="Times New Roman" w:eastAsia="黑体" w:cs="Times New Roman"/>
          <w:color w:val="000000"/>
          <w:kern w:val="0"/>
          <w:sz w:val="32"/>
          <w:szCs w:val="32"/>
        </w:rPr>
        <w:t>十五、其他重要事项情况说明</w:t>
      </w:r>
    </w:p>
    <w:p w14:paraId="3B5572E7">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本单位没有独立网站，因此只在株洲市石峰区区政府门户网财政预决算和三公经费公开专栏中公开。</w:t>
      </w:r>
    </w:p>
    <w:p w14:paraId="63B6C773">
      <w:pPr>
        <w:pStyle w:val="16"/>
        <w:jc w:val="both"/>
        <w:rPr>
          <w:rFonts w:ascii="Times New Roman" w:hAnsi="Times New Roman" w:cs="Times New Roman"/>
          <w:sz w:val="84"/>
          <w:szCs w:val="84"/>
        </w:rPr>
      </w:pPr>
    </w:p>
    <w:p w14:paraId="49929439">
      <w:pPr>
        <w:pStyle w:val="16"/>
        <w:jc w:val="both"/>
        <w:rPr>
          <w:rFonts w:ascii="Times New Roman" w:hAnsi="Times New Roman" w:cs="Times New Roman"/>
          <w:sz w:val="84"/>
          <w:szCs w:val="84"/>
        </w:rPr>
      </w:pPr>
    </w:p>
    <w:p w14:paraId="2E215532">
      <w:pPr>
        <w:pStyle w:val="16"/>
        <w:jc w:val="both"/>
        <w:rPr>
          <w:rFonts w:ascii="Times New Roman" w:hAnsi="Times New Roman" w:cs="Times New Roman"/>
          <w:sz w:val="84"/>
          <w:szCs w:val="84"/>
        </w:rPr>
      </w:pPr>
    </w:p>
    <w:p w14:paraId="4FB6FEB4">
      <w:pPr>
        <w:pStyle w:val="16"/>
        <w:jc w:val="both"/>
        <w:rPr>
          <w:rFonts w:ascii="Times New Roman" w:hAnsi="Times New Roman" w:cs="Times New Roman"/>
          <w:sz w:val="84"/>
          <w:szCs w:val="84"/>
        </w:rPr>
      </w:pPr>
    </w:p>
    <w:p w14:paraId="22F1A595">
      <w:pPr>
        <w:pStyle w:val="16"/>
        <w:jc w:val="center"/>
        <w:rPr>
          <w:rFonts w:ascii="Times New Roman" w:hAnsi="Times New Roman" w:eastAsia="方正小标宋简体" w:cs="Times New Roman"/>
          <w:sz w:val="76"/>
          <w:szCs w:val="76"/>
        </w:rPr>
      </w:pPr>
      <w:r>
        <w:rPr>
          <w:rFonts w:ascii="Times New Roman" w:hAnsi="Times New Roman" w:eastAsia="方正小标宋简体" w:cs="Times New Roman"/>
          <w:sz w:val="76"/>
          <w:szCs w:val="76"/>
        </w:rPr>
        <w:t>第四部分</w:t>
      </w:r>
    </w:p>
    <w:p w14:paraId="78EE061D">
      <w:pPr>
        <w:pStyle w:val="16"/>
        <w:jc w:val="center"/>
        <w:rPr>
          <w:rFonts w:ascii="Times New Roman" w:hAnsi="Times New Roman" w:eastAsia="方正小标宋简体" w:cs="Times New Roman"/>
          <w:sz w:val="76"/>
          <w:szCs w:val="76"/>
        </w:rPr>
      </w:pPr>
    </w:p>
    <w:p w14:paraId="6FFE3E0B">
      <w:pPr>
        <w:pStyle w:val="16"/>
        <w:jc w:val="center"/>
        <w:rPr>
          <w:rFonts w:ascii="Times New Roman" w:hAnsi="Times New Roman" w:eastAsia="方正小标宋简体" w:cs="Times New Roman"/>
          <w:sz w:val="76"/>
          <w:szCs w:val="76"/>
        </w:rPr>
      </w:pPr>
      <w:r>
        <w:rPr>
          <w:rFonts w:ascii="Times New Roman" w:hAnsi="Times New Roman" w:eastAsia="方正小标宋简体" w:cs="Times New Roman"/>
          <w:sz w:val="76"/>
          <w:szCs w:val="76"/>
        </w:rPr>
        <w:t>名词解释</w:t>
      </w:r>
    </w:p>
    <w:p w14:paraId="6705DAF4">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方正小标宋简体" w:cs="Times New Roman"/>
          <w:sz w:val="32"/>
          <w:szCs w:val="32"/>
        </w:rPr>
        <w:br w:type="page"/>
      </w:r>
      <w:r>
        <w:rPr>
          <w:rFonts w:ascii="Times New Roman" w:hAnsi="Times New Roman" w:eastAsia="黑体" w:cs="Times New Roman"/>
          <w:color w:val="000000"/>
          <w:kern w:val="0"/>
          <w:sz w:val="32"/>
          <w:szCs w:val="32"/>
        </w:rPr>
        <w:t>一、财政拨款收入：</w:t>
      </w:r>
      <w:r>
        <w:rPr>
          <w:rFonts w:ascii="Times New Roman" w:hAnsi="Times New Roman" w:eastAsia="仿宋_GB2312" w:cs="Times New Roman"/>
          <w:color w:val="000000"/>
          <w:kern w:val="0"/>
          <w:sz w:val="32"/>
          <w:szCs w:val="32"/>
        </w:rPr>
        <w:t>指单位从同级财政部门取得的财政预算资金。</w:t>
      </w:r>
    </w:p>
    <w:p w14:paraId="1F4DDCF7">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二、事业收入：</w:t>
      </w:r>
      <w:r>
        <w:rPr>
          <w:rFonts w:ascii="Times New Roman" w:hAnsi="Times New Roman" w:eastAsia="仿宋_GB2312" w:cs="Times New Roman"/>
          <w:color w:val="000000"/>
          <w:kern w:val="0"/>
          <w:sz w:val="32"/>
          <w:szCs w:val="32"/>
        </w:rPr>
        <w:t>指事业单位开展专业业务活动及辅助活动取得的收入。</w:t>
      </w:r>
    </w:p>
    <w:p w14:paraId="614CD344">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三、经营收入：</w:t>
      </w:r>
      <w:r>
        <w:rPr>
          <w:rFonts w:ascii="Times New Roman" w:hAnsi="Times New Roman" w:eastAsia="仿宋_GB2312" w:cs="Times New Roman"/>
          <w:color w:val="000000"/>
          <w:kern w:val="0"/>
          <w:sz w:val="32"/>
          <w:szCs w:val="32"/>
        </w:rPr>
        <w:t>指事业单位在专业业务活动及其辅助活动之外开展非独立核算经营活动取得的收入。</w:t>
      </w:r>
    </w:p>
    <w:p w14:paraId="4E0C6A3D">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四、其他收入：</w:t>
      </w:r>
      <w:r>
        <w:rPr>
          <w:rFonts w:ascii="Times New Roman" w:hAnsi="Times New Roman" w:eastAsia="仿宋_GB2312" w:cs="Times New Roman"/>
          <w:color w:val="000000"/>
          <w:kern w:val="0"/>
          <w:sz w:val="32"/>
          <w:szCs w:val="32"/>
        </w:rPr>
        <w:t>指单位取得的除上述收入以外的各项收入。</w:t>
      </w:r>
    </w:p>
    <w:p w14:paraId="61D6F0F9">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五、用事业基金弥补收支差额：</w:t>
      </w:r>
      <w:r>
        <w:rPr>
          <w:rFonts w:ascii="Times New Roman" w:hAnsi="Times New Roman" w:eastAsia="仿宋_GB2312" w:cs="Times New Roman"/>
          <w:color w:val="000000"/>
          <w:kern w:val="0"/>
          <w:sz w:val="32"/>
          <w:szCs w:val="32"/>
        </w:rPr>
        <w:t>指事业单位在当年的财政拨款收入、事业收入、其他收入不足以安排当年支出的情况下，使用以前年度积累的事业基金（事业单位当年收支相抵后按国家规定提取、用于弥补以后年度收支差额的基金）弥补本年度收支缺口的资金。</w:t>
      </w:r>
    </w:p>
    <w:p w14:paraId="04354928">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六、年初结转和结余：</w:t>
      </w:r>
      <w:r>
        <w:rPr>
          <w:rFonts w:ascii="Times New Roman" w:hAnsi="Times New Roman" w:eastAsia="仿宋_GB2312" w:cs="Times New Roman"/>
          <w:color w:val="000000"/>
          <w:kern w:val="0"/>
          <w:sz w:val="32"/>
          <w:szCs w:val="32"/>
        </w:rPr>
        <w:t>指单位以前年度尚未完成、结转到本年按有关规定继续使用的资金。</w:t>
      </w:r>
    </w:p>
    <w:p w14:paraId="57EE3316">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七、“三公经费”支出：</w:t>
      </w:r>
      <w:r>
        <w:rPr>
          <w:rFonts w:ascii="Times New Roman" w:hAnsi="Times New Roman" w:eastAsia="仿宋_GB2312" w:cs="Times New Roman"/>
          <w:color w:val="000000"/>
          <w:kern w:val="0"/>
          <w:sz w:val="32"/>
          <w:szCs w:val="32"/>
        </w:rPr>
        <w:t>指通过财政拨款资金安排的因公出国（境）费、公务用车购置及运行费和公务接待费支出。</w:t>
      </w:r>
    </w:p>
    <w:p w14:paraId="19B8A5D3">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八、机关运行经费：</w:t>
      </w:r>
      <w:r>
        <w:rPr>
          <w:rFonts w:ascii="Times New Roman" w:hAnsi="Times New Roman" w:eastAsia="仿宋_GB2312" w:cs="Times New Roman"/>
          <w:color w:val="000000"/>
          <w:kern w:val="0"/>
          <w:sz w:val="32"/>
          <w:szCs w:val="32"/>
        </w:rPr>
        <w:t>为保障行政单位（含参照公务员法管理的事业单位）运行用于购买货物和服务的各项资金，包括办公费、印刷费、咨询费、手续费、水费、电费、邮电费、取暖费、物业管理费、差旅费、因公出国（境）费、维修（护）费、租赁费、会议费、培训费、公务接待费、专用材料费、劳务费、委托业务费、工会经费、福利费、公务用车运行维护费以及其他费用等。</w:t>
      </w:r>
    </w:p>
    <w:p w14:paraId="759544BC">
      <w:pPr>
        <w:pStyle w:val="16"/>
        <w:jc w:val="both"/>
        <w:rPr>
          <w:rFonts w:ascii="Times New Roman" w:hAnsi="Times New Roman" w:cs="Times New Roman"/>
          <w:sz w:val="72"/>
          <w:szCs w:val="72"/>
        </w:rPr>
      </w:pPr>
    </w:p>
    <w:p w14:paraId="10258A4D">
      <w:pPr>
        <w:pStyle w:val="16"/>
        <w:jc w:val="both"/>
        <w:rPr>
          <w:rFonts w:ascii="Times New Roman" w:hAnsi="Times New Roman" w:cs="Times New Roman"/>
          <w:sz w:val="84"/>
          <w:szCs w:val="84"/>
        </w:rPr>
      </w:pPr>
    </w:p>
    <w:p w14:paraId="40894B82">
      <w:pPr>
        <w:pStyle w:val="16"/>
        <w:jc w:val="both"/>
        <w:rPr>
          <w:rFonts w:ascii="Times New Roman" w:hAnsi="Times New Roman" w:cs="Times New Roman"/>
          <w:sz w:val="84"/>
          <w:szCs w:val="84"/>
        </w:rPr>
      </w:pPr>
    </w:p>
    <w:p w14:paraId="35DA5FE5">
      <w:pPr>
        <w:pStyle w:val="16"/>
        <w:jc w:val="center"/>
        <w:rPr>
          <w:rFonts w:ascii="Times New Roman" w:hAnsi="Times New Roman" w:eastAsia="方正小标宋简体" w:cs="Times New Roman"/>
          <w:sz w:val="56"/>
          <w:szCs w:val="56"/>
        </w:rPr>
      </w:pPr>
      <w:r>
        <w:rPr>
          <w:rFonts w:ascii="Times New Roman" w:hAnsi="Times New Roman" w:eastAsia="方正小标宋简体" w:cs="Times New Roman"/>
          <w:sz w:val="56"/>
          <w:szCs w:val="56"/>
        </w:rPr>
        <w:t>第五部分</w:t>
      </w:r>
    </w:p>
    <w:p w14:paraId="1BD25FC2">
      <w:pPr>
        <w:pStyle w:val="16"/>
        <w:jc w:val="center"/>
        <w:rPr>
          <w:rFonts w:ascii="Times New Roman" w:hAnsi="Times New Roman" w:eastAsia="方正小标宋简体" w:cs="Times New Roman"/>
          <w:sz w:val="56"/>
          <w:szCs w:val="56"/>
        </w:rPr>
      </w:pPr>
    </w:p>
    <w:p w14:paraId="2C096426">
      <w:pPr>
        <w:pStyle w:val="16"/>
        <w:jc w:val="center"/>
        <w:rPr>
          <w:rFonts w:ascii="Times New Roman" w:hAnsi="Times New Roman" w:eastAsia="方正小标宋简体" w:cs="Times New Roman"/>
          <w:sz w:val="56"/>
          <w:szCs w:val="56"/>
        </w:rPr>
      </w:pPr>
      <w:r>
        <w:rPr>
          <w:rFonts w:ascii="Times New Roman" w:hAnsi="Times New Roman" w:eastAsia="方正小标宋简体" w:cs="Times New Roman"/>
          <w:sz w:val="56"/>
          <w:szCs w:val="56"/>
        </w:rPr>
        <w:t>附  件</w:t>
      </w:r>
    </w:p>
    <w:p w14:paraId="67DDA0FF">
      <w:pPr>
        <w:pStyle w:val="16"/>
        <w:spacing w:line="596" w:lineRule="exact"/>
        <w:jc w:val="center"/>
        <w:rPr>
          <w:rFonts w:ascii="Times New Roman" w:hAnsi="Times New Roman" w:eastAsia="方正小标宋简体" w:cs="Times New Roman"/>
          <w:sz w:val="76"/>
          <w:szCs w:val="76"/>
        </w:rPr>
      </w:pPr>
      <w:r>
        <w:rPr>
          <w:rFonts w:ascii="Times New Roman" w:hAnsi="Times New Roman" w:eastAsia="方正小标宋简体" w:cs="Times New Roman"/>
          <w:sz w:val="76"/>
          <w:szCs w:val="76"/>
        </w:rPr>
        <w:br w:type="page"/>
      </w:r>
    </w:p>
    <w:p w14:paraId="5FF62923">
      <w:pPr>
        <w:pStyle w:val="16"/>
        <w:spacing w:line="596"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202</w:t>
      </w:r>
      <w:r>
        <w:rPr>
          <w:rFonts w:hint="eastAsia" w:ascii="Times New Roman" w:hAnsi="Times New Roman" w:eastAsia="方正小标宋简体" w:cs="Times New Roman"/>
          <w:sz w:val="44"/>
          <w:szCs w:val="44"/>
        </w:rPr>
        <w:t>3</w:t>
      </w:r>
      <w:r>
        <w:rPr>
          <w:rFonts w:ascii="Times New Roman" w:hAnsi="Times New Roman" w:eastAsia="方正小标宋简体" w:cs="Times New Roman"/>
          <w:sz w:val="44"/>
          <w:szCs w:val="44"/>
        </w:rPr>
        <w:t>年度部门整体支出绩效</w:t>
      </w:r>
      <w:r>
        <w:rPr>
          <w:rFonts w:hint="eastAsia" w:ascii="Times New Roman" w:hAnsi="Times New Roman" w:eastAsia="方正小标宋简体" w:cs="Times New Roman"/>
          <w:sz w:val="44"/>
          <w:szCs w:val="44"/>
        </w:rPr>
        <w:t>自评报告</w:t>
      </w:r>
    </w:p>
    <w:p w14:paraId="6A701544">
      <w:pPr>
        <w:pStyle w:val="16"/>
        <w:spacing w:line="596" w:lineRule="exact"/>
        <w:jc w:val="center"/>
        <w:rPr>
          <w:rFonts w:ascii="Times New Roman" w:hAnsi="Times New Roman" w:eastAsia="方正小标宋简体" w:cs="Times New Roman"/>
          <w:sz w:val="32"/>
          <w:szCs w:val="32"/>
        </w:rPr>
      </w:pPr>
    </w:p>
    <w:p w14:paraId="26ECDFFD">
      <w:pPr>
        <w:pStyle w:val="16"/>
        <w:spacing w:line="596" w:lineRule="exact"/>
        <w:jc w:val="center"/>
        <w:rPr>
          <w:rFonts w:ascii="Times New Roman" w:hAnsi="Times New Roman" w:eastAsia="仿宋_GB2312" w:cs="Times New Roman"/>
          <w:sz w:val="28"/>
          <w:szCs w:val="28"/>
        </w:rPr>
      </w:pP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详</w:t>
      </w:r>
      <w:r>
        <w:rPr>
          <w:rFonts w:ascii="Times New Roman" w:hAnsi="Times New Roman" w:eastAsia="仿宋_GB2312" w:cs="Times New Roman"/>
          <w:sz w:val="32"/>
          <w:szCs w:val="32"/>
        </w:rPr>
        <w:t>见附件</w:t>
      </w: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w:t>
      </w:r>
    </w:p>
    <w:sectPr>
      <w:pgSz w:w="11906" w:h="16838"/>
      <w:pgMar w:top="1984" w:right="1531" w:bottom="1701" w:left="1531" w:header="851" w:footer="1191"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BC4B97">
    <w:pPr>
      <w:pStyle w:val="5"/>
      <w:rPr>
        <w:rFonts w:cs="Times New Roman"/>
      </w:rP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BFCBBDA">
                          <w:pPr>
                            <w:pStyle w:val="5"/>
                            <w:rPr>
                              <w:rFonts w:ascii="宋体" w:cs="Times New Roman"/>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11</w:t>
                          </w:r>
                          <w:r>
                            <w:rPr>
                              <w:rFonts w:ascii="宋体" w:hAnsi="宋体" w:cs="宋体"/>
                              <w:sz w:val="28"/>
                              <w:szCs w:val="28"/>
                            </w:rPr>
                            <w:fldChar w:fldCharType="end"/>
                          </w:r>
                          <w:r>
                            <w:rPr>
                              <w:rFonts w:ascii="宋体" w:hAnsi="宋体" w:cs="宋体"/>
                              <w:sz w:val="28"/>
                              <w:szCs w:val="28"/>
                            </w:rPr>
                            <w:t xml:space="preserve"> —</w:t>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DZoPcHzwEAAKoDAAAOAAAAAAAAAAEAIAAAAB4BAABkcnMv&#10;ZTJvRG9jLnhtbFBLBQYAAAAABgAGAFkBAABfBQAAAAA=&#10;">
              <v:fill on="f" focussize="0,0"/>
              <v:stroke on="f"/>
              <v:imagedata o:title=""/>
              <o:lock v:ext="edit" aspectratio="f"/>
              <v:textbox inset="0mm,0mm,0mm,0mm" style="mso-fit-shape-to-text:t;">
                <w:txbxContent>
                  <w:p w14:paraId="7BFCBBDA">
                    <w:pPr>
                      <w:pStyle w:val="5"/>
                      <w:rPr>
                        <w:rFonts w:ascii="宋体" w:cs="Times New Roman"/>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11</w:t>
                    </w:r>
                    <w:r>
                      <w:rPr>
                        <w:rFonts w:ascii="宋体" w:hAnsi="宋体" w:cs="宋体"/>
                        <w:sz w:val="28"/>
                        <w:szCs w:val="28"/>
                      </w:rPr>
                      <w:fldChar w:fldCharType="end"/>
                    </w:r>
                    <w:r>
                      <w:rPr>
                        <w:rFonts w:ascii="宋体" w:hAnsi="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CF7CC2"/>
    <w:multiLevelType w:val="multilevel"/>
    <w:tmpl w:val="05CF7CC2"/>
    <w:lvl w:ilvl="0" w:tentative="0">
      <w:start w:val="1"/>
      <w:numFmt w:val="japaneseCounting"/>
      <w:lvlText w:val="（%1）"/>
      <w:lvlJc w:val="left"/>
      <w:pPr>
        <w:ind w:left="1723" w:hanging="1080"/>
      </w:pPr>
      <w:rPr>
        <w:rFonts w:hint="default"/>
      </w:rPr>
    </w:lvl>
    <w:lvl w:ilvl="1" w:tentative="0">
      <w:start w:val="1"/>
      <w:numFmt w:val="lowerLetter"/>
      <w:lvlText w:val="%2)"/>
      <w:lvlJc w:val="left"/>
      <w:pPr>
        <w:ind w:left="1483" w:hanging="420"/>
      </w:pPr>
    </w:lvl>
    <w:lvl w:ilvl="2" w:tentative="0">
      <w:start w:val="1"/>
      <w:numFmt w:val="lowerRoman"/>
      <w:lvlText w:val="%3."/>
      <w:lvlJc w:val="right"/>
      <w:pPr>
        <w:ind w:left="1903" w:hanging="420"/>
      </w:pPr>
    </w:lvl>
    <w:lvl w:ilvl="3" w:tentative="0">
      <w:start w:val="1"/>
      <w:numFmt w:val="decimal"/>
      <w:lvlText w:val="%4."/>
      <w:lvlJc w:val="left"/>
      <w:pPr>
        <w:ind w:left="2323" w:hanging="420"/>
      </w:pPr>
    </w:lvl>
    <w:lvl w:ilvl="4" w:tentative="0">
      <w:start w:val="1"/>
      <w:numFmt w:val="lowerLetter"/>
      <w:lvlText w:val="%5)"/>
      <w:lvlJc w:val="left"/>
      <w:pPr>
        <w:ind w:left="2743" w:hanging="420"/>
      </w:pPr>
    </w:lvl>
    <w:lvl w:ilvl="5" w:tentative="0">
      <w:start w:val="1"/>
      <w:numFmt w:val="lowerRoman"/>
      <w:lvlText w:val="%6."/>
      <w:lvlJc w:val="right"/>
      <w:pPr>
        <w:ind w:left="3163" w:hanging="420"/>
      </w:pPr>
    </w:lvl>
    <w:lvl w:ilvl="6" w:tentative="0">
      <w:start w:val="1"/>
      <w:numFmt w:val="decimal"/>
      <w:lvlText w:val="%7."/>
      <w:lvlJc w:val="left"/>
      <w:pPr>
        <w:ind w:left="3583" w:hanging="420"/>
      </w:pPr>
    </w:lvl>
    <w:lvl w:ilvl="7" w:tentative="0">
      <w:start w:val="1"/>
      <w:numFmt w:val="lowerLetter"/>
      <w:lvlText w:val="%8)"/>
      <w:lvlJc w:val="left"/>
      <w:pPr>
        <w:ind w:left="4003" w:hanging="420"/>
      </w:pPr>
    </w:lvl>
    <w:lvl w:ilvl="8" w:tentative="0">
      <w:start w:val="1"/>
      <w:numFmt w:val="lowerRoman"/>
      <w:lvlText w:val="%9."/>
      <w:lvlJc w:val="right"/>
      <w:pPr>
        <w:ind w:left="4423" w:hanging="420"/>
      </w:pPr>
    </w:lvl>
  </w:abstractNum>
  <w:abstractNum w:abstractNumId="1">
    <w:nsid w:val="07EB71D0"/>
    <w:multiLevelType w:val="multilevel"/>
    <w:tmpl w:val="07EB71D0"/>
    <w:lvl w:ilvl="0" w:tentative="0">
      <w:start w:val="1"/>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2">
    <w:nsid w:val="5DE3FC54"/>
    <w:multiLevelType w:val="singleLevel"/>
    <w:tmpl w:val="5DE3FC54"/>
    <w:lvl w:ilvl="0" w:tentative="0">
      <w:start w:val="2"/>
      <w:numFmt w:val="decimal"/>
      <w:suff w:val="nothing"/>
      <w:lvlText w:val="%1、"/>
      <w:lvlJc w:val="left"/>
    </w:lvl>
  </w:abstractNum>
  <w:abstractNum w:abstractNumId="3">
    <w:nsid w:val="78FE7441"/>
    <w:multiLevelType w:val="multilevel"/>
    <w:tmpl w:val="78FE7441"/>
    <w:lvl w:ilvl="0" w:tentative="0">
      <w:start w:val="1"/>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NotTrackMoves/>
  <w:documentProtection w:enforcement="0"/>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layout v:ext="edit">
      <o:idmap v:ext="edit" data="1"/>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Y4MTNiMzQ5ZmVkMTRjODU4M2Y0MTgwMzQwNTIyYmUifQ=="/>
  </w:docVars>
  <w:rsids>
    <w:rsidRoot w:val="004506F9"/>
    <w:rsid w:val="00005205"/>
    <w:rsid w:val="0002229B"/>
    <w:rsid w:val="00024881"/>
    <w:rsid w:val="000273BD"/>
    <w:rsid w:val="000326BD"/>
    <w:rsid w:val="000415B7"/>
    <w:rsid w:val="00041E3F"/>
    <w:rsid w:val="00047162"/>
    <w:rsid w:val="000528EA"/>
    <w:rsid w:val="00055DAA"/>
    <w:rsid w:val="00061F7B"/>
    <w:rsid w:val="000658A3"/>
    <w:rsid w:val="00074155"/>
    <w:rsid w:val="000873EF"/>
    <w:rsid w:val="000A3521"/>
    <w:rsid w:val="000A3F69"/>
    <w:rsid w:val="000B7087"/>
    <w:rsid w:val="000C263A"/>
    <w:rsid w:val="000D622D"/>
    <w:rsid w:val="000E2FED"/>
    <w:rsid w:val="000E4798"/>
    <w:rsid w:val="000E78BA"/>
    <w:rsid w:val="000E7A2C"/>
    <w:rsid w:val="000F7834"/>
    <w:rsid w:val="001010F1"/>
    <w:rsid w:val="00103957"/>
    <w:rsid w:val="001041C1"/>
    <w:rsid w:val="00120014"/>
    <w:rsid w:val="00120CBE"/>
    <w:rsid w:val="00124A1F"/>
    <w:rsid w:val="0014142C"/>
    <w:rsid w:val="00152C6D"/>
    <w:rsid w:val="00162D39"/>
    <w:rsid w:val="001678BD"/>
    <w:rsid w:val="00170E4E"/>
    <w:rsid w:val="00182373"/>
    <w:rsid w:val="001A67DB"/>
    <w:rsid w:val="001B2BE4"/>
    <w:rsid w:val="001C3C29"/>
    <w:rsid w:val="001D51E5"/>
    <w:rsid w:val="001E080D"/>
    <w:rsid w:val="001E53D0"/>
    <w:rsid w:val="001F0C3B"/>
    <w:rsid w:val="001F3A16"/>
    <w:rsid w:val="002019A2"/>
    <w:rsid w:val="00202C14"/>
    <w:rsid w:val="00202C82"/>
    <w:rsid w:val="00214427"/>
    <w:rsid w:val="00226CB7"/>
    <w:rsid w:val="0024329E"/>
    <w:rsid w:val="0024338B"/>
    <w:rsid w:val="00264552"/>
    <w:rsid w:val="00264EF9"/>
    <w:rsid w:val="00265724"/>
    <w:rsid w:val="00273A5E"/>
    <w:rsid w:val="0027426B"/>
    <w:rsid w:val="002E0A30"/>
    <w:rsid w:val="002E6A2A"/>
    <w:rsid w:val="002F51BE"/>
    <w:rsid w:val="002F5AA3"/>
    <w:rsid w:val="0030160C"/>
    <w:rsid w:val="0030641C"/>
    <w:rsid w:val="00307FBC"/>
    <w:rsid w:val="003130C4"/>
    <w:rsid w:val="00316C4B"/>
    <w:rsid w:val="0032192B"/>
    <w:rsid w:val="00324460"/>
    <w:rsid w:val="0033252A"/>
    <w:rsid w:val="003479BD"/>
    <w:rsid w:val="00353306"/>
    <w:rsid w:val="0037197D"/>
    <w:rsid w:val="003768D5"/>
    <w:rsid w:val="003914B6"/>
    <w:rsid w:val="003C4197"/>
    <w:rsid w:val="003C47E6"/>
    <w:rsid w:val="003C4FC2"/>
    <w:rsid w:val="003D1405"/>
    <w:rsid w:val="003E2331"/>
    <w:rsid w:val="003E6275"/>
    <w:rsid w:val="003E70B1"/>
    <w:rsid w:val="003F56A4"/>
    <w:rsid w:val="00416E61"/>
    <w:rsid w:val="00426B15"/>
    <w:rsid w:val="0042790C"/>
    <w:rsid w:val="0043290F"/>
    <w:rsid w:val="00433107"/>
    <w:rsid w:val="00444FDC"/>
    <w:rsid w:val="00447C5A"/>
    <w:rsid w:val="004506F9"/>
    <w:rsid w:val="004717A2"/>
    <w:rsid w:val="00473DF3"/>
    <w:rsid w:val="00487911"/>
    <w:rsid w:val="00487FE6"/>
    <w:rsid w:val="00491741"/>
    <w:rsid w:val="004B0CEE"/>
    <w:rsid w:val="004C518E"/>
    <w:rsid w:val="004F3A05"/>
    <w:rsid w:val="00500E5F"/>
    <w:rsid w:val="005122EF"/>
    <w:rsid w:val="0051441A"/>
    <w:rsid w:val="005161BE"/>
    <w:rsid w:val="00517C33"/>
    <w:rsid w:val="00517D5F"/>
    <w:rsid w:val="00521AF2"/>
    <w:rsid w:val="00523644"/>
    <w:rsid w:val="0054069E"/>
    <w:rsid w:val="0054289E"/>
    <w:rsid w:val="00544866"/>
    <w:rsid w:val="005767CC"/>
    <w:rsid w:val="005774C3"/>
    <w:rsid w:val="00590D9F"/>
    <w:rsid w:val="00595D26"/>
    <w:rsid w:val="005975E2"/>
    <w:rsid w:val="005A317E"/>
    <w:rsid w:val="005A74E6"/>
    <w:rsid w:val="005B404E"/>
    <w:rsid w:val="005B7582"/>
    <w:rsid w:val="005C12C8"/>
    <w:rsid w:val="005C5979"/>
    <w:rsid w:val="005D4D55"/>
    <w:rsid w:val="005E2CFB"/>
    <w:rsid w:val="005F2103"/>
    <w:rsid w:val="005F3D1C"/>
    <w:rsid w:val="00602320"/>
    <w:rsid w:val="006043C9"/>
    <w:rsid w:val="00612501"/>
    <w:rsid w:val="0062378F"/>
    <w:rsid w:val="00641842"/>
    <w:rsid w:val="00651EEC"/>
    <w:rsid w:val="00664B48"/>
    <w:rsid w:val="00686673"/>
    <w:rsid w:val="00691E8C"/>
    <w:rsid w:val="006A22C4"/>
    <w:rsid w:val="006A348B"/>
    <w:rsid w:val="006A351B"/>
    <w:rsid w:val="006B0422"/>
    <w:rsid w:val="006C1B53"/>
    <w:rsid w:val="006C6995"/>
    <w:rsid w:val="006D5E1B"/>
    <w:rsid w:val="006D7730"/>
    <w:rsid w:val="006E5284"/>
    <w:rsid w:val="006F3EB5"/>
    <w:rsid w:val="00702E34"/>
    <w:rsid w:val="00704395"/>
    <w:rsid w:val="00710FE7"/>
    <w:rsid w:val="00717621"/>
    <w:rsid w:val="00720FF1"/>
    <w:rsid w:val="00727A53"/>
    <w:rsid w:val="0073606A"/>
    <w:rsid w:val="00737E54"/>
    <w:rsid w:val="0074082B"/>
    <w:rsid w:val="00760BC6"/>
    <w:rsid w:val="00783A35"/>
    <w:rsid w:val="0078414A"/>
    <w:rsid w:val="00787B42"/>
    <w:rsid w:val="007C4539"/>
    <w:rsid w:val="007C6F0C"/>
    <w:rsid w:val="007E2D32"/>
    <w:rsid w:val="007F3657"/>
    <w:rsid w:val="008064EA"/>
    <w:rsid w:val="00812ED5"/>
    <w:rsid w:val="00817223"/>
    <w:rsid w:val="00824FDA"/>
    <w:rsid w:val="008277D9"/>
    <w:rsid w:val="0083322B"/>
    <w:rsid w:val="00833DBD"/>
    <w:rsid w:val="0084478C"/>
    <w:rsid w:val="00847892"/>
    <w:rsid w:val="0086638C"/>
    <w:rsid w:val="008878D0"/>
    <w:rsid w:val="008A0ABD"/>
    <w:rsid w:val="008A3E8D"/>
    <w:rsid w:val="008D0AEE"/>
    <w:rsid w:val="008E75DA"/>
    <w:rsid w:val="009237C4"/>
    <w:rsid w:val="00930D1C"/>
    <w:rsid w:val="00944C48"/>
    <w:rsid w:val="0094729A"/>
    <w:rsid w:val="00950252"/>
    <w:rsid w:val="0095291E"/>
    <w:rsid w:val="0096582A"/>
    <w:rsid w:val="00967F5D"/>
    <w:rsid w:val="009719DB"/>
    <w:rsid w:val="00975212"/>
    <w:rsid w:val="009761D9"/>
    <w:rsid w:val="00981AFE"/>
    <w:rsid w:val="009A0F95"/>
    <w:rsid w:val="009B2C29"/>
    <w:rsid w:val="009B3ADF"/>
    <w:rsid w:val="009B4BC7"/>
    <w:rsid w:val="009C3B52"/>
    <w:rsid w:val="009C4746"/>
    <w:rsid w:val="009C7ADE"/>
    <w:rsid w:val="009E5CA7"/>
    <w:rsid w:val="009E6817"/>
    <w:rsid w:val="009E6E9A"/>
    <w:rsid w:val="009F24E3"/>
    <w:rsid w:val="00A01D2B"/>
    <w:rsid w:val="00A12713"/>
    <w:rsid w:val="00A229EF"/>
    <w:rsid w:val="00A42218"/>
    <w:rsid w:val="00A57140"/>
    <w:rsid w:val="00A70249"/>
    <w:rsid w:val="00A70B02"/>
    <w:rsid w:val="00A71D9F"/>
    <w:rsid w:val="00A92E9F"/>
    <w:rsid w:val="00AB2EF8"/>
    <w:rsid w:val="00AB695A"/>
    <w:rsid w:val="00AD7F6B"/>
    <w:rsid w:val="00AF60C0"/>
    <w:rsid w:val="00B12AB3"/>
    <w:rsid w:val="00B13B87"/>
    <w:rsid w:val="00B17983"/>
    <w:rsid w:val="00B33BEA"/>
    <w:rsid w:val="00B57C9F"/>
    <w:rsid w:val="00B63572"/>
    <w:rsid w:val="00B845B3"/>
    <w:rsid w:val="00B85D8B"/>
    <w:rsid w:val="00B93B74"/>
    <w:rsid w:val="00BB4A40"/>
    <w:rsid w:val="00BC79C5"/>
    <w:rsid w:val="00BD47BA"/>
    <w:rsid w:val="00BD6C3E"/>
    <w:rsid w:val="00BE3674"/>
    <w:rsid w:val="00BE7140"/>
    <w:rsid w:val="00C05CF1"/>
    <w:rsid w:val="00C10681"/>
    <w:rsid w:val="00C16881"/>
    <w:rsid w:val="00C3049A"/>
    <w:rsid w:val="00C31B1E"/>
    <w:rsid w:val="00C34068"/>
    <w:rsid w:val="00C52CCA"/>
    <w:rsid w:val="00C5598E"/>
    <w:rsid w:val="00C62C50"/>
    <w:rsid w:val="00C77645"/>
    <w:rsid w:val="00C96DD2"/>
    <w:rsid w:val="00CE04C3"/>
    <w:rsid w:val="00CE76A0"/>
    <w:rsid w:val="00CF62EF"/>
    <w:rsid w:val="00CF7390"/>
    <w:rsid w:val="00D00952"/>
    <w:rsid w:val="00D055F6"/>
    <w:rsid w:val="00D148C6"/>
    <w:rsid w:val="00D17A8A"/>
    <w:rsid w:val="00D415BA"/>
    <w:rsid w:val="00D46BD7"/>
    <w:rsid w:val="00D52066"/>
    <w:rsid w:val="00D63780"/>
    <w:rsid w:val="00D63DDE"/>
    <w:rsid w:val="00D644EE"/>
    <w:rsid w:val="00D75489"/>
    <w:rsid w:val="00D855D0"/>
    <w:rsid w:val="00DD06FF"/>
    <w:rsid w:val="00DD5FE9"/>
    <w:rsid w:val="00DE4EB3"/>
    <w:rsid w:val="00E00C7A"/>
    <w:rsid w:val="00E13932"/>
    <w:rsid w:val="00E209CF"/>
    <w:rsid w:val="00E25314"/>
    <w:rsid w:val="00E37D6C"/>
    <w:rsid w:val="00E46354"/>
    <w:rsid w:val="00E467AF"/>
    <w:rsid w:val="00E55AC3"/>
    <w:rsid w:val="00E55B68"/>
    <w:rsid w:val="00E67BE6"/>
    <w:rsid w:val="00E819B2"/>
    <w:rsid w:val="00E8683C"/>
    <w:rsid w:val="00EA2B72"/>
    <w:rsid w:val="00EC4F00"/>
    <w:rsid w:val="00ED4C3F"/>
    <w:rsid w:val="00F21988"/>
    <w:rsid w:val="00F31EFA"/>
    <w:rsid w:val="00F4725C"/>
    <w:rsid w:val="00F74360"/>
    <w:rsid w:val="00F930B1"/>
    <w:rsid w:val="00FB462F"/>
    <w:rsid w:val="00FD0A50"/>
    <w:rsid w:val="00FE16FA"/>
    <w:rsid w:val="00FE328A"/>
    <w:rsid w:val="00FE6269"/>
    <w:rsid w:val="00FF5CD6"/>
    <w:rsid w:val="028C1D30"/>
    <w:rsid w:val="06915006"/>
    <w:rsid w:val="0751274D"/>
    <w:rsid w:val="07634BF4"/>
    <w:rsid w:val="07A77932"/>
    <w:rsid w:val="08F14AE1"/>
    <w:rsid w:val="0B567F72"/>
    <w:rsid w:val="0C7C6B53"/>
    <w:rsid w:val="0D3F15F5"/>
    <w:rsid w:val="0EF6245F"/>
    <w:rsid w:val="11E43B98"/>
    <w:rsid w:val="13692089"/>
    <w:rsid w:val="18985D2F"/>
    <w:rsid w:val="18FA38C9"/>
    <w:rsid w:val="1B323160"/>
    <w:rsid w:val="1B714E5F"/>
    <w:rsid w:val="1E532BCB"/>
    <w:rsid w:val="1EBE63A2"/>
    <w:rsid w:val="1F041D62"/>
    <w:rsid w:val="1F6317DE"/>
    <w:rsid w:val="1F745786"/>
    <w:rsid w:val="21B1218A"/>
    <w:rsid w:val="238B2E7B"/>
    <w:rsid w:val="2AD95BF4"/>
    <w:rsid w:val="2F101369"/>
    <w:rsid w:val="321612FC"/>
    <w:rsid w:val="32B56379"/>
    <w:rsid w:val="38090922"/>
    <w:rsid w:val="38D75D21"/>
    <w:rsid w:val="395219B1"/>
    <w:rsid w:val="46BE0A2A"/>
    <w:rsid w:val="472236C4"/>
    <w:rsid w:val="47867568"/>
    <w:rsid w:val="47C05439"/>
    <w:rsid w:val="4B1C68ED"/>
    <w:rsid w:val="4B8003CD"/>
    <w:rsid w:val="4F976C0B"/>
    <w:rsid w:val="523F5138"/>
    <w:rsid w:val="538D47D7"/>
    <w:rsid w:val="538E105C"/>
    <w:rsid w:val="53BF69FD"/>
    <w:rsid w:val="591A5257"/>
    <w:rsid w:val="5D2E7409"/>
    <w:rsid w:val="60841B7E"/>
    <w:rsid w:val="62E52783"/>
    <w:rsid w:val="635D15B9"/>
    <w:rsid w:val="64714AD2"/>
    <w:rsid w:val="64857E64"/>
    <w:rsid w:val="65965345"/>
    <w:rsid w:val="65F04BE5"/>
    <w:rsid w:val="6A484E25"/>
    <w:rsid w:val="6E0F6D2F"/>
    <w:rsid w:val="6EAE4254"/>
    <w:rsid w:val="74205B29"/>
    <w:rsid w:val="75F714AD"/>
    <w:rsid w:val="78081C98"/>
    <w:rsid w:val="7DC2177C"/>
    <w:rsid w:val="7EAA7C1A"/>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1"/>
    <w:semiHidden/>
    <w:qFormat/>
    <w:uiPriority w:val="99"/>
    <w:pPr>
      <w:jc w:val="left"/>
    </w:pPr>
  </w:style>
  <w:style w:type="paragraph" w:styleId="3">
    <w:name w:val="Body Text"/>
    <w:basedOn w:val="1"/>
    <w:link w:val="12"/>
    <w:qFormat/>
    <w:uiPriority w:val="99"/>
    <w:pPr>
      <w:spacing w:before="100" w:beforeAutospacing="1" w:after="120"/>
    </w:pPr>
    <w:rPr>
      <w:rFonts w:ascii="Times New Roman" w:hAnsi="Times New Roman" w:cs="Times New Roman"/>
    </w:rPr>
  </w:style>
  <w:style w:type="paragraph" w:styleId="4">
    <w:name w:val="Balloon Text"/>
    <w:basedOn w:val="1"/>
    <w:link w:val="13"/>
    <w:semiHidden/>
    <w:qFormat/>
    <w:uiPriority w:val="99"/>
    <w:rPr>
      <w:sz w:val="18"/>
      <w:szCs w:val="18"/>
    </w:rPr>
  </w:style>
  <w:style w:type="paragraph" w:styleId="5">
    <w:name w:val="footer"/>
    <w:basedOn w:val="1"/>
    <w:link w:val="14"/>
    <w:qFormat/>
    <w:uiPriority w:val="99"/>
    <w:pPr>
      <w:tabs>
        <w:tab w:val="center" w:pos="4153"/>
        <w:tab w:val="right" w:pos="8306"/>
      </w:tabs>
      <w:snapToGrid w:val="0"/>
      <w:jc w:val="left"/>
    </w:pPr>
    <w:rPr>
      <w:sz w:val="18"/>
      <w:szCs w:val="18"/>
    </w:rPr>
  </w:style>
  <w:style w:type="paragraph" w:styleId="6">
    <w:name w:val="header"/>
    <w:basedOn w:val="1"/>
    <w:link w:val="15"/>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rPr>
      <w:sz w:val="24"/>
    </w:rPr>
  </w:style>
  <w:style w:type="character" w:styleId="10">
    <w:name w:val="annotation reference"/>
    <w:basedOn w:val="9"/>
    <w:semiHidden/>
    <w:qFormat/>
    <w:uiPriority w:val="99"/>
    <w:rPr>
      <w:sz w:val="21"/>
      <w:szCs w:val="21"/>
    </w:rPr>
  </w:style>
  <w:style w:type="character" w:customStyle="1" w:styleId="11">
    <w:name w:val="批注文字 Char"/>
    <w:basedOn w:val="9"/>
    <w:link w:val="2"/>
    <w:semiHidden/>
    <w:qFormat/>
    <w:locked/>
    <w:uiPriority w:val="99"/>
    <w:rPr>
      <w:rFonts w:ascii="Calibri" w:hAnsi="Calibri" w:cs="Calibri"/>
      <w:sz w:val="21"/>
      <w:szCs w:val="21"/>
    </w:rPr>
  </w:style>
  <w:style w:type="character" w:customStyle="1" w:styleId="12">
    <w:name w:val="正文文本 Char"/>
    <w:basedOn w:val="9"/>
    <w:link w:val="3"/>
    <w:qFormat/>
    <w:locked/>
    <w:uiPriority w:val="99"/>
    <w:rPr>
      <w:rFonts w:eastAsia="宋体"/>
      <w:kern w:val="2"/>
      <w:sz w:val="21"/>
      <w:szCs w:val="21"/>
      <w:lang w:val="en-US" w:eastAsia="zh-CN"/>
    </w:rPr>
  </w:style>
  <w:style w:type="character" w:customStyle="1" w:styleId="13">
    <w:name w:val="批注框文本 Char"/>
    <w:basedOn w:val="9"/>
    <w:link w:val="4"/>
    <w:semiHidden/>
    <w:qFormat/>
    <w:locked/>
    <w:uiPriority w:val="99"/>
    <w:rPr>
      <w:sz w:val="18"/>
      <w:szCs w:val="18"/>
    </w:rPr>
  </w:style>
  <w:style w:type="character" w:customStyle="1" w:styleId="14">
    <w:name w:val="页脚 Char"/>
    <w:basedOn w:val="9"/>
    <w:link w:val="5"/>
    <w:qFormat/>
    <w:locked/>
    <w:uiPriority w:val="99"/>
    <w:rPr>
      <w:sz w:val="18"/>
      <w:szCs w:val="18"/>
    </w:rPr>
  </w:style>
  <w:style w:type="character" w:customStyle="1" w:styleId="15">
    <w:name w:val="页眉 Char"/>
    <w:basedOn w:val="9"/>
    <w:link w:val="6"/>
    <w:qFormat/>
    <w:locked/>
    <w:uiPriority w:val="99"/>
    <w:rPr>
      <w:sz w:val="18"/>
      <w:szCs w:val="18"/>
    </w:rPr>
  </w:style>
  <w:style w:type="paragraph" w:customStyle="1" w:styleId="16">
    <w:name w:val="Default"/>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 w:type="paragraph" w:styleId="17">
    <w:name w:val="List Paragraph"/>
    <w:basedOn w:val="1"/>
    <w:qFormat/>
    <w:uiPriority w:val="99"/>
    <w:pPr>
      <w:ind w:firstLine="420" w:firstLineChars="200"/>
    </w:pPr>
  </w:style>
  <w:style w:type="paragraph" w:customStyle="1" w:styleId="18">
    <w:name w:val="msonormal"/>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9">
    <w:name w:val="正文文字"/>
    <w:basedOn w:val="1"/>
    <w:next w:val="1"/>
    <w:qFormat/>
    <w:uiPriority w:val="99"/>
    <w:pPr>
      <w:spacing w:before="100" w:beforeAutospacing="1" w:after="12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20BFD09-0E6B-4DA2-B428-6FA26A5E151E}">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17</Pages>
  <Words>4368</Words>
  <Characters>4739</Characters>
  <Lines>35</Lines>
  <Paragraphs>9</Paragraphs>
  <TotalTime>88</TotalTime>
  <ScaleCrop>false</ScaleCrop>
  <LinksUpToDate>false</LinksUpToDate>
  <CharactersWithSpaces>4754</CharactersWithSpaces>
  <Application>WPS Office_12.1.0.18334_F1E327BC-269C-435d-A152-05C5408002CA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2024-11-15T08:59:00Z</dcterms:created>
  <dc:creator>李航 null</dc:creator>
  <cp:lastModifiedBy>Administrator</cp:lastModifiedBy>
  <cp:lastPrinted>2022-10-11T01:13:00Z</cp:lastPrinted>
  <dcterms:modified xsi:type="dcterms:W3CDTF">2024-10-30T20:46:18Z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2052-12.1.0.18334</vt:lpwstr>
  </property>
  <property fmtid="{D5CDD505-2E9C-101B-9397-08002B2CF9AE}" pid="3" name="ICV">
    <vt:lpwstr>AE1920372F7F42C69560D7FB108D7CBD_13</vt:lpwstr>
  </property>
</Properties>
</file>