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both"/>
        <w:rPr>
          <w:rFonts w:ascii="Times New Roman" w:hAnsi="Times New Roman" w:cs="Times New Roman"/>
          <w:sz w:val="56"/>
          <w:szCs w:val="56"/>
        </w:rPr>
      </w:pPr>
    </w:p>
    <w:p>
      <w:pPr>
        <w:pStyle w:val="17"/>
        <w:jc w:val="both"/>
        <w:rPr>
          <w:rFonts w:ascii="Times New Roman" w:hAnsi="Times New Roman" w:cs="Times New Roman"/>
          <w:sz w:val="56"/>
          <w:szCs w:val="56"/>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sz w:val="76"/>
          <w:szCs w:val="76"/>
        </w:rPr>
      </w:pPr>
    </w:p>
    <w:p>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pPr>
        <w:pStyle w:val="17"/>
        <w:jc w:val="center"/>
        <w:rPr>
          <w:rFonts w:hint="eastAsia" w:ascii="Times New Roman" w:hAnsi="Times New Roman" w:eastAsia="方正小标宋简体" w:cs="Times New Roman"/>
          <w:sz w:val="72"/>
          <w:szCs w:val="72"/>
          <w:lang w:eastAsia="zh-CN"/>
        </w:rPr>
      </w:pPr>
      <w:r>
        <w:rPr>
          <w:rFonts w:hint="eastAsia" w:ascii="Times New Roman" w:hAnsi="Times New Roman" w:eastAsia="方正小标宋简体" w:cs="Times New Roman"/>
          <w:sz w:val="72"/>
          <w:szCs w:val="72"/>
          <w:lang w:eastAsia="zh-CN"/>
        </w:rPr>
        <w:t>株洲市石峰区工商业联合会</w:t>
      </w:r>
    </w:p>
    <w:p>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pPr>
        <w:pStyle w:val="17"/>
        <w:jc w:val="both"/>
        <w:rPr>
          <w:rFonts w:ascii="Times New Roman" w:hAnsi="Times New Roman" w:cs="Times New Roman"/>
          <w:sz w:val="32"/>
          <w:szCs w:val="32"/>
        </w:rPr>
      </w:pPr>
    </w:p>
    <w:p>
      <w:pPr>
        <w:pStyle w:val="17"/>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sz w:val="32"/>
          <w:szCs w:val="32"/>
          <w:lang w:eastAsia="zh-CN"/>
        </w:rPr>
        <w:t>株洲市石峰区工商业联合会</w:t>
      </w:r>
      <w:r>
        <w:rPr>
          <w:rFonts w:hint="eastAsia" w:ascii="Times New Roman" w:hAnsi="Times New Roman"/>
          <w:sz w:val="32"/>
          <w:szCs w:val="32"/>
        </w:rPr>
        <w:t>单位概况</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pPr>
        <w:pStyle w:val="17"/>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w w:val="90"/>
          <w:sz w:val="76"/>
          <w:szCs w:val="76"/>
        </w:rPr>
      </w:pP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pPr>
        <w:pStyle w:val="17"/>
        <w:jc w:val="center"/>
        <w:rPr>
          <w:rFonts w:ascii="Times New Roman" w:hAnsi="Times New Roman" w:eastAsia="方正小标宋简体" w:cs="Times New Roman"/>
          <w:sz w:val="76"/>
          <w:szCs w:val="76"/>
        </w:rPr>
      </w:pPr>
    </w:p>
    <w:p>
      <w:pPr>
        <w:pStyle w:val="17"/>
        <w:jc w:val="center"/>
        <w:rPr>
          <w:rFonts w:hint="eastAsia" w:ascii="Times New Roman" w:hAnsi="Times New Roman" w:eastAsia="方正小标宋简体" w:cs="Times New Roman"/>
          <w:sz w:val="76"/>
          <w:szCs w:val="76"/>
          <w:lang w:eastAsia="zh-CN"/>
        </w:rPr>
      </w:pPr>
      <w:r>
        <w:rPr>
          <w:rFonts w:hint="eastAsia" w:ascii="Times New Roman" w:hAnsi="Times New Roman" w:eastAsia="方正小标宋简体" w:cs="Times New Roman"/>
          <w:sz w:val="76"/>
          <w:szCs w:val="76"/>
          <w:lang w:eastAsia="zh-CN"/>
        </w:rPr>
        <w:t>株洲市石峰区工商业联合会</w:t>
      </w: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单位概况</w:t>
      </w:r>
    </w:p>
    <w:p>
      <w:pPr>
        <w:pStyle w:val="18"/>
        <w:keepNext w:val="0"/>
        <w:keepLines w:val="0"/>
        <w:pageBreakBefore w:val="0"/>
        <w:widowControl w:val="0"/>
        <w:numPr>
          <w:ilvl w:val="0"/>
          <w:numId w:val="1"/>
        </w:numPr>
        <w:kinsoku/>
        <w:wordWrap/>
        <w:overflowPunct w:val="0"/>
        <w:topLinePunct w:val="0"/>
        <w:autoSpaceDE/>
        <w:autoSpaceDN/>
        <w:bidi w:val="0"/>
        <w:adjustRightInd/>
        <w:spacing w:line="520" w:lineRule="exact"/>
        <w:ind w:firstLineChars="0"/>
        <w:textAlignment w:val="auto"/>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pPr>
        <w:keepNext w:val="0"/>
        <w:keepLines w:val="0"/>
        <w:pageBreakBefore w:val="0"/>
        <w:widowControl w:val="0"/>
        <w:kinsoku/>
        <w:wordWrap/>
        <w:overflowPunct/>
        <w:topLinePunct w:val="0"/>
        <w:autoSpaceDE/>
        <w:autoSpaceDN/>
        <w:bidi w:val="0"/>
        <w:adjustRightInd/>
        <w:snapToGrid w:val="0"/>
        <w:spacing w:line="520" w:lineRule="exact"/>
        <w:ind w:left="0" w:firstLine="640" w:firstLineChars="200"/>
        <w:textAlignment w:val="auto"/>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株洲市石峰区工商业联合会（以下简称石峰区工商联）的主要职责是：</w:t>
      </w:r>
    </w:p>
    <w:p>
      <w:pPr>
        <w:keepNext w:val="0"/>
        <w:keepLines w:val="0"/>
        <w:pageBreakBefore w:val="0"/>
        <w:widowControl w:val="0"/>
        <w:kinsoku/>
        <w:wordWrap/>
        <w:overflowPunct/>
        <w:topLinePunct w:val="0"/>
        <w:autoSpaceDE/>
        <w:autoSpaceDN/>
        <w:bidi w:val="0"/>
        <w:adjustRightInd/>
        <w:snapToGrid w:val="0"/>
        <w:spacing w:line="520" w:lineRule="exact"/>
        <w:ind w:left="0" w:firstLine="640" w:firstLineChars="200"/>
        <w:textAlignment w:val="auto"/>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（1）在区委、区政府的指导下，抓好中心工作。</w:t>
      </w:r>
    </w:p>
    <w:p>
      <w:pPr>
        <w:keepNext w:val="0"/>
        <w:keepLines w:val="0"/>
        <w:pageBreakBefore w:val="0"/>
        <w:widowControl w:val="0"/>
        <w:kinsoku/>
        <w:wordWrap/>
        <w:overflowPunct/>
        <w:topLinePunct w:val="0"/>
        <w:autoSpaceDE/>
        <w:autoSpaceDN/>
        <w:bidi w:val="0"/>
        <w:adjustRightInd/>
        <w:snapToGrid w:val="0"/>
        <w:spacing w:line="520" w:lineRule="exact"/>
        <w:ind w:left="0" w:firstLine="640" w:firstLineChars="200"/>
        <w:textAlignment w:val="auto"/>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（2）加强和改进非公经济人士思想政治工作。引导会员积极承担社会责任，热心公益事业，投身光彩事业。</w:t>
      </w:r>
    </w:p>
    <w:p>
      <w:pPr>
        <w:keepNext w:val="0"/>
        <w:keepLines w:val="0"/>
        <w:pageBreakBefore w:val="0"/>
        <w:widowControl w:val="0"/>
        <w:kinsoku/>
        <w:wordWrap/>
        <w:overflowPunct/>
        <w:topLinePunct w:val="0"/>
        <w:autoSpaceDE/>
        <w:autoSpaceDN/>
        <w:bidi w:val="0"/>
        <w:adjustRightInd/>
        <w:snapToGrid w:val="0"/>
        <w:spacing w:line="520" w:lineRule="exact"/>
        <w:ind w:left="0" w:firstLine="640" w:firstLineChars="200"/>
        <w:textAlignment w:val="auto"/>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3）密切同非公经济人士的联系，深入了解他们的意愿和要求，向党和政府提出相关意见和建议。促进非公经济市场环境、政策环境、法治环境、社会环境的改善。帮助非公经济代表人士提高参政议政能力和水平，积极反映社情民意，有序参与政治生活和社会事务。积极参与政治协商，发挥民主监督作用，积极参政议政。</w:t>
      </w:r>
    </w:p>
    <w:p>
      <w:pPr>
        <w:keepNext w:val="0"/>
        <w:keepLines w:val="0"/>
        <w:pageBreakBefore w:val="0"/>
        <w:widowControl w:val="0"/>
        <w:kinsoku/>
        <w:wordWrap/>
        <w:overflowPunct/>
        <w:topLinePunct w:val="0"/>
        <w:autoSpaceDE/>
        <w:autoSpaceDN/>
        <w:bidi w:val="0"/>
        <w:adjustRightInd/>
        <w:snapToGrid w:val="0"/>
        <w:spacing w:line="520" w:lineRule="exact"/>
        <w:ind w:left="0" w:firstLine="640" w:firstLineChars="200"/>
        <w:textAlignment w:val="auto"/>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（4）协助政府管理和服务非公经济。积极探索建立适应社会主义市场经济要求的服务载体和机制，为非公企业提供信息、法律、融资、技术、人才等方面服务。承办政府和有关部门委托事项。</w:t>
      </w:r>
    </w:p>
    <w:p>
      <w:pPr>
        <w:keepNext w:val="0"/>
        <w:keepLines w:val="0"/>
        <w:pageBreakBefore w:val="0"/>
        <w:widowControl w:val="0"/>
        <w:kinsoku/>
        <w:wordWrap/>
        <w:overflowPunct/>
        <w:topLinePunct w:val="0"/>
        <w:autoSpaceDE/>
        <w:autoSpaceDN/>
        <w:bidi w:val="0"/>
        <w:adjustRightInd/>
        <w:snapToGrid w:val="0"/>
        <w:spacing w:line="520" w:lineRule="exact"/>
        <w:ind w:left="0" w:firstLine="640" w:firstLineChars="200"/>
        <w:textAlignment w:val="auto"/>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5）促进行业协会商会改革发展。履行社会团体业务主管单位职责，指导和推动商会组织完善法人治理结构、规范内部管理、依照法律和章程开展活动，发挥宣传政策、提供服务、反映诉求、维护权益、加强自律的作用。</w:t>
      </w:r>
    </w:p>
    <w:p>
      <w:pPr>
        <w:keepNext w:val="0"/>
        <w:keepLines w:val="0"/>
        <w:pageBreakBefore w:val="0"/>
        <w:widowControl w:val="0"/>
        <w:kinsoku/>
        <w:wordWrap/>
        <w:overflowPunct/>
        <w:topLinePunct w:val="0"/>
        <w:autoSpaceDE/>
        <w:autoSpaceDN/>
        <w:bidi w:val="0"/>
        <w:adjustRightInd/>
        <w:snapToGrid w:val="0"/>
        <w:spacing w:line="520" w:lineRule="exact"/>
        <w:ind w:left="0" w:firstLine="640" w:firstLineChars="200"/>
        <w:textAlignment w:val="auto"/>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（6）参与协调劳动关系，促进社会和谐稳定。</w:t>
      </w:r>
    </w:p>
    <w:p>
      <w:pPr>
        <w:keepNext w:val="0"/>
        <w:keepLines w:val="0"/>
        <w:pageBreakBefore w:val="0"/>
        <w:widowControl w:val="0"/>
        <w:kinsoku/>
        <w:wordWrap/>
        <w:overflowPunct/>
        <w:topLinePunct w:val="0"/>
        <w:autoSpaceDE/>
        <w:autoSpaceDN/>
        <w:bidi w:val="0"/>
        <w:adjustRightInd/>
        <w:snapToGrid w:val="0"/>
        <w:spacing w:line="520" w:lineRule="exact"/>
        <w:ind w:left="0" w:firstLine="640" w:firstLineChars="200"/>
        <w:textAlignment w:val="auto"/>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（7）代表并维护会员的合法权益，反映会员的意见、要求和建议，参与经济纠纷的调解、仲裁。</w:t>
      </w:r>
    </w:p>
    <w:p>
      <w:pPr>
        <w:keepNext w:val="0"/>
        <w:keepLines w:val="0"/>
        <w:pageBreakBefore w:val="0"/>
        <w:widowControl w:val="0"/>
        <w:kinsoku/>
        <w:wordWrap/>
        <w:overflowPunct/>
        <w:topLinePunct w:val="0"/>
        <w:autoSpaceDE/>
        <w:autoSpaceDN/>
        <w:bidi w:val="0"/>
        <w:adjustRightInd/>
        <w:snapToGrid w:val="0"/>
        <w:spacing w:line="520" w:lineRule="exact"/>
        <w:ind w:left="0" w:firstLine="640" w:firstLineChars="200"/>
        <w:textAlignment w:val="auto"/>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（8）依法加强会产管理。</w:t>
      </w:r>
    </w:p>
    <w:p>
      <w:pPr>
        <w:keepNext w:val="0"/>
        <w:keepLines w:val="0"/>
        <w:pageBreakBefore w:val="0"/>
        <w:widowControl w:val="0"/>
        <w:numPr>
          <w:ilvl w:val="0"/>
          <w:numId w:val="1"/>
        </w:numPr>
        <w:kinsoku/>
        <w:wordWrap/>
        <w:overflowPunct w:val="0"/>
        <w:topLinePunct w:val="0"/>
        <w:autoSpaceDE/>
        <w:autoSpaceDN/>
        <w:bidi w:val="0"/>
        <w:adjustRightInd/>
        <w:spacing w:line="520" w:lineRule="exact"/>
        <w:textAlignment w:val="auto"/>
        <w:rPr>
          <w:rFonts w:ascii="Times New Roman" w:hAnsi="Times New Roman" w:eastAsia="黑体" w:cs="Times New Roman"/>
          <w:kern w:val="0"/>
          <w:sz w:val="32"/>
          <w:szCs w:val="32"/>
        </w:rPr>
      </w:pPr>
      <w:r>
        <w:rPr>
          <w:rFonts w:ascii="Times New Roman" w:hAnsi="Times New Roman" w:eastAsia="黑体" w:cs="Times New Roman"/>
          <w:kern w:val="0"/>
          <w:sz w:val="32"/>
          <w:szCs w:val="32"/>
        </w:rPr>
        <w:t>机构设置及决算单位构成</w:t>
      </w:r>
    </w:p>
    <w:p>
      <w:pPr>
        <w:keepNext w:val="0"/>
        <w:keepLines w:val="0"/>
        <w:pageBreakBefore w:val="0"/>
        <w:widowControl w:val="0"/>
        <w:kinsoku/>
        <w:wordWrap/>
        <w:overflowPunct/>
        <w:topLinePunct w:val="0"/>
        <w:autoSpaceDE/>
        <w:autoSpaceDN/>
        <w:bidi w:val="0"/>
        <w:adjustRightInd/>
        <w:snapToGrid w:val="0"/>
        <w:spacing w:line="520" w:lineRule="exact"/>
        <w:ind w:left="0" w:firstLine="640" w:firstLineChars="200"/>
        <w:textAlignment w:val="auto"/>
        <w:rPr>
          <w:rFonts w:hint="eastAsia" w:ascii="仿宋" w:hAnsi="仿宋" w:eastAsia="仿宋" w:cs="黑体"/>
          <w:color w:val="000000"/>
          <w:kern w:val="0"/>
          <w:sz w:val="32"/>
          <w:szCs w:val="32"/>
          <w:highlight w:val="none"/>
          <w:lang w:val="en-US" w:eastAsia="zh-CN" w:bidi="ar-SA"/>
        </w:rPr>
      </w:pPr>
      <w:r>
        <w:rPr>
          <w:rFonts w:hint="eastAsia" w:ascii="仿宋" w:hAnsi="仿宋" w:eastAsia="仿宋" w:cs="黑体"/>
          <w:color w:val="000000"/>
          <w:kern w:val="0"/>
          <w:sz w:val="32"/>
          <w:szCs w:val="32"/>
          <w:lang w:val="en-US" w:eastAsia="zh-CN" w:bidi="ar-SA"/>
        </w:rPr>
        <w:t>（一）内设机构设置。</w:t>
      </w:r>
      <w:r>
        <w:rPr>
          <w:rFonts w:hint="eastAsia" w:ascii="仿宋" w:hAnsi="仿宋" w:eastAsia="仿宋" w:cs="黑体"/>
          <w:color w:val="000000"/>
          <w:kern w:val="0"/>
          <w:sz w:val="32"/>
          <w:szCs w:val="32"/>
          <w:highlight w:val="none"/>
          <w:lang w:val="en-US" w:eastAsia="zh-CN" w:bidi="ar-SA"/>
        </w:rPr>
        <w:t>株洲市石峰区工商业联合会</w:t>
      </w:r>
      <w:r>
        <w:rPr>
          <w:rFonts w:hint="default" w:ascii="仿宋" w:hAnsi="仿宋" w:eastAsia="仿宋" w:cs="黑体"/>
          <w:color w:val="000000"/>
          <w:kern w:val="0"/>
          <w:sz w:val="32"/>
          <w:szCs w:val="32"/>
          <w:highlight w:val="none"/>
          <w:lang w:val="en-US" w:eastAsia="zh-CN" w:bidi="ar-SA"/>
        </w:rPr>
        <w:t>属于</w:t>
      </w:r>
      <w:r>
        <w:rPr>
          <w:rFonts w:hint="eastAsia" w:ascii="仿宋" w:hAnsi="仿宋" w:eastAsia="仿宋" w:cs="黑体"/>
          <w:color w:val="000000"/>
          <w:kern w:val="0"/>
          <w:sz w:val="32"/>
          <w:szCs w:val="32"/>
          <w:highlight w:val="none"/>
          <w:lang w:val="en-US" w:eastAsia="zh-CN" w:bidi="ar-SA"/>
        </w:rPr>
        <w:t>石峰区</w:t>
      </w:r>
      <w:r>
        <w:rPr>
          <w:rFonts w:hint="default" w:ascii="仿宋" w:hAnsi="仿宋" w:eastAsia="仿宋" w:cs="黑体"/>
          <w:color w:val="000000"/>
          <w:kern w:val="0"/>
          <w:sz w:val="32"/>
          <w:szCs w:val="32"/>
          <w:highlight w:val="none"/>
          <w:lang w:val="en-US" w:eastAsia="zh-CN" w:bidi="ar-SA"/>
        </w:rPr>
        <w:t>一级预算单位，现有预算单位</w:t>
      </w:r>
      <w:r>
        <w:rPr>
          <w:rFonts w:hint="eastAsia" w:ascii="仿宋" w:hAnsi="仿宋" w:eastAsia="仿宋" w:cs="黑体"/>
          <w:color w:val="000000"/>
          <w:kern w:val="0"/>
          <w:sz w:val="32"/>
          <w:szCs w:val="32"/>
          <w:highlight w:val="none"/>
          <w:lang w:val="en-US" w:eastAsia="zh-CN" w:bidi="ar-SA"/>
        </w:rPr>
        <w:t>1</w:t>
      </w:r>
      <w:r>
        <w:rPr>
          <w:rFonts w:hint="default" w:ascii="仿宋" w:hAnsi="仿宋" w:eastAsia="仿宋" w:cs="黑体"/>
          <w:color w:val="000000"/>
          <w:kern w:val="0"/>
          <w:sz w:val="32"/>
          <w:szCs w:val="32"/>
          <w:highlight w:val="none"/>
          <w:lang w:val="en-US" w:eastAsia="zh-CN" w:bidi="ar-SA"/>
        </w:rPr>
        <w:t>个。本部门共有行政编制</w:t>
      </w:r>
      <w:r>
        <w:rPr>
          <w:rFonts w:hint="eastAsia" w:ascii="仿宋" w:hAnsi="仿宋" w:eastAsia="仿宋" w:cs="黑体"/>
          <w:color w:val="000000"/>
          <w:kern w:val="0"/>
          <w:sz w:val="32"/>
          <w:szCs w:val="32"/>
          <w:highlight w:val="none"/>
          <w:lang w:val="en-US" w:eastAsia="zh-CN" w:bidi="ar-SA"/>
        </w:rPr>
        <w:t>2</w:t>
      </w:r>
      <w:r>
        <w:rPr>
          <w:rFonts w:hint="default" w:ascii="仿宋" w:hAnsi="仿宋" w:eastAsia="仿宋" w:cs="黑体"/>
          <w:color w:val="000000"/>
          <w:kern w:val="0"/>
          <w:sz w:val="32"/>
          <w:szCs w:val="32"/>
          <w:highlight w:val="none"/>
          <w:lang w:val="en-US" w:eastAsia="zh-CN" w:bidi="ar-SA"/>
        </w:rPr>
        <w:t>名；事业编</w:t>
      </w:r>
      <w:r>
        <w:rPr>
          <w:rFonts w:hint="eastAsia" w:ascii="仿宋" w:hAnsi="仿宋" w:eastAsia="仿宋" w:cs="黑体"/>
          <w:color w:val="000000"/>
          <w:kern w:val="0"/>
          <w:sz w:val="32"/>
          <w:szCs w:val="32"/>
          <w:highlight w:val="none"/>
          <w:lang w:val="en-US" w:eastAsia="zh-CN" w:bidi="ar-SA"/>
        </w:rPr>
        <w:t>0</w:t>
      </w:r>
      <w:r>
        <w:rPr>
          <w:rFonts w:hint="default" w:ascii="仿宋" w:hAnsi="仿宋" w:eastAsia="仿宋" w:cs="黑体"/>
          <w:color w:val="000000"/>
          <w:kern w:val="0"/>
          <w:sz w:val="32"/>
          <w:szCs w:val="32"/>
          <w:highlight w:val="none"/>
          <w:lang w:val="en-US" w:eastAsia="zh-CN" w:bidi="ar-SA"/>
        </w:rPr>
        <w:t>名；机关工勤人员编制</w:t>
      </w:r>
      <w:r>
        <w:rPr>
          <w:rFonts w:hint="eastAsia" w:ascii="仿宋" w:hAnsi="仿宋" w:eastAsia="仿宋" w:cs="黑体"/>
          <w:color w:val="000000"/>
          <w:kern w:val="0"/>
          <w:sz w:val="32"/>
          <w:szCs w:val="32"/>
          <w:highlight w:val="none"/>
          <w:lang w:val="en-US" w:eastAsia="zh-CN" w:bidi="ar-SA"/>
        </w:rPr>
        <w:t>1</w:t>
      </w:r>
      <w:r>
        <w:rPr>
          <w:rFonts w:hint="default" w:ascii="仿宋" w:hAnsi="仿宋" w:eastAsia="仿宋" w:cs="黑体"/>
          <w:color w:val="000000"/>
          <w:kern w:val="0"/>
          <w:sz w:val="32"/>
          <w:szCs w:val="32"/>
          <w:highlight w:val="none"/>
          <w:lang w:val="en-US" w:eastAsia="zh-CN" w:bidi="ar-SA"/>
        </w:rPr>
        <w:t>名。其中：在职人员</w:t>
      </w:r>
      <w:r>
        <w:rPr>
          <w:rFonts w:hint="eastAsia" w:ascii="仿宋" w:hAnsi="仿宋" w:eastAsia="仿宋" w:cs="黑体"/>
          <w:color w:val="000000"/>
          <w:kern w:val="0"/>
          <w:sz w:val="32"/>
          <w:szCs w:val="32"/>
          <w:highlight w:val="none"/>
          <w:lang w:val="en-US" w:eastAsia="zh-CN" w:bidi="ar-SA"/>
        </w:rPr>
        <w:t>8</w:t>
      </w:r>
      <w:r>
        <w:rPr>
          <w:rFonts w:hint="default" w:ascii="仿宋" w:hAnsi="仿宋" w:eastAsia="仿宋" w:cs="黑体"/>
          <w:color w:val="000000"/>
          <w:kern w:val="0"/>
          <w:sz w:val="32"/>
          <w:szCs w:val="32"/>
          <w:highlight w:val="none"/>
          <w:lang w:val="en-US" w:eastAsia="zh-CN" w:bidi="ar-SA"/>
        </w:rPr>
        <w:t>人，离休</w:t>
      </w:r>
      <w:r>
        <w:rPr>
          <w:rFonts w:hint="eastAsia" w:ascii="仿宋" w:hAnsi="仿宋" w:eastAsia="仿宋" w:cs="黑体"/>
          <w:color w:val="000000"/>
          <w:kern w:val="0"/>
          <w:sz w:val="32"/>
          <w:szCs w:val="32"/>
          <w:highlight w:val="none"/>
          <w:lang w:val="en-US" w:eastAsia="zh-CN" w:bidi="ar-SA"/>
        </w:rPr>
        <w:t>0</w:t>
      </w:r>
      <w:r>
        <w:rPr>
          <w:rFonts w:hint="default" w:ascii="仿宋" w:hAnsi="仿宋" w:eastAsia="仿宋" w:cs="黑体"/>
          <w:color w:val="000000"/>
          <w:kern w:val="0"/>
          <w:sz w:val="32"/>
          <w:szCs w:val="32"/>
          <w:highlight w:val="none"/>
          <w:lang w:val="en-US" w:eastAsia="zh-CN" w:bidi="ar-SA"/>
        </w:rPr>
        <w:t>人，退休</w:t>
      </w:r>
      <w:r>
        <w:rPr>
          <w:rFonts w:hint="eastAsia" w:ascii="仿宋" w:hAnsi="仿宋" w:eastAsia="仿宋" w:cs="黑体"/>
          <w:color w:val="000000"/>
          <w:kern w:val="0"/>
          <w:sz w:val="32"/>
          <w:szCs w:val="32"/>
          <w:highlight w:val="none"/>
          <w:lang w:val="en-US" w:eastAsia="zh-CN" w:bidi="ar-SA"/>
        </w:rPr>
        <w:t>3</w:t>
      </w:r>
      <w:r>
        <w:rPr>
          <w:rFonts w:hint="default" w:ascii="仿宋" w:hAnsi="仿宋" w:eastAsia="仿宋" w:cs="黑体"/>
          <w:color w:val="000000"/>
          <w:kern w:val="0"/>
          <w:sz w:val="32"/>
          <w:szCs w:val="32"/>
          <w:highlight w:val="none"/>
          <w:lang w:val="en-US" w:eastAsia="zh-CN" w:bidi="ar-SA"/>
        </w:rPr>
        <w:t>人。我单位内设</w:t>
      </w:r>
      <w:r>
        <w:rPr>
          <w:rFonts w:hint="eastAsia" w:ascii="仿宋" w:hAnsi="仿宋" w:eastAsia="仿宋" w:cs="黑体"/>
          <w:color w:val="000000"/>
          <w:kern w:val="0"/>
          <w:sz w:val="32"/>
          <w:szCs w:val="32"/>
          <w:highlight w:val="none"/>
          <w:lang w:val="en-US" w:eastAsia="zh-CN" w:bidi="ar-SA"/>
        </w:rPr>
        <w:t>科</w:t>
      </w:r>
      <w:r>
        <w:rPr>
          <w:rFonts w:hint="default" w:ascii="仿宋" w:hAnsi="仿宋" w:eastAsia="仿宋" w:cs="黑体"/>
          <w:color w:val="000000"/>
          <w:kern w:val="0"/>
          <w:sz w:val="32"/>
          <w:szCs w:val="32"/>
          <w:highlight w:val="none"/>
          <w:lang w:val="en-US" w:eastAsia="zh-CN" w:bidi="ar-SA"/>
        </w:rPr>
        <w:t>室</w:t>
      </w:r>
      <w:r>
        <w:rPr>
          <w:rFonts w:hint="eastAsia" w:ascii="仿宋" w:hAnsi="仿宋" w:eastAsia="仿宋" w:cs="黑体"/>
          <w:color w:val="000000"/>
          <w:kern w:val="0"/>
          <w:sz w:val="32"/>
          <w:szCs w:val="32"/>
          <w:highlight w:val="none"/>
          <w:lang w:val="en-US" w:eastAsia="zh-CN" w:bidi="ar-SA"/>
        </w:rPr>
        <w:t>1</w:t>
      </w:r>
      <w:r>
        <w:rPr>
          <w:rFonts w:hint="default" w:ascii="仿宋" w:hAnsi="仿宋" w:eastAsia="仿宋" w:cs="黑体"/>
          <w:color w:val="000000"/>
          <w:kern w:val="0"/>
          <w:sz w:val="32"/>
          <w:szCs w:val="32"/>
          <w:highlight w:val="none"/>
          <w:lang w:val="en-US" w:eastAsia="zh-CN" w:bidi="ar-SA"/>
        </w:rPr>
        <w:t>个，</w:t>
      </w:r>
      <w:r>
        <w:rPr>
          <w:rFonts w:hint="eastAsia" w:ascii="仿宋" w:hAnsi="仿宋" w:eastAsia="仿宋" w:cs="黑体"/>
          <w:color w:val="000000"/>
          <w:kern w:val="0"/>
          <w:sz w:val="32"/>
          <w:szCs w:val="32"/>
          <w:highlight w:val="none"/>
          <w:lang w:val="en-US" w:eastAsia="zh-CN" w:bidi="ar-SA"/>
        </w:rPr>
        <w:t>内设机构是综合办公室。</w:t>
      </w:r>
      <w:r>
        <w:rPr>
          <w:rFonts w:hint="default" w:ascii="仿宋" w:hAnsi="仿宋" w:eastAsia="仿宋" w:cs="黑体"/>
          <w:color w:val="000000"/>
          <w:kern w:val="0"/>
          <w:sz w:val="32"/>
          <w:szCs w:val="32"/>
          <w:highlight w:val="none"/>
          <w:lang w:val="en-US" w:eastAsia="zh-CN" w:bidi="ar-SA"/>
        </w:rPr>
        <w:t>纳入本年部门决算编制范围。</w:t>
      </w:r>
    </w:p>
    <w:p>
      <w:pPr>
        <w:keepNext w:val="0"/>
        <w:keepLines w:val="0"/>
        <w:pageBreakBefore w:val="0"/>
        <w:widowControl w:val="0"/>
        <w:kinsoku/>
        <w:wordWrap/>
        <w:overflowPunct/>
        <w:topLinePunct w:val="0"/>
        <w:autoSpaceDE/>
        <w:autoSpaceDN/>
        <w:bidi w:val="0"/>
        <w:adjustRightInd/>
        <w:snapToGrid w:val="0"/>
        <w:spacing w:line="520" w:lineRule="exact"/>
        <w:ind w:left="0" w:firstLine="640" w:firstLineChars="200"/>
        <w:textAlignment w:val="auto"/>
        <w:rPr>
          <w:rFonts w:hint="default"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（二）决算单位构成。从决算单位构成看，株洲市石峰区工商业联合会2021年部门决算汇总公开单位构成包括：株洲市石峰区工商业联合会本级，我单位</w:t>
      </w:r>
      <w:r>
        <w:rPr>
          <w:rFonts w:hint="default" w:ascii="仿宋" w:hAnsi="仿宋" w:eastAsia="仿宋" w:cs="黑体"/>
          <w:color w:val="000000"/>
          <w:kern w:val="0"/>
          <w:sz w:val="32"/>
          <w:szCs w:val="32"/>
          <w:lang w:val="en-US" w:eastAsia="zh-CN" w:bidi="ar-SA"/>
        </w:rPr>
        <w:t>没有其他二级决算单位。</w:t>
      </w: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pPr>
        <w:pStyle w:val="17"/>
        <w:jc w:val="center"/>
        <w:rPr>
          <w:rFonts w:ascii="Times New Roman" w:hAnsi="Times New Roman" w:eastAsia="方正小标宋简体" w:cs="Times New Roman"/>
          <w:sz w:val="76"/>
          <w:szCs w:val="76"/>
        </w:rPr>
      </w:pPr>
    </w:p>
    <w:p>
      <w:pPr>
        <w:pStyle w:val="17"/>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pPr>
        <w:rPr>
          <w:rFonts w:ascii="Times New Roman" w:hAnsi="Times New Roman" w:eastAsia="仿宋_GB2312" w:cs="Times New Roman"/>
          <w:sz w:val="72"/>
          <w:szCs w:val="72"/>
        </w:rPr>
      </w:pPr>
    </w:p>
    <w:p>
      <w:pPr>
        <w:jc w:val="center"/>
        <w:rPr>
          <w:rFonts w:hint="eastAsia" w:ascii="Times New Roman" w:hAnsi="Times New Roman" w:eastAsia="宋体" w:cs="Times New Roman"/>
          <w:sz w:val="32"/>
          <w:szCs w:val="32"/>
          <w:lang w:eastAsia="zh-CN"/>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lang w:eastAsia="zh-CN"/>
        </w:rPr>
        <w:t>（见附件</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lang w:eastAsia="zh-CN"/>
        </w:rPr>
        <w:t>）</w:t>
      </w: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pPr>
        <w:pStyle w:val="17"/>
        <w:jc w:val="center"/>
        <w:rPr>
          <w:rFonts w:ascii="Times New Roman" w:hAnsi="Times New Roman" w:eastAsia="方正小标宋简体" w:cs="Times New Roman"/>
          <w:sz w:val="76"/>
          <w:szCs w:val="76"/>
        </w:rPr>
      </w:pPr>
    </w:p>
    <w:p>
      <w:pPr>
        <w:pStyle w:val="17"/>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pPr>
        <w:pStyle w:val="17"/>
        <w:numPr>
          <w:ilvl w:val="0"/>
          <w:numId w:val="2"/>
        </w:numPr>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收入支出决算总体情况说明</w:t>
      </w:r>
    </w:p>
    <w:p>
      <w:pPr>
        <w:pStyle w:val="17"/>
        <w:numPr>
          <w:ilvl w:val="0"/>
          <w:numId w:val="0"/>
        </w:numPr>
        <w:spacing w:line="570" w:lineRule="exact"/>
        <w:jc w:val="both"/>
        <w:rPr>
          <w:rFonts w:hint="default" w:ascii="Times New Roman" w:hAnsi="Times New Roman" w:eastAsia="黑体" w:cs="Times New Roman"/>
          <w:sz w:val="32"/>
          <w:szCs w:val="32"/>
          <w:lang w:val="en-US" w:eastAsia="zh-CN"/>
        </w:rPr>
      </w:pPr>
      <w:r>
        <w:rPr>
          <w:rFonts w:hint="eastAsia" w:ascii="Times New Roman" w:hAnsi="Times New Roman" w:cs="Times New Roman"/>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年度收、支总计</w:t>
      </w:r>
      <w:r>
        <w:rPr>
          <w:rFonts w:hint="eastAsia" w:ascii="仿宋" w:hAnsi="仿宋" w:eastAsia="仿宋"/>
          <w:sz w:val="32"/>
          <w:szCs w:val="32"/>
          <w:lang w:val="en-US" w:eastAsia="zh-CN"/>
        </w:rPr>
        <w:t>143.35</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与上年相比，</w:t>
      </w:r>
      <w:r>
        <w:rPr>
          <w:rFonts w:hint="eastAsia" w:ascii="仿宋" w:hAnsi="仿宋" w:eastAsia="仿宋"/>
          <w:sz w:val="32"/>
          <w:szCs w:val="32"/>
          <w:lang w:eastAsia="zh-CN"/>
        </w:rPr>
        <w:t>增加</w:t>
      </w:r>
      <w:r>
        <w:rPr>
          <w:rFonts w:hint="eastAsia" w:ascii="仿宋" w:hAnsi="仿宋" w:eastAsia="仿宋"/>
          <w:sz w:val="32"/>
          <w:szCs w:val="32"/>
          <w:lang w:val="en-US" w:eastAsia="zh-CN"/>
        </w:rPr>
        <w:t>10.79</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8.14</w:t>
      </w:r>
      <w:r>
        <w:rPr>
          <w:rFonts w:hint="eastAsia" w:ascii="仿宋" w:hAnsi="仿宋" w:eastAsia="仿宋"/>
          <w:sz w:val="32"/>
          <w:szCs w:val="32"/>
        </w:rPr>
        <w:t>%，主要是因为</w:t>
      </w:r>
      <w:r>
        <w:rPr>
          <w:rFonts w:hint="eastAsia" w:ascii="仿宋" w:hAnsi="仿宋" w:eastAsia="仿宋"/>
          <w:sz w:val="32"/>
          <w:szCs w:val="32"/>
          <w:lang w:eastAsia="zh-CN"/>
        </w:rPr>
        <w:t>新增人员经费。</w:t>
      </w:r>
    </w:p>
    <w:p>
      <w:pPr>
        <w:pStyle w:val="17"/>
        <w:numPr>
          <w:ilvl w:val="0"/>
          <w:numId w:val="2"/>
        </w:numPr>
        <w:ind w:left="0" w:leftChars="0" w:firstLine="640" w:firstLineChars="200"/>
        <w:rPr>
          <w:rFonts w:hint="eastAsia" w:ascii="Times New Roman" w:hAnsi="Times New Roman"/>
          <w:sz w:val="32"/>
          <w:szCs w:val="32"/>
          <w:lang w:val="en-US" w:eastAsia="zh-CN"/>
        </w:rPr>
      </w:pPr>
      <w:r>
        <w:rPr>
          <w:rFonts w:ascii="Times New Roman" w:hAnsi="Times New Roman" w:cs="Times New Roman"/>
          <w:sz w:val="32"/>
          <w:szCs w:val="32"/>
        </w:rPr>
        <w:t>收入决算情况说明</w:t>
      </w:r>
      <w:r>
        <w:rPr>
          <w:rFonts w:hint="eastAsia" w:ascii="Times New Roman" w:hAnsi="Times New Roman"/>
          <w:sz w:val="32"/>
          <w:szCs w:val="32"/>
          <w:lang w:val="en-US" w:eastAsia="zh-CN"/>
        </w:rPr>
        <w:t xml:space="preserve"> </w:t>
      </w:r>
    </w:p>
    <w:p>
      <w:pPr>
        <w:pStyle w:val="17"/>
        <w:numPr>
          <w:ilvl w:val="0"/>
          <w:numId w:val="0"/>
        </w:numPr>
        <w:ind w:leftChars="200" w:firstLine="640" w:firstLineChars="200"/>
        <w:rPr>
          <w:rFonts w:ascii="Times New Roman" w:hAnsi="Times New Roman" w:eastAsia="仿宋_GB2312" w:cs="Times New Roman"/>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年度收入合计</w:t>
      </w:r>
      <w:r>
        <w:rPr>
          <w:rFonts w:hint="eastAsia" w:ascii="仿宋" w:hAnsi="仿宋" w:eastAsia="仿宋"/>
          <w:sz w:val="32"/>
          <w:szCs w:val="32"/>
          <w:lang w:val="en-US" w:eastAsia="zh-CN"/>
        </w:rPr>
        <w:t>143.35</w:t>
      </w:r>
      <w:r>
        <w:rPr>
          <w:rFonts w:hint="eastAsia" w:ascii="仿宋" w:hAnsi="仿宋" w:eastAsia="仿宋"/>
          <w:sz w:val="32"/>
          <w:szCs w:val="32"/>
        </w:rPr>
        <w:t>万元，其中：财政拨款收入</w:t>
      </w:r>
      <w:r>
        <w:rPr>
          <w:rFonts w:hint="eastAsia" w:ascii="仿宋" w:hAnsi="仿宋" w:eastAsia="仿宋"/>
          <w:sz w:val="32"/>
          <w:szCs w:val="32"/>
          <w:lang w:val="en-US" w:eastAsia="zh-CN"/>
        </w:rPr>
        <w:t>143.35</w:t>
      </w:r>
      <w:r>
        <w:rPr>
          <w:rFonts w:hint="eastAsia" w:ascii="仿宋" w:hAnsi="仿宋" w:eastAsia="仿宋"/>
          <w:sz w:val="32"/>
          <w:szCs w:val="32"/>
        </w:rPr>
        <w:t>万元，占100</w:t>
      </w:r>
      <w:r>
        <w:rPr>
          <w:rFonts w:hint="eastAsia" w:ascii="仿宋" w:hAnsi="仿宋" w:eastAsia="仿宋"/>
          <w:sz w:val="32"/>
          <w:szCs w:val="32"/>
          <w:lang w:val="en-US" w:eastAsia="zh-CN"/>
        </w:rPr>
        <w:t>.0</w:t>
      </w:r>
      <w:r>
        <w:rPr>
          <w:rFonts w:hint="eastAsia" w:ascii="仿宋" w:hAnsi="仿宋" w:eastAsia="仿宋"/>
          <w:sz w:val="32"/>
          <w:szCs w:val="32"/>
        </w:rPr>
        <w:t>%；上级补助收入0万元，占0</w:t>
      </w:r>
      <w:r>
        <w:rPr>
          <w:rFonts w:hint="eastAsia" w:ascii="仿宋" w:hAnsi="仿宋" w:eastAsia="仿宋"/>
          <w:sz w:val="32"/>
          <w:szCs w:val="32"/>
          <w:lang w:val="en-US" w:eastAsia="zh-CN"/>
        </w:rPr>
        <w:t>.0</w:t>
      </w:r>
      <w:r>
        <w:rPr>
          <w:rFonts w:hint="eastAsia" w:ascii="仿宋" w:hAnsi="仿宋" w:eastAsia="仿宋"/>
          <w:sz w:val="32"/>
          <w:szCs w:val="32"/>
        </w:rPr>
        <w:t>%；事业收入0万元，占0</w:t>
      </w:r>
      <w:r>
        <w:rPr>
          <w:rFonts w:hint="eastAsia" w:ascii="仿宋" w:hAnsi="仿宋" w:eastAsia="仿宋"/>
          <w:sz w:val="32"/>
          <w:szCs w:val="32"/>
          <w:lang w:val="en-US" w:eastAsia="zh-CN"/>
        </w:rPr>
        <w:t>.0</w:t>
      </w:r>
      <w:r>
        <w:rPr>
          <w:rFonts w:hint="eastAsia" w:ascii="仿宋" w:hAnsi="仿宋" w:eastAsia="仿宋"/>
          <w:sz w:val="32"/>
          <w:szCs w:val="32"/>
        </w:rPr>
        <w:t>%；经营收入0万元，占</w:t>
      </w:r>
      <w:r>
        <w:rPr>
          <w:rFonts w:hint="eastAsia" w:ascii="仿宋" w:hAnsi="仿宋" w:eastAsia="仿宋"/>
          <w:sz w:val="32"/>
          <w:szCs w:val="32"/>
          <w:lang w:val="en-US" w:eastAsia="zh-CN"/>
        </w:rPr>
        <w:t>0.0</w:t>
      </w:r>
      <w:r>
        <w:rPr>
          <w:rFonts w:hint="eastAsia" w:ascii="仿宋" w:hAnsi="仿宋" w:eastAsia="仿宋"/>
          <w:sz w:val="32"/>
          <w:szCs w:val="32"/>
        </w:rPr>
        <w:t>%；附属单位上缴收入0万元，占0</w:t>
      </w:r>
      <w:r>
        <w:rPr>
          <w:rFonts w:hint="eastAsia" w:ascii="仿宋" w:hAnsi="仿宋" w:eastAsia="仿宋"/>
          <w:sz w:val="32"/>
          <w:szCs w:val="32"/>
          <w:lang w:val="en-US" w:eastAsia="zh-CN"/>
        </w:rPr>
        <w:t>.0</w:t>
      </w:r>
      <w:r>
        <w:rPr>
          <w:rFonts w:hint="eastAsia" w:ascii="仿宋" w:hAnsi="仿宋" w:eastAsia="仿宋"/>
          <w:sz w:val="32"/>
          <w:szCs w:val="32"/>
        </w:rPr>
        <w:t>%；其他收入0万元，占0</w:t>
      </w:r>
      <w:r>
        <w:rPr>
          <w:rFonts w:hint="eastAsia" w:ascii="仿宋" w:hAnsi="仿宋" w:eastAsia="仿宋"/>
          <w:sz w:val="32"/>
          <w:szCs w:val="32"/>
          <w:lang w:val="en-US" w:eastAsia="zh-CN"/>
        </w:rPr>
        <w:t>.0</w:t>
      </w:r>
      <w:r>
        <w:rPr>
          <w:rFonts w:hint="eastAsia" w:ascii="仿宋" w:hAnsi="仿宋" w:eastAsia="仿宋"/>
          <w:sz w:val="32"/>
          <w:szCs w:val="32"/>
        </w:rPr>
        <w:t>%。</w:t>
      </w:r>
    </w:p>
    <w:p>
      <w:pPr>
        <w:pStyle w:val="17"/>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支出决算情况说明</w:t>
      </w:r>
    </w:p>
    <w:p>
      <w:pPr>
        <w:pStyle w:val="17"/>
        <w:ind w:firstLine="640" w:firstLineChars="200"/>
        <w:rPr>
          <w:rFonts w:hint="default" w:ascii="Times New Roman" w:hAnsi="Times New Roman" w:eastAsia="黑体" w:cs="Times New Roman"/>
          <w:sz w:val="32"/>
          <w:szCs w:val="32"/>
          <w:lang w:val="en-US" w:eastAsia="zh-CN"/>
        </w:rPr>
      </w:pPr>
      <w:r>
        <w:rPr>
          <w:rFonts w:hint="eastAsia" w:ascii="Times New Roman" w:hAnsi="Times New Roman" w:cs="Times New Roman"/>
          <w:sz w:val="32"/>
          <w:szCs w:val="32"/>
          <w:lang w:val="en-US" w:eastAsia="zh-CN"/>
        </w:rPr>
        <w:t xml:space="preserve"> </w:t>
      </w:r>
      <w:r>
        <w:rPr>
          <w:rFonts w:hint="eastAsia" w:ascii="Times New Roman" w:hAnsi="Times New Roman"/>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年度支出合计</w:t>
      </w:r>
      <w:r>
        <w:rPr>
          <w:rFonts w:hint="eastAsia" w:ascii="仿宋" w:hAnsi="仿宋" w:eastAsia="仿宋"/>
          <w:sz w:val="32"/>
          <w:szCs w:val="32"/>
          <w:lang w:val="en-US" w:eastAsia="zh-CN"/>
        </w:rPr>
        <w:t>143.35</w:t>
      </w:r>
      <w:r>
        <w:rPr>
          <w:rFonts w:hint="eastAsia" w:ascii="仿宋" w:hAnsi="仿宋" w:eastAsia="仿宋"/>
          <w:sz w:val="32"/>
          <w:szCs w:val="32"/>
        </w:rPr>
        <w:t>万元，其中：基本支出</w:t>
      </w:r>
      <w:r>
        <w:rPr>
          <w:rFonts w:hint="eastAsia" w:ascii="仿宋" w:hAnsi="仿宋" w:eastAsia="仿宋"/>
          <w:sz w:val="32"/>
          <w:szCs w:val="32"/>
          <w:lang w:val="en-US" w:eastAsia="zh-CN"/>
        </w:rPr>
        <w:t>141.47</w:t>
      </w:r>
      <w:r>
        <w:rPr>
          <w:rFonts w:hint="eastAsia" w:ascii="仿宋" w:hAnsi="仿宋" w:eastAsia="仿宋"/>
          <w:sz w:val="32"/>
          <w:szCs w:val="32"/>
        </w:rPr>
        <w:t>万元，占</w:t>
      </w:r>
      <w:r>
        <w:rPr>
          <w:rFonts w:hint="eastAsia" w:ascii="仿宋" w:hAnsi="仿宋" w:eastAsia="仿宋"/>
          <w:sz w:val="32"/>
          <w:szCs w:val="32"/>
          <w:lang w:val="en-US" w:eastAsia="zh-CN"/>
        </w:rPr>
        <w:t>98.69</w:t>
      </w:r>
      <w:r>
        <w:rPr>
          <w:rFonts w:hint="eastAsia" w:ascii="仿宋" w:hAnsi="仿宋" w:eastAsia="仿宋"/>
          <w:sz w:val="32"/>
          <w:szCs w:val="32"/>
        </w:rPr>
        <w:t>%；项目支出</w:t>
      </w:r>
      <w:r>
        <w:rPr>
          <w:rFonts w:hint="eastAsia" w:ascii="仿宋" w:hAnsi="仿宋" w:eastAsia="仿宋"/>
          <w:sz w:val="32"/>
          <w:szCs w:val="32"/>
          <w:lang w:val="en-US" w:eastAsia="zh-CN"/>
        </w:rPr>
        <w:t>1.88</w:t>
      </w:r>
      <w:r>
        <w:rPr>
          <w:rFonts w:hint="eastAsia" w:ascii="仿宋" w:hAnsi="仿宋" w:eastAsia="仿宋"/>
          <w:sz w:val="32"/>
          <w:szCs w:val="32"/>
        </w:rPr>
        <w:t>万元，占</w:t>
      </w:r>
      <w:r>
        <w:rPr>
          <w:rFonts w:hint="eastAsia" w:ascii="仿宋" w:hAnsi="仿宋" w:eastAsia="仿宋"/>
          <w:sz w:val="32"/>
          <w:szCs w:val="32"/>
          <w:lang w:val="en-US" w:eastAsia="zh-CN"/>
        </w:rPr>
        <w:t>1.31</w:t>
      </w:r>
      <w:r>
        <w:rPr>
          <w:rFonts w:hint="eastAsia" w:ascii="仿宋" w:hAnsi="仿宋" w:eastAsia="仿宋"/>
          <w:sz w:val="32"/>
          <w:szCs w:val="32"/>
        </w:rPr>
        <w:t>%；上缴上级支出0万元，占0</w:t>
      </w:r>
      <w:r>
        <w:rPr>
          <w:rFonts w:hint="eastAsia" w:ascii="仿宋" w:hAnsi="仿宋" w:eastAsia="仿宋"/>
          <w:sz w:val="32"/>
          <w:szCs w:val="32"/>
          <w:lang w:val="en-US" w:eastAsia="zh-CN"/>
        </w:rPr>
        <w:t>.0</w:t>
      </w:r>
      <w:r>
        <w:rPr>
          <w:rFonts w:hint="eastAsia" w:ascii="仿宋" w:hAnsi="仿宋" w:eastAsia="仿宋"/>
          <w:sz w:val="32"/>
          <w:szCs w:val="32"/>
        </w:rPr>
        <w:t>%；经营支出0万元，占0</w:t>
      </w:r>
      <w:r>
        <w:rPr>
          <w:rFonts w:hint="eastAsia" w:ascii="仿宋" w:hAnsi="仿宋" w:eastAsia="仿宋"/>
          <w:sz w:val="32"/>
          <w:szCs w:val="32"/>
          <w:lang w:val="en-US" w:eastAsia="zh-CN"/>
        </w:rPr>
        <w:t>.0</w:t>
      </w:r>
      <w:r>
        <w:rPr>
          <w:rFonts w:hint="eastAsia" w:ascii="仿宋" w:hAnsi="仿宋" w:eastAsia="仿宋"/>
          <w:sz w:val="32"/>
          <w:szCs w:val="32"/>
        </w:rPr>
        <w:t>%；对附属单位补助支出0万元，占0</w:t>
      </w:r>
      <w:r>
        <w:rPr>
          <w:rFonts w:hint="eastAsia" w:ascii="仿宋" w:hAnsi="仿宋" w:eastAsia="仿宋"/>
          <w:sz w:val="32"/>
          <w:szCs w:val="32"/>
          <w:lang w:val="en-US" w:eastAsia="zh-CN"/>
        </w:rPr>
        <w:t>.0</w:t>
      </w:r>
      <w:r>
        <w:rPr>
          <w:rFonts w:hint="eastAsia" w:ascii="仿宋" w:hAnsi="仿宋" w:eastAsia="仿宋"/>
          <w:sz w:val="32"/>
          <w:szCs w:val="32"/>
        </w:rPr>
        <w:t>%。</w:t>
      </w:r>
    </w:p>
    <w:p>
      <w:pPr>
        <w:pStyle w:val="17"/>
        <w:numPr>
          <w:ilvl w:val="0"/>
          <w:numId w:val="2"/>
        </w:numPr>
        <w:ind w:left="0" w:leftChars="0" w:firstLine="640" w:firstLineChars="200"/>
        <w:rPr>
          <w:rFonts w:hint="eastAsia" w:ascii="Times New Roman" w:hAnsi="Times New Roman"/>
          <w:sz w:val="32"/>
          <w:szCs w:val="32"/>
          <w:lang w:val="en-US" w:eastAsia="zh-CN"/>
        </w:rPr>
      </w:pPr>
      <w:r>
        <w:rPr>
          <w:rFonts w:ascii="Times New Roman" w:hAnsi="Times New Roman" w:cs="Times New Roman"/>
          <w:sz w:val="32"/>
          <w:szCs w:val="32"/>
        </w:rPr>
        <w:t>财政拨款收入支出决算总体情况说明</w:t>
      </w:r>
      <w:r>
        <w:rPr>
          <w:rFonts w:hint="eastAsia" w:ascii="Times New Roman" w:hAnsi="Times New Roman"/>
          <w:sz w:val="32"/>
          <w:szCs w:val="32"/>
          <w:lang w:val="en-US" w:eastAsia="zh-CN"/>
        </w:rPr>
        <w:t xml:space="preserve"> </w:t>
      </w:r>
    </w:p>
    <w:p>
      <w:pPr>
        <w:pStyle w:val="17"/>
        <w:numPr>
          <w:ilvl w:val="0"/>
          <w:numId w:val="0"/>
        </w:numPr>
        <w:spacing w:line="570" w:lineRule="exact"/>
        <w:ind w:firstLine="640" w:firstLineChars="200"/>
        <w:jc w:val="both"/>
        <w:rPr>
          <w:rFonts w:ascii="Times New Roman" w:hAnsi="Times New Roman" w:cs="Times New Roman"/>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年度财政拨款收、支总计</w:t>
      </w:r>
      <w:r>
        <w:rPr>
          <w:rFonts w:hint="eastAsia" w:ascii="仿宋" w:hAnsi="仿宋" w:eastAsia="仿宋"/>
          <w:sz w:val="32"/>
          <w:szCs w:val="32"/>
          <w:lang w:val="en-US" w:eastAsia="zh-CN"/>
        </w:rPr>
        <w:t>143.35</w:t>
      </w:r>
      <w:r>
        <w:rPr>
          <w:rFonts w:hint="eastAsia" w:ascii="仿宋" w:hAnsi="仿宋" w:eastAsia="仿宋"/>
          <w:sz w:val="32"/>
          <w:szCs w:val="32"/>
        </w:rPr>
        <w:t>万元，与上年相比，</w:t>
      </w:r>
      <w:r>
        <w:rPr>
          <w:rFonts w:hint="eastAsia" w:ascii="仿宋" w:hAnsi="仿宋" w:eastAsia="仿宋"/>
          <w:sz w:val="32"/>
          <w:szCs w:val="32"/>
          <w:lang w:eastAsia="zh-CN"/>
        </w:rPr>
        <w:t>增加</w:t>
      </w:r>
      <w:r>
        <w:rPr>
          <w:rFonts w:hint="eastAsia" w:ascii="仿宋" w:hAnsi="仿宋" w:eastAsia="仿宋"/>
          <w:sz w:val="32"/>
          <w:szCs w:val="32"/>
          <w:lang w:val="en-US" w:eastAsia="zh-CN"/>
        </w:rPr>
        <w:t>10.79</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8.14</w:t>
      </w:r>
      <w:r>
        <w:rPr>
          <w:rFonts w:hint="eastAsia" w:ascii="仿宋" w:hAnsi="仿宋" w:eastAsia="仿宋"/>
          <w:sz w:val="32"/>
          <w:szCs w:val="32"/>
        </w:rPr>
        <w:t>%，主要是因为</w:t>
      </w:r>
      <w:r>
        <w:rPr>
          <w:rFonts w:hint="eastAsia" w:ascii="仿宋" w:hAnsi="仿宋" w:eastAsia="仿宋"/>
          <w:sz w:val="32"/>
          <w:szCs w:val="32"/>
          <w:lang w:eastAsia="zh-CN"/>
        </w:rPr>
        <w:t>新增人员经费。</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pPr>
        <w:pStyle w:val="8"/>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（一）财政拨款支出决算总体情况</w:t>
      </w:r>
    </w:p>
    <w:p>
      <w:pPr>
        <w:pStyle w:val="17"/>
        <w:numPr>
          <w:ilvl w:val="0"/>
          <w:numId w:val="0"/>
        </w:numPr>
        <w:spacing w:line="570" w:lineRule="exact"/>
        <w:ind w:firstLine="640" w:firstLineChars="200"/>
        <w:jc w:val="both"/>
        <w:rPr>
          <w:rFonts w:ascii="Times New Roman" w:hAnsi="Times New Roman" w:cs="Times New Roman"/>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年度财政拨款支出</w:t>
      </w:r>
      <w:r>
        <w:rPr>
          <w:rFonts w:hint="eastAsia" w:ascii="仿宋" w:hAnsi="仿宋" w:eastAsia="仿宋"/>
          <w:sz w:val="32"/>
          <w:szCs w:val="32"/>
          <w:lang w:val="en-US" w:eastAsia="zh-CN"/>
        </w:rPr>
        <w:t>143.35</w:t>
      </w:r>
      <w:r>
        <w:rPr>
          <w:rFonts w:hint="eastAsia" w:ascii="仿宋" w:hAnsi="仿宋" w:eastAsia="仿宋"/>
          <w:sz w:val="32"/>
          <w:szCs w:val="32"/>
        </w:rPr>
        <w:t>万元，占本年支出合计的100</w:t>
      </w:r>
      <w:r>
        <w:rPr>
          <w:rFonts w:hint="eastAsia" w:ascii="仿宋" w:hAnsi="仿宋" w:eastAsia="仿宋"/>
          <w:sz w:val="32"/>
          <w:szCs w:val="32"/>
          <w:lang w:val="en-US" w:eastAsia="zh-CN"/>
        </w:rPr>
        <w:t>.0</w:t>
      </w:r>
      <w:r>
        <w:rPr>
          <w:rFonts w:hint="eastAsia" w:ascii="仿宋" w:hAnsi="仿宋" w:eastAsia="仿宋"/>
          <w:sz w:val="32"/>
          <w:szCs w:val="32"/>
        </w:rPr>
        <w:t>%，与上年相比，</w:t>
      </w:r>
      <w:r>
        <w:rPr>
          <w:rFonts w:hint="eastAsia" w:ascii="仿宋" w:hAnsi="仿宋" w:eastAsia="仿宋"/>
          <w:sz w:val="32"/>
          <w:szCs w:val="32"/>
          <w:lang w:eastAsia="zh-CN"/>
        </w:rPr>
        <w:t>增加</w:t>
      </w:r>
      <w:r>
        <w:rPr>
          <w:rFonts w:hint="eastAsia" w:ascii="仿宋" w:hAnsi="仿宋" w:eastAsia="仿宋"/>
          <w:sz w:val="32"/>
          <w:szCs w:val="32"/>
          <w:lang w:val="en-US" w:eastAsia="zh-CN"/>
        </w:rPr>
        <w:t>10.79</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8.14</w:t>
      </w:r>
      <w:r>
        <w:rPr>
          <w:rFonts w:hint="eastAsia" w:ascii="仿宋" w:hAnsi="仿宋" w:eastAsia="仿宋"/>
          <w:sz w:val="32"/>
          <w:szCs w:val="32"/>
        </w:rPr>
        <w:t>%，主要是因为</w:t>
      </w:r>
      <w:r>
        <w:rPr>
          <w:rFonts w:hint="eastAsia" w:ascii="仿宋" w:hAnsi="仿宋" w:eastAsia="仿宋"/>
          <w:sz w:val="32"/>
          <w:szCs w:val="32"/>
          <w:lang w:eastAsia="zh-CN"/>
        </w:rPr>
        <w:t>新增人员经费。</w:t>
      </w:r>
    </w:p>
    <w:p>
      <w:pPr>
        <w:pStyle w:val="8"/>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p>
    <w:p>
      <w:pPr>
        <w:pStyle w:val="8"/>
        <w:numPr>
          <w:ilvl w:val="0"/>
          <w:numId w:val="3"/>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财政拨款支出决算结构情况</w:t>
      </w:r>
    </w:p>
    <w:p>
      <w:pPr>
        <w:pStyle w:val="17"/>
        <w:ind w:firstLine="320" w:firstLineChars="100"/>
        <w:rPr>
          <w:rFonts w:hint="default" w:ascii="Times New Roman" w:hAnsi="Times New Roman" w:eastAsia="楷体_GB2312" w:cs="Times New Roman"/>
          <w:b/>
          <w:color w:val="000000"/>
          <w:kern w:val="0"/>
          <w:sz w:val="32"/>
          <w:szCs w:val="32"/>
          <w:lang w:val="en-US" w:eastAsia="zh-CN"/>
        </w:rPr>
      </w:pPr>
      <w:r>
        <w:rPr>
          <w:rFonts w:hint="eastAsia" w:ascii="Times New Roman" w:hAnsi="Times New Roman" w:eastAsia="楷体_GB2312" w:cs="Times New Roman"/>
          <w:b/>
          <w:color w:val="000000"/>
          <w:kern w:val="0"/>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年度财政拨款支出</w:t>
      </w:r>
      <w:r>
        <w:rPr>
          <w:rFonts w:hint="eastAsia" w:ascii="仿宋" w:hAnsi="仿宋" w:eastAsia="仿宋"/>
          <w:sz w:val="32"/>
          <w:szCs w:val="32"/>
          <w:lang w:val="en-US" w:eastAsia="zh-CN"/>
        </w:rPr>
        <w:t>143.35</w:t>
      </w:r>
      <w:r>
        <w:rPr>
          <w:rFonts w:hint="eastAsia" w:ascii="仿宋" w:hAnsi="仿宋" w:eastAsia="仿宋"/>
          <w:sz w:val="32"/>
          <w:szCs w:val="32"/>
        </w:rPr>
        <w:t>万元，主要用于以下方面：一般公共服务（类）支出</w:t>
      </w:r>
      <w:r>
        <w:rPr>
          <w:rFonts w:hint="eastAsia" w:ascii="仿宋" w:hAnsi="仿宋" w:eastAsia="仿宋"/>
          <w:sz w:val="32"/>
          <w:szCs w:val="32"/>
          <w:lang w:val="en-US" w:eastAsia="zh-CN"/>
        </w:rPr>
        <w:t>143.35</w:t>
      </w:r>
      <w:r>
        <w:rPr>
          <w:rFonts w:hint="eastAsia" w:ascii="仿宋" w:hAnsi="仿宋" w:eastAsia="仿宋"/>
          <w:sz w:val="32"/>
          <w:szCs w:val="32"/>
        </w:rPr>
        <w:t>万元，占100</w:t>
      </w:r>
      <w:r>
        <w:rPr>
          <w:rFonts w:hint="eastAsia" w:ascii="仿宋" w:hAnsi="仿宋" w:eastAsia="仿宋"/>
          <w:sz w:val="32"/>
          <w:szCs w:val="32"/>
          <w:lang w:val="en-US" w:eastAsia="zh-CN"/>
        </w:rPr>
        <w:t>.0</w:t>
      </w:r>
      <w:r>
        <w:rPr>
          <w:rFonts w:hint="eastAsia" w:ascii="仿宋" w:hAnsi="仿宋" w:eastAsia="仿宋"/>
          <w:sz w:val="32"/>
          <w:szCs w:val="32"/>
        </w:rPr>
        <w:t>%</w:t>
      </w:r>
      <w:r>
        <w:rPr>
          <w:rFonts w:hint="eastAsia" w:ascii="仿宋" w:hAnsi="仿宋" w:eastAsia="仿宋"/>
          <w:sz w:val="32"/>
          <w:szCs w:val="32"/>
          <w:lang w:eastAsia="zh-CN"/>
        </w:rPr>
        <w:t>。</w:t>
      </w:r>
    </w:p>
    <w:p>
      <w:pPr>
        <w:pStyle w:val="8"/>
        <w:numPr>
          <w:ilvl w:val="0"/>
          <w:numId w:val="3"/>
        </w:numPr>
        <w:autoSpaceDE w:val="0"/>
        <w:autoSpaceDN w:val="0"/>
        <w:adjustRightInd w:val="0"/>
        <w:spacing w:line="570" w:lineRule="exact"/>
        <w:ind w:left="0" w:leftChars="0"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财政拨款支出决算具体情况</w:t>
      </w:r>
    </w:p>
    <w:p>
      <w:pPr>
        <w:pStyle w:val="17"/>
        <w:ind w:firstLine="640" w:firstLineChars="200"/>
        <w:rPr>
          <w:rFonts w:hint="eastAsia" w:ascii="仿宋" w:hAnsi="仿宋" w:eastAsia="仿宋"/>
          <w:sz w:val="32"/>
          <w:szCs w:val="32"/>
        </w:rPr>
      </w:pPr>
      <w:r>
        <w:rPr>
          <w:rFonts w:hint="eastAsia" w:ascii="Times New Roman" w:hAnsi="Times New Roman" w:eastAsia="楷体_GB2312" w:cs="Times New Roman"/>
          <w:b/>
          <w:color w:val="000000"/>
          <w:kern w:val="0"/>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年度财政拨款支出年初预算数为</w:t>
      </w:r>
      <w:r>
        <w:rPr>
          <w:rFonts w:hint="eastAsia" w:ascii="仿宋" w:hAnsi="仿宋" w:eastAsia="仿宋"/>
          <w:sz w:val="32"/>
          <w:szCs w:val="32"/>
          <w:lang w:val="en-US" w:eastAsia="zh-CN"/>
        </w:rPr>
        <w:t>152.22</w:t>
      </w:r>
      <w:r>
        <w:rPr>
          <w:rFonts w:hint="eastAsia" w:ascii="仿宋" w:hAnsi="仿宋" w:eastAsia="仿宋"/>
          <w:sz w:val="32"/>
          <w:szCs w:val="32"/>
        </w:rPr>
        <w:t>万元，支出决算数为</w:t>
      </w:r>
      <w:r>
        <w:rPr>
          <w:rFonts w:hint="eastAsia" w:ascii="仿宋" w:hAnsi="仿宋" w:eastAsia="仿宋"/>
          <w:sz w:val="32"/>
          <w:szCs w:val="32"/>
          <w:lang w:val="en-US" w:eastAsia="zh-CN"/>
        </w:rPr>
        <w:t>143.35</w:t>
      </w:r>
      <w:r>
        <w:rPr>
          <w:rFonts w:hint="eastAsia" w:ascii="仿宋" w:hAnsi="仿宋" w:eastAsia="仿宋"/>
          <w:sz w:val="32"/>
          <w:szCs w:val="32"/>
        </w:rPr>
        <w:t>万元，完成年初预算的</w:t>
      </w:r>
      <w:r>
        <w:rPr>
          <w:rFonts w:hint="eastAsia" w:ascii="仿宋" w:hAnsi="仿宋" w:eastAsia="仿宋"/>
          <w:sz w:val="32"/>
          <w:szCs w:val="32"/>
          <w:lang w:val="en-US" w:eastAsia="zh-CN"/>
        </w:rPr>
        <w:t>94.17</w:t>
      </w:r>
      <w:r>
        <w:rPr>
          <w:rFonts w:hint="eastAsia" w:ascii="仿宋" w:hAnsi="仿宋" w:eastAsia="仿宋"/>
          <w:sz w:val="32"/>
          <w:szCs w:val="32"/>
        </w:rPr>
        <w:t>%，其中：</w:t>
      </w:r>
    </w:p>
    <w:p>
      <w:pPr>
        <w:pStyle w:val="17"/>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1、一般公共服务支出（类）民主党派及工商联事务（款）行政运行（项）。</w:t>
      </w:r>
    </w:p>
    <w:p>
      <w:pPr>
        <w:pStyle w:val="17"/>
        <w:ind w:firstLine="640" w:firstLineChars="200"/>
        <w:rPr>
          <w:rFonts w:hint="eastAsia" w:ascii="仿宋" w:hAnsi="仿宋" w:eastAsia="仿宋"/>
          <w:sz w:val="32"/>
          <w:szCs w:val="32"/>
          <w:lang w:eastAsia="zh-CN"/>
        </w:rPr>
      </w:pPr>
      <w:r>
        <w:rPr>
          <w:rFonts w:hint="eastAsia" w:ascii="仿宋" w:hAnsi="仿宋" w:eastAsia="仿宋"/>
          <w:sz w:val="32"/>
          <w:szCs w:val="32"/>
        </w:rPr>
        <w:t>年初预算为</w:t>
      </w:r>
      <w:r>
        <w:rPr>
          <w:rFonts w:hint="eastAsia" w:ascii="仿宋" w:hAnsi="仿宋" w:eastAsia="仿宋"/>
          <w:sz w:val="32"/>
          <w:szCs w:val="32"/>
          <w:lang w:val="en-US" w:eastAsia="zh-CN"/>
        </w:rPr>
        <w:t>149.22</w:t>
      </w:r>
      <w:r>
        <w:rPr>
          <w:rFonts w:hint="eastAsia" w:ascii="仿宋" w:hAnsi="仿宋" w:eastAsia="仿宋"/>
          <w:sz w:val="32"/>
          <w:szCs w:val="32"/>
        </w:rPr>
        <w:t>万元，支出决算为</w:t>
      </w:r>
      <w:r>
        <w:rPr>
          <w:rFonts w:hint="eastAsia" w:ascii="仿宋" w:hAnsi="仿宋" w:eastAsia="仿宋"/>
          <w:sz w:val="32"/>
          <w:szCs w:val="32"/>
          <w:lang w:val="en-US" w:eastAsia="zh-CN"/>
        </w:rPr>
        <w:t>141.47</w:t>
      </w:r>
      <w:r>
        <w:rPr>
          <w:rFonts w:hint="eastAsia" w:ascii="仿宋" w:hAnsi="仿宋" w:eastAsia="仿宋"/>
          <w:sz w:val="32"/>
          <w:szCs w:val="32"/>
        </w:rPr>
        <w:t>万元，完成年初预算的</w:t>
      </w:r>
      <w:r>
        <w:rPr>
          <w:rFonts w:hint="eastAsia" w:ascii="仿宋" w:hAnsi="仿宋" w:eastAsia="仿宋"/>
          <w:sz w:val="32"/>
          <w:szCs w:val="32"/>
          <w:lang w:val="en-US" w:eastAsia="zh-CN"/>
        </w:rPr>
        <w:t>94.81</w:t>
      </w:r>
      <w:r>
        <w:rPr>
          <w:rFonts w:hint="eastAsia" w:ascii="仿宋" w:hAnsi="仿宋" w:eastAsia="仿宋"/>
          <w:sz w:val="32"/>
          <w:szCs w:val="32"/>
        </w:rPr>
        <w:t>%，决算数</w:t>
      </w:r>
      <w:r>
        <w:rPr>
          <w:rFonts w:hint="eastAsia" w:ascii="仿宋" w:hAnsi="仿宋" w:eastAsia="仿宋"/>
          <w:sz w:val="32"/>
          <w:szCs w:val="32"/>
          <w:lang w:eastAsia="zh-CN"/>
        </w:rPr>
        <w:t>小</w:t>
      </w:r>
      <w:r>
        <w:rPr>
          <w:rFonts w:hint="eastAsia" w:ascii="仿宋" w:hAnsi="仿宋" w:eastAsia="仿宋"/>
          <w:sz w:val="32"/>
          <w:szCs w:val="32"/>
        </w:rPr>
        <w:t>于年初预算数的主要原因是</w:t>
      </w:r>
      <w:r>
        <w:rPr>
          <w:rFonts w:hint="eastAsia" w:ascii="仿宋" w:hAnsi="仿宋" w:eastAsia="仿宋"/>
          <w:sz w:val="32"/>
          <w:szCs w:val="32"/>
          <w:lang w:eastAsia="zh-CN"/>
        </w:rPr>
        <w:t>厉行节约，减少支出。</w:t>
      </w:r>
    </w:p>
    <w:p>
      <w:pPr>
        <w:pStyle w:val="17"/>
        <w:ind w:firstLine="640" w:firstLineChars="200"/>
        <w:rPr>
          <w:rFonts w:hint="eastAsia" w:ascii="仿宋" w:hAnsi="仿宋" w:eastAsia="仿宋"/>
          <w:sz w:val="32"/>
          <w:szCs w:val="32"/>
        </w:rPr>
      </w:pPr>
      <w:r>
        <w:rPr>
          <w:rFonts w:hint="eastAsia" w:ascii="仿宋" w:hAnsi="仿宋" w:eastAsia="仿宋"/>
          <w:sz w:val="32"/>
          <w:szCs w:val="32"/>
        </w:rPr>
        <w:t>2、一般公共服务支出（类）民主党派及工商联事务（款）一般行政管理事务（项）。</w:t>
      </w:r>
    </w:p>
    <w:p>
      <w:pPr>
        <w:pStyle w:val="17"/>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年初预算为3.0万元，支出决算为1.64万元，完成年初预算的54.67%，决算数小于年初预算数的主要原因是</w:t>
      </w:r>
      <w:r>
        <w:rPr>
          <w:rFonts w:hint="eastAsia" w:ascii="仿宋" w:hAnsi="仿宋" w:eastAsia="仿宋"/>
          <w:sz w:val="32"/>
          <w:szCs w:val="32"/>
          <w:lang w:eastAsia="zh-CN"/>
        </w:rPr>
        <w:t>厉行节约，减少支出。</w:t>
      </w:r>
    </w:p>
    <w:p>
      <w:pPr>
        <w:pStyle w:val="17"/>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3、一般公共服务支出（类）民主党派及工商联事务（款）其他民主党派及工商联事务支出（项）。</w:t>
      </w:r>
    </w:p>
    <w:p>
      <w:pPr>
        <w:pStyle w:val="17"/>
        <w:ind w:firstLine="640" w:firstLineChars="200"/>
        <w:rPr>
          <w:rFonts w:hint="default" w:ascii="Times New Roman" w:hAnsi="Times New Roman" w:eastAsia="楷体_GB2312" w:cs="楷体_GB2312"/>
          <w:b/>
          <w:color w:val="000000"/>
          <w:kern w:val="0"/>
          <w:sz w:val="32"/>
          <w:szCs w:val="32"/>
          <w:lang w:val="en-US" w:eastAsia="zh-CN"/>
        </w:rPr>
      </w:pPr>
      <w:r>
        <w:rPr>
          <w:rFonts w:hint="eastAsia" w:ascii="仿宋" w:hAnsi="仿宋" w:eastAsia="仿宋"/>
          <w:sz w:val="32"/>
          <w:szCs w:val="32"/>
          <w:lang w:val="en-US" w:eastAsia="zh-CN"/>
        </w:rPr>
        <w:t>年初预算为0万元，支出决算为0.24万元，完成年初预算的100.0%，决算数大于年初预算数的主要原因是新增项目支出。</w:t>
      </w:r>
    </w:p>
    <w:p>
      <w:pPr>
        <w:pStyle w:val="17"/>
        <w:ind w:firstLine="640" w:firstLineChars="200"/>
        <w:rPr>
          <w:rFonts w:hint="default" w:ascii="仿宋" w:hAnsi="仿宋" w:eastAsia="仿宋"/>
          <w:sz w:val="32"/>
          <w:szCs w:val="32"/>
          <w:lang w:val="en-US" w:eastAsia="zh-CN"/>
        </w:rPr>
      </w:pPr>
    </w:p>
    <w:p>
      <w:pPr>
        <w:pStyle w:val="8"/>
        <w:numPr>
          <w:ilvl w:val="0"/>
          <w:numId w:val="0"/>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eastAsia="zh-CN"/>
        </w:rPr>
        <w:t>六、</w:t>
      </w:r>
      <w:r>
        <w:rPr>
          <w:rFonts w:ascii="Times New Roman" w:hAnsi="Times New Roman" w:eastAsia="黑体" w:cs="Times New Roman"/>
          <w:color w:val="000000"/>
          <w:kern w:val="0"/>
          <w:sz w:val="32"/>
          <w:szCs w:val="32"/>
        </w:rPr>
        <w:t>一般公共预算财政拨款基本支出决算情况说明</w:t>
      </w:r>
    </w:p>
    <w:p>
      <w:pPr>
        <w:pStyle w:val="17"/>
        <w:ind w:firstLine="640" w:firstLineChars="200"/>
        <w:rPr>
          <w:rFonts w:hint="default" w:ascii="Times New Roman" w:hAnsi="Times New Roman" w:eastAsia="黑体" w:cs="Times New Roman"/>
          <w:color w:val="000000"/>
          <w:kern w:val="0"/>
          <w:sz w:val="32"/>
          <w:szCs w:val="32"/>
          <w:lang w:val="en-US" w:eastAsia="zh-CN"/>
        </w:rPr>
      </w:pPr>
      <w:r>
        <w:rPr>
          <w:rFonts w:hint="eastAsia" w:ascii="Times New Roman" w:hAnsi="Times New Roman" w:eastAsia="楷体_GB2312" w:cs="楷体_GB2312"/>
          <w:b/>
          <w:color w:val="000000"/>
          <w:kern w:val="0"/>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年度财政拨款基本支出</w:t>
      </w:r>
      <w:r>
        <w:rPr>
          <w:rFonts w:hint="eastAsia" w:ascii="仿宋" w:hAnsi="仿宋" w:eastAsia="仿宋"/>
          <w:sz w:val="32"/>
          <w:szCs w:val="32"/>
          <w:lang w:val="en-US" w:eastAsia="zh-CN"/>
        </w:rPr>
        <w:t>141.47</w:t>
      </w:r>
      <w:r>
        <w:rPr>
          <w:rFonts w:hint="eastAsia" w:ascii="仿宋" w:hAnsi="仿宋" w:eastAsia="仿宋"/>
          <w:sz w:val="32"/>
          <w:szCs w:val="32"/>
        </w:rPr>
        <w:t>万元，其中：人员经费</w:t>
      </w:r>
      <w:r>
        <w:rPr>
          <w:rFonts w:hint="eastAsia" w:ascii="仿宋" w:hAnsi="仿宋" w:eastAsia="仿宋"/>
          <w:sz w:val="32"/>
          <w:szCs w:val="32"/>
          <w:lang w:val="en-US" w:eastAsia="zh-CN"/>
        </w:rPr>
        <w:t>122.33</w:t>
      </w:r>
      <w:r>
        <w:rPr>
          <w:rFonts w:hint="eastAsia" w:ascii="仿宋" w:hAnsi="仿宋" w:eastAsia="仿宋"/>
          <w:sz w:val="32"/>
          <w:szCs w:val="32"/>
        </w:rPr>
        <w:t>万元，占基本支出的</w:t>
      </w:r>
      <w:r>
        <w:rPr>
          <w:rFonts w:hint="eastAsia" w:ascii="仿宋" w:hAnsi="仿宋" w:eastAsia="仿宋"/>
          <w:sz w:val="32"/>
          <w:szCs w:val="32"/>
          <w:lang w:val="en-US" w:eastAsia="zh-CN"/>
        </w:rPr>
        <w:t>86.47</w:t>
      </w:r>
      <w:r>
        <w:rPr>
          <w:rFonts w:hint="eastAsia" w:ascii="仿宋" w:hAnsi="仿宋" w:eastAsia="仿宋"/>
          <w:sz w:val="32"/>
          <w:szCs w:val="32"/>
        </w:rPr>
        <w:t>%,主要包括基本工资、津贴补贴、奖金、伙食补助费、养老保险、医疗保险、住房公积金、对个人和家庭的补助；公用经费</w:t>
      </w:r>
      <w:r>
        <w:rPr>
          <w:rFonts w:hint="eastAsia" w:ascii="仿宋" w:hAnsi="仿宋" w:eastAsia="仿宋"/>
          <w:sz w:val="32"/>
          <w:szCs w:val="32"/>
          <w:lang w:val="en-US" w:eastAsia="zh-CN"/>
        </w:rPr>
        <w:t>19.14</w:t>
      </w:r>
      <w:r>
        <w:rPr>
          <w:rFonts w:hint="eastAsia" w:ascii="仿宋" w:hAnsi="仿宋" w:eastAsia="仿宋"/>
          <w:sz w:val="32"/>
          <w:szCs w:val="32"/>
        </w:rPr>
        <w:t>万元，占基本支出的</w:t>
      </w:r>
      <w:r>
        <w:rPr>
          <w:rFonts w:hint="eastAsia" w:ascii="仿宋" w:hAnsi="仿宋" w:eastAsia="仿宋"/>
          <w:sz w:val="32"/>
          <w:szCs w:val="32"/>
          <w:lang w:val="en-US" w:eastAsia="zh-CN"/>
        </w:rPr>
        <w:t>13.53</w:t>
      </w:r>
      <w:r>
        <w:rPr>
          <w:rFonts w:hint="eastAsia" w:ascii="仿宋" w:hAnsi="仿宋" w:eastAsia="仿宋"/>
          <w:sz w:val="32"/>
          <w:szCs w:val="32"/>
        </w:rPr>
        <w:t>%，主要包括办公费、印刷费、邮电费、差旅费、培训费、</w:t>
      </w:r>
      <w:r>
        <w:rPr>
          <w:rFonts w:hint="eastAsia" w:ascii="仿宋" w:hAnsi="仿宋" w:eastAsia="仿宋"/>
          <w:sz w:val="32"/>
          <w:szCs w:val="32"/>
          <w:lang w:eastAsia="zh-CN"/>
        </w:rPr>
        <w:t>工会经费</w:t>
      </w:r>
      <w:r>
        <w:rPr>
          <w:rFonts w:hint="eastAsia" w:ascii="仿宋" w:hAnsi="仿宋" w:eastAsia="仿宋"/>
          <w:sz w:val="32"/>
          <w:szCs w:val="32"/>
        </w:rPr>
        <w:t>、其他交通费用</w:t>
      </w:r>
      <w:r>
        <w:rPr>
          <w:rFonts w:hint="eastAsia" w:ascii="仿宋" w:hAnsi="仿宋" w:eastAsia="仿宋"/>
          <w:sz w:val="32"/>
          <w:szCs w:val="32"/>
          <w:lang w:eastAsia="zh-CN"/>
        </w:rPr>
        <w:t>、办公设备购置费等</w:t>
      </w:r>
      <w:r>
        <w:rPr>
          <w:rFonts w:hint="eastAsia" w:ascii="仿宋" w:hAnsi="仿宋" w:eastAsia="仿宋"/>
          <w:sz w:val="32"/>
          <w:szCs w:val="32"/>
        </w:rPr>
        <w:t>。</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pPr>
        <w:pStyle w:val="8"/>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pPr>
        <w:pStyle w:val="17"/>
        <w:ind w:firstLine="800" w:firstLineChars="250"/>
        <w:rPr>
          <w:rFonts w:hint="eastAsia" w:ascii="Times New Roman" w:hAnsi="Times New Roman" w:eastAsia="仿宋" w:cs="Times New Roman"/>
          <w:sz w:val="32"/>
          <w:szCs w:val="32"/>
          <w:lang w:eastAsia="zh-CN"/>
        </w:rPr>
      </w:pPr>
      <w:r>
        <w:rPr>
          <w:rFonts w:ascii="Times New Roman" w:hAnsi="Times New Roman" w:eastAsia="仿宋" w:cs="Times New Roman"/>
          <w:sz w:val="32"/>
          <w:szCs w:val="32"/>
        </w:rPr>
        <w:t>2023年度“三公”经费财政拨款支出预算为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万元，决算数等于预算数</w:t>
      </w:r>
      <w:r>
        <w:rPr>
          <w:rFonts w:hint="eastAsia" w:ascii="Times New Roman" w:hAnsi="Times New Roman" w:eastAsia="仿宋" w:cs="Times New Roman"/>
          <w:sz w:val="32"/>
          <w:szCs w:val="32"/>
          <w:lang w:eastAsia="zh-CN"/>
        </w:rPr>
        <w:t>。</w:t>
      </w:r>
    </w:p>
    <w:p>
      <w:pPr>
        <w:pStyle w:val="17"/>
        <w:ind w:firstLine="640" w:firstLineChars="200"/>
        <w:rPr>
          <w:rFonts w:hint="eastAsia" w:ascii="仿宋" w:hAnsi="仿宋" w:eastAsia="仿宋"/>
          <w:sz w:val="32"/>
          <w:szCs w:val="32"/>
          <w:lang w:eastAsia="zh-CN"/>
        </w:rPr>
      </w:pPr>
      <w:r>
        <w:rPr>
          <w:rFonts w:ascii="Times New Roman" w:hAnsi="Times New Roman" w:eastAsia="仿宋" w:cs="Times New Roman"/>
          <w:sz w:val="32"/>
          <w:szCs w:val="32"/>
        </w:rPr>
        <w:t>因公出国（境）费支出预算为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w:t>
      </w:r>
      <w:r>
        <w:rPr>
          <w:rFonts w:hint="eastAsia" w:ascii="仿宋" w:hAnsi="仿宋" w:eastAsia="仿宋"/>
          <w:sz w:val="32"/>
          <w:szCs w:val="32"/>
        </w:rPr>
        <w:t>决算数等于预算数。与上年相</w:t>
      </w:r>
      <w:r>
        <w:rPr>
          <w:rFonts w:hint="eastAsia" w:ascii="仿宋" w:hAnsi="仿宋" w:eastAsia="仿宋"/>
          <w:sz w:val="32"/>
          <w:szCs w:val="32"/>
          <w:lang w:eastAsia="zh-CN"/>
        </w:rPr>
        <w:t>持平。</w:t>
      </w:r>
    </w:p>
    <w:p>
      <w:pPr>
        <w:pStyle w:val="17"/>
        <w:ind w:firstLine="640" w:firstLineChars="200"/>
        <w:rPr>
          <w:rFonts w:hint="eastAsia" w:ascii="仿宋" w:hAnsi="仿宋" w:eastAsia="仿宋"/>
          <w:sz w:val="32"/>
          <w:szCs w:val="32"/>
          <w:lang w:eastAsia="zh-CN"/>
        </w:rPr>
      </w:pPr>
      <w:r>
        <w:rPr>
          <w:rFonts w:ascii="Times New Roman" w:hAnsi="Times New Roman" w:eastAsia="仿宋" w:cs="Times New Roman"/>
          <w:sz w:val="32"/>
          <w:szCs w:val="32"/>
        </w:rPr>
        <w:t>公务接待费支出预算为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w:t>
      </w:r>
      <w:r>
        <w:rPr>
          <w:rFonts w:hint="eastAsia" w:ascii="仿宋" w:hAnsi="仿宋" w:eastAsia="仿宋"/>
          <w:sz w:val="32"/>
          <w:szCs w:val="32"/>
        </w:rPr>
        <w:t>决算数等于预算数。与上年相</w:t>
      </w:r>
      <w:r>
        <w:rPr>
          <w:rFonts w:hint="eastAsia" w:ascii="仿宋" w:hAnsi="仿宋" w:eastAsia="仿宋"/>
          <w:sz w:val="32"/>
          <w:szCs w:val="32"/>
          <w:lang w:eastAsia="zh-CN"/>
        </w:rPr>
        <w:t>持平。</w:t>
      </w:r>
    </w:p>
    <w:p>
      <w:pPr>
        <w:pStyle w:val="17"/>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公务用车购置费支出预算为0万元，支出决算为0万元，</w:t>
      </w:r>
      <w:r>
        <w:rPr>
          <w:rFonts w:hint="eastAsia" w:ascii="仿宋" w:hAnsi="仿宋" w:eastAsia="仿宋"/>
          <w:sz w:val="32"/>
          <w:szCs w:val="32"/>
        </w:rPr>
        <w:t>决算数等于预算数。与上年相</w:t>
      </w:r>
      <w:r>
        <w:rPr>
          <w:rFonts w:hint="eastAsia" w:ascii="仿宋" w:hAnsi="仿宋" w:eastAsia="仿宋"/>
          <w:sz w:val="32"/>
          <w:szCs w:val="32"/>
          <w:lang w:eastAsia="zh-CN"/>
        </w:rPr>
        <w:t>持平。</w:t>
      </w:r>
    </w:p>
    <w:p>
      <w:pPr>
        <w:pStyle w:val="17"/>
        <w:ind w:firstLine="640" w:firstLineChars="200"/>
        <w:rPr>
          <w:rFonts w:hint="eastAsia" w:ascii="仿宋" w:hAnsi="仿宋" w:eastAsia="仿宋"/>
          <w:sz w:val="32"/>
          <w:szCs w:val="32"/>
        </w:rPr>
      </w:pPr>
      <w:r>
        <w:rPr>
          <w:rFonts w:ascii="Times New Roman" w:hAnsi="Times New Roman" w:eastAsia="仿宋" w:cs="Times New Roman"/>
          <w:sz w:val="32"/>
          <w:szCs w:val="32"/>
        </w:rPr>
        <w:t>公务用车运行维护费支出预算为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w:t>
      </w:r>
      <w:r>
        <w:rPr>
          <w:rFonts w:hint="eastAsia" w:ascii="仿宋" w:hAnsi="仿宋" w:eastAsia="仿宋"/>
          <w:sz w:val="32"/>
          <w:szCs w:val="32"/>
        </w:rPr>
        <w:t>决算数等于预算数。与上年相</w:t>
      </w:r>
      <w:r>
        <w:rPr>
          <w:rFonts w:hint="eastAsia" w:ascii="仿宋" w:hAnsi="仿宋" w:eastAsia="仿宋"/>
          <w:sz w:val="32"/>
          <w:szCs w:val="32"/>
          <w:lang w:eastAsia="zh-CN"/>
        </w:rPr>
        <w:t>持平。</w:t>
      </w:r>
    </w:p>
    <w:p>
      <w:pPr>
        <w:pStyle w:val="17"/>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7"/>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2023年度“三公”经费财政拨款支出决算中，公务接待费支出决算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0.0</w:t>
      </w:r>
      <w:r>
        <w:rPr>
          <w:rFonts w:ascii="Times New Roman" w:hAnsi="Times New Roman" w:eastAsia="仿宋" w:cs="Times New Roman"/>
          <w:sz w:val="32"/>
          <w:szCs w:val="32"/>
        </w:rPr>
        <w:t>%,因公出国（境）费支出决算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0.0</w:t>
      </w:r>
      <w:r>
        <w:rPr>
          <w:rFonts w:ascii="Times New Roman" w:hAnsi="Times New Roman" w:eastAsia="仿宋" w:cs="Times New Roman"/>
          <w:sz w:val="32"/>
          <w:szCs w:val="32"/>
        </w:rPr>
        <w:t>%,公务用车购置费及运行维护费支出决算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0.0</w:t>
      </w:r>
      <w:r>
        <w:rPr>
          <w:rFonts w:ascii="Times New Roman" w:hAnsi="Times New Roman" w:eastAsia="仿宋" w:cs="Times New Roman"/>
          <w:sz w:val="32"/>
          <w:szCs w:val="32"/>
        </w:rPr>
        <w:t>%。其中：</w:t>
      </w:r>
    </w:p>
    <w:p>
      <w:pPr>
        <w:pStyle w:val="17"/>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1、因公出国（境）费支出决算为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万元，全年安排因公出国（境）团组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个，累计</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 xml:space="preserve">人次。    </w:t>
      </w:r>
    </w:p>
    <w:p>
      <w:pPr>
        <w:pStyle w:val="17"/>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2、公务接待费支出决算为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万元，全年共接待来访团组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个、来宾</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人次。</w:t>
      </w:r>
    </w:p>
    <w:p>
      <w:pPr>
        <w:ind w:firstLine="800" w:firstLineChars="25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3、公务用车购置费及运行维护费支出决算为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万元，其中：公务用车购置费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万元，购置公务用车</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辆。公务用车运行维护费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万元，截止2023年12月31日，我单位开支财政拨款的公务用车保有量为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w:t>
      </w:r>
    </w:p>
    <w:p>
      <w:pPr>
        <w:pStyle w:val="8"/>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八、政府性基金预算收入支出决算情况</w:t>
      </w:r>
    </w:p>
    <w:p>
      <w:pPr>
        <w:pStyle w:val="17"/>
        <w:rPr>
          <w:rFonts w:ascii="Times New Roman" w:hAnsi="Times New Roman" w:eastAsia="黑体" w:cs="Times New Roman"/>
          <w:color w:val="000000"/>
          <w:kern w:val="0"/>
          <w:sz w:val="32"/>
          <w:szCs w:val="32"/>
        </w:rPr>
      </w:pPr>
      <w:r>
        <w:rPr>
          <w:rFonts w:hint="eastAsia" w:ascii="仿宋" w:hAnsi="仿宋" w:eastAsia="仿宋" w:cs="黑体"/>
          <w:color w:val="000000"/>
          <w:kern w:val="0"/>
          <w:sz w:val="32"/>
          <w:szCs w:val="32"/>
          <w:lang w:val="en-US" w:eastAsia="zh-CN" w:bidi="ar-SA"/>
        </w:rPr>
        <w:t xml:space="preserve">   2023年度政府性基金预算财政拨款收入0万元；年初结转和结余0万元；支出0万元，其中基本支出0万元，项目支出0万元；年末结转和结余0万元。2023年度本单位无政府性基金收支。</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pPr>
        <w:pStyle w:val="8"/>
        <w:autoSpaceDE w:val="0"/>
        <w:autoSpaceDN w:val="0"/>
        <w:adjustRightInd w:val="0"/>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 w:cs="Times New Roman"/>
          <w:color w:val="000000"/>
          <w:kern w:val="0"/>
          <w:sz w:val="32"/>
          <w:szCs w:val="32"/>
        </w:rPr>
        <w:t>2023年度本单位没有使用国有资本经营预算安排的支出</w:t>
      </w:r>
      <w:r>
        <w:rPr>
          <w:rFonts w:ascii="Times New Roman" w:hAnsi="Times New Roman" w:eastAsia="仿宋_GB2312" w:cs="Times New Roman"/>
          <w:color w:val="000000"/>
          <w:kern w:val="0"/>
          <w:sz w:val="32"/>
          <w:szCs w:val="32"/>
        </w:rPr>
        <w:t>。</w:t>
      </w:r>
    </w:p>
    <w:p>
      <w:pPr>
        <w:pStyle w:val="8"/>
        <w:numPr>
          <w:ilvl w:val="0"/>
          <w:numId w:val="4"/>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机关运行经费支出说明</w:t>
      </w:r>
    </w:p>
    <w:p>
      <w:pPr>
        <w:pStyle w:val="8"/>
        <w:numPr>
          <w:ilvl w:val="0"/>
          <w:numId w:val="0"/>
        </w:numPr>
        <w:autoSpaceDE w:val="0"/>
        <w:autoSpaceDN w:val="0"/>
        <w:adjustRightInd w:val="0"/>
        <w:spacing w:line="570" w:lineRule="exact"/>
        <w:rPr>
          <w:rFonts w:hint="default" w:ascii="Times New Roman" w:hAnsi="Times New Roman" w:eastAsia="黑体" w:cs="Times New Roman"/>
          <w:color w:val="000000"/>
          <w:kern w:val="0"/>
          <w:sz w:val="32"/>
          <w:szCs w:val="32"/>
          <w:lang w:val="en-US" w:eastAsia="zh-CN"/>
        </w:rPr>
      </w:pPr>
      <w:r>
        <w:rPr>
          <w:rFonts w:hint="eastAsia" w:ascii="Times New Roman" w:hAnsi="Times New Roman" w:eastAsia="黑体" w:cs="Times New Roman"/>
          <w:color w:val="000000"/>
          <w:kern w:val="0"/>
          <w:sz w:val="32"/>
          <w:szCs w:val="32"/>
          <w:lang w:val="en-US" w:eastAsia="zh-CN"/>
        </w:rPr>
        <w:t xml:space="preserve">    </w:t>
      </w:r>
      <w:r>
        <w:rPr>
          <w:rFonts w:hint="eastAsia" w:ascii="Times New Roman" w:hAnsi="Times New Roman" w:eastAsia="黑体" w:cs="黑体"/>
          <w:color w:val="000000"/>
          <w:kern w:val="0"/>
          <w:sz w:val="32"/>
          <w:szCs w:val="32"/>
          <w:lang w:val="en-US" w:eastAsia="zh-CN"/>
        </w:rPr>
        <w:t xml:space="preserve"> </w:t>
      </w:r>
      <w:r>
        <w:rPr>
          <w:rFonts w:hint="eastAsia" w:ascii="仿宋" w:hAnsi="仿宋" w:eastAsia="仿宋" w:cs="黑体"/>
          <w:color w:val="000000"/>
          <w:kern w:val="0"/>
          <w:sz w:val="32"/>
          <w:szCs w:val="32"/>
          <w:lang w:val="en-US" w:eastAsia="zh-CN" w:bidi="ar-SA"/>
        </w:rPr>
        <w:t>本部门2023年度机关运行经费支出19.14万元，比年初预算数减少1.94万元，减少9.2%。主要原因是厉行节约，减少支出。</w:t>
      </w:r>
    </w:p>
    <w:p>
      <w:pPr>
        <w:pStyle w:val="8"/>
        <w:numPr>
          <w:ilvl w:val="0"/>
          <w:numId w:val="4"/>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一般性支出情况说明</w:t>
      </w:r>
    </w:p>
    <w:p>
      <w:pPr>
        <w:pStyle w:val="17"/>
        <w:ind w:firstLine="640" w:firstLineChars="200"/>
        <w:rPr>
          <w:rFonts w:hint="default" w:ascii="Times New Roman" w:hAnsi="Times New Roman" w:eastAsia="黑体" w:cs="Times New Roman"/>
          <w:color w:val="000000"/>
          <w:kern w:val="0"/>
          <w:sz w:val="32"/>
          <w:szCs w:val="32"/>
          <w:lang w:val="en-US" w:eastAsia="zh-CN"/>
        </w:rPr>
      </w:pPr>
      <w:r>
        <w:rPr>
          <w:rFonts w:hint="eastAsia" w:ascii="Times New Roman" w:hAnsi="Times New Roman" w:eastAsia="黑体" w:cs="Times New Roman"/>
          <w:color w:val="000000"/>
          <w:kern w:val="0"/>
          <w:sz w:val="32"/>
          <w:szCs w:val="32"/>
          <w:lang w:val="en-US" w:eastAsia="zh-CN"/>
        </w:rPr>
        <w:t xml:space="preserve"> </w:t>
      </w:r>
      <w:r>
        <w:rPr>
          <w:rFonts w:hint="eastAsia" w:ascii="仿宋" w:hAnsi="仿宋" w:eastAsia="仿宋" w:cs="黑体"/>
          <w:color w:val="000000"/>
          <w:kern w:val="0"/>
          <w:sz w:val="32"/>
          <w:szCs w:val="32"/>
          <w:lang w:val="en-US" w:eastAsia="zh-CN" w:bidi="ar-SA"/>
        </w:rPr>
        <w:t xml:space="preserve"> 2023年本部门开支会议费0万元；开支培训费0.39万元，用于</w:t>
      </w:r>
      <w:r>
        <w:rPr>
          <w:rFonts w:hint="default" w:ascii="Times New Roman" w:hAnsi="Times New Roman" w:eastAsia="仿宋_GB2312" w:cs="Times New Roman"/>
          <w:i w:val="0"/>
          <w:iCs w:val="0"/>
          <w:caps w:val="0"/>
          <w:color w:val="222222"/>
          <w:spacing w:val="0"/>
          <w:kern w:val="0"/>
          <w:sz w:val="32"/>
          <w:szCs w:val="32"/>
          <w:shd w:val="clear" w:color="auto" w:fill="FFFFFF"/>
          <w:lang w:val="en-US" w:eastAsia="zh-CN" w:bidi="ar"/>
        </w:rPr>
        <w:t>以学习宣传贯彻党的</w:t>
      </w:r>
      <w:r>
        <w:rPr>
          <w:rFonts w:hint="eastAsia" w:ascii="Times New Roman" w:hAnsi="Times New Roman" w:eastAsia="仿宋_GB2312" w:cs="Times New Roman"/>
          <w:i w:val="0"/>
          <w:iCs w:val="0"/>
          <w:caps w:val="0"/>
          <w:color w:val="222222"/>
          <w:spacing w:val="0"/>
          <w:kern w:val="0"/>
          <w:sz w:val="32"/>
          <w:szCs w:val="32"/>
          <w:shd w:val="clear" w:color="auto" w:fill="FFFFFF"/>
          <w:lang w:val="en-US" w:eastAsia="zh-CN" w:bidi="ar"/>
        </w:rPr>
        <w:t>二十</w:t>
      </w:r>
      <w:r>
        <w:rPr>
          <w:rFonts w:hint="default" w:ascii="Times New Roman" w:hAnsi="Times New Roman" w:eastAsia="仿宋_GB2312" w:cs="Times New Roman"/>
          <w:i w:val="0"/>
          <w:iCs w:val="0"/>
          <w:caps w:val="0"/>
          <w:color w:val="222222"/>
          <w:spacing w:val="0"/>
          <w:kern w:val="0"/>
          <w:sz w:val="32"/>
          <w:szCs w:val="32"/>
          <w:shd w:val="clear" w:color="auto" w:fill="FFFFFF"/>
          <w:lang w:val="en-US" w:eastAsia="zh-CN" w:bidi="ar"/>
        </w:rPr>
        <w:t>大精神为主线，</w:t>
      </w:r>
      <w:r>
        <w:rPr>
          <w:rFonts w:hint="eastAsia" w:ascii="Times New Roman" w:hAnsi="Times New Roman" w:eastAsia="仿宋_GB2312" w:cs="仿宋_GB2312"/>
          <w:b w:val="0"/>
          <w:spacing w:val="0"/>
          <w:kern w:val="2"/>
          <w:sz w:val="32"/>
          <w:szCs w:val="32"/>
          <w:lang w:val="en-US" w:eastAsia="zh-CN" w:bidi="ar-SA"/>
        </w:rPr>
        <w:t>通过微信工作群、座谈会、培训会等方式组织全体执委企业家</w:t>
      </w:r>
      <w:r>
        <w:rPr>
          <w:rFonts w:hint="default" w:ascii="Times New Roman" w:hAnsi="Times New Roman" w:eastAsia="仿宋_GB2312" w:cs="Times New Roman"/>
          <w:i w:val="0"/>
          <w:iCs w:val="0"/>
          <w:caps w:val="0"/>
          <w:color w:val="222222"/>
          <w:spacing w:val="0"/>
          <w:kern w:val="0"/>
          <w:sz w:val="32"/>
          <w:szCs w:val="32"/>
          <w:shd w:val="clear" w:color="auto" w:fill="FFFFFF"/>
          <w:lang w:val="en-US" w:eastAsia="zh-CN" w:bidi="ar"/>
        </w:rPr>
        <w:t>全方位</w:t>
      </w:r>
      <w:r>
        <w:rPr>
          <w:rFonts w:hint="eastAsia" w:ascii="Times New Roman" w:hAnsi="Times New Roman" w:eastAsia="仿宋_GB2312" w:cs="Times New Roman"/>
          <w:i w:val="0"/>
          <w:iCs w:val="0"/>
          <w:caps w:val="0"/>
          <w:color w:val="222222"/>
          <w:spacing w:val="0"/>
          <w:kern w:val="0"/>
          <w:sz w:val="32"/>
          <w:szCs w:val="32"/>
          <w:shd w:val="clear" w:color="auto" w:fill="FFFFFF"/>
          <w:lang w:val="en-US" w:eastAsia="zh-CN" w:bidi="ar"/>
        </w:rPr>
        <w:t>、</w:t>
      </w:r>
      <w:r>
        <w:rPr>
          <w:rFonts w:hint="default" w:ascii="Times New Roman" w:hAnsi="Times New Roman" w:eastAsia="仿宋_GB2312" w:cs="Times New Roman"/>
          <w:i w:val="0"/>
          <w:iCs w:val="0"/>
          <w:caps w:val="0"/>
          <w:color w:val="222222"/>
          <w:spacing w:val="0"/>
          <w:kern w:val="0"/>
          <w:sz w:val="32"/>
          <w:szCs w:val="32"/>
          <w:shd w:val="clear" w:color="auto" w:fill="FFFFFF"/>
          <w:lang w:val="en-US" w:eastAsia="zh-CN" w:bidi="ar"/>
        </w:rPr>
        <w:t>多层级开展党的二十大精神宣讲活动</w:t>
      </w:r>
      <w:r>
        <w:rPr>
          <w:rFonts w:hint="eastAsia" w:ascii="Times New Roman" w:hAnsi="Times New Roman" w:eastAsia="仿宋_GB2312" w:cs="Times New Roman"/>
          <w:i w:val="0"/>
          <w:iCs w:val="0"/>
          <w:caps w:val="0"/>
          <w:color w:val="222222"/>
          <w:spacing w:val="0"/>
          <w:kern w:val="0"/>
          <w:sz w:val="32"/>
          <w:szCs w:val="32"/>
          <w:shd w:val="clear" w:color="auto" w:fill="FFFFFF"/>
          <w:lang w:val="en-US" w:eastAsia="zh-CN" w:bidi="ar"/>
        </w:rPr>
        <w:t>，</w:t>
      </w:r>
      <w:r>
        <w:rPr>
          <w:rFonts w:hint="default" w:ascii="Times New Roman" w:hAnsi="Times New Roman" w:eastAsia="仿宋_GB2312" w:cs="Times New Roman"/>
          <w:i w:val="0"/>
          <w:iCs w:val="0"/>
          <w:caps w:val="0"/>
          <w:color w:val="222222"/>
          <w:spacing w:val="0"/>
          <w:kern w:val="0"/>
          <w:sz w:val="32"/>
          <w:szCs w:val="32"/>
          <w:shd w:val="clear" w:color="auto" w:fill="FFFFFF"/>
          <w:lang w:val="en-US" w:eastAsia="zh-CN" w:bidi="ar"/>
        </w:rPr>
        <w:t>引导广大民营经济人士听党话，跟党走，坚定走高质量发展道路的信心和决心。</w:t>
      </w:r>
      <w:r>
        <w:rPr>
          <w:rFonts w:hint="eastAsia" w:ascii="Times New Roman" w:hAnsi="Times New Roman" w:eastAsia="仿宋_GB2312" w:cs="仿宋_GB2312"/>
          <w:spacing w:val="0"/>
          <w:sz w:val="32"/>
          <w:szCs w:val="32"/>
          <w:lang w:val="en-US" w:eastAsia="zh-CN"/>
        </w:rPr>
        <w:t>通过座谈会、集中学习、向上推荐学习共培训民营企业家及相关人士百余人次。二类会议（100人X40元=4000元）。</w:t>
      </w:r>
    </w:p>
    <w:p>
      <w:pPr>
        <w:pStyle w:val="8"/>
        <w:numPr>
          <w:ilvl w:val="0"/>
          <w:numId w:val="4"/>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政府采购支出说明</w:t>
      </w:r>
    </w:p>
    <w:p>
      <w:pPr>
        <w:pStyle w:val="17"/>
        <w:ind w:firstLine="640" w:firstLineChars="200"/>
        <w:rPr>
          <w:rFonts w:hint="default" w:ascii="Times New Roman" w:hAnsi="Times New Roman" w:eastAsia="黑体" w:cs="Times New Roman"/>
          <w:color w:val="000000"/>
          <w:kern w:val="0"/>
          <w:sz w:val="32"/>
          <w:szCs w:val="32"/>
          <w:lang w:val="en-US" w:eastAsia="zh-CN"/>
        </w:rPr>
      </w:pPr>
      <w:r>
        <w:rPr>
          <w:rFonts w:hint="eastAsia" w:ascii="Times New Roman" w:hAnsi="Times New Roman" w:eastAsia="黑体" w:cs="黑体"/>
          <w:color w:val="000000"/>
          <w:kern w:val="0"/>
          <w:sz w:val="32"/>
          <w:szCs w:val="32"/>
          <w:lang w:val="en-US" w:eastAsia="zh-CN"/>
        </w:rPr>
        <w:t xml:space="preserve"> </w:t>
      </w:r>
      <w:r>
        <w:rPr>
          <w:rFonts w:hint="eastAsia" w:ascii="仿宋" w:hAnsi="仿宋" w:eastAsia="仿宋" w:cs="黑体"/>
          <w:color w:val="000000"/>
          <w:kern w:val="0"/>
          <w:sz w:val="32"/>
          <w:szCs w:val="32"/>
          <w:lang w:val="en-US" w:eastAsia="zh-CN" w:bidi="ar-SA"/>
        </w:rPr>
        <w:t>本部门2023年度政府采购支出总额0万元，其中：政府采购货物支出0 万元、政府采购工程支出0 万元、政府采购服务支出0万元。授予中小企业合同金额0万元，占政府采购支出总额的0.0%，其中：授予小微企业合同金额0万元，占授予中小企业合同金额的0.0%；货物采购授予中小企业合同金额占货物支出金额的0.0%，工程采购授予中小企业合同金额占工程支出金额的0.0%，服务采购授予中小企业合同金额占服务支出金额的0.0%。</w:t>
      </w:r>
    </w:p>
    <w:p>
      <w:pPr>
        <w:pStyle w:val="8"/>
        <w:numPr>
          <w:ilvl w:val="0"/>
          <w:numId w:val="4"/>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国有资产占用情况说明</w:t>
      </w:r>
    </w:p>
    <w:p>
      <w:pPr>
        <w:pStyle w:val="17"/>
        <w:rPr>
          <w:rFonts w:hint="default" w:ascii="Times New Roman" w:hAnsi="Times New Roman" w:eastAsia="黑体" w:cs="Times New Roman"/>
          <w:color w:val="000000"/>
          <w:kern w:val="0"/>
          <w:sz w:val="32"/>
          <w:szCs w:val="32"/>
          <w:lang w:val="en-US" w:eastAsia="zh-CN"/>
        </w:rPr>
      </w:pPr>
      <w:r>
        <w:rPr>
          <w:rFonts w:hint="eastAsia" w:ascii="Times New Roman" w:hAnsi="Times New Roman" w:eastAsia="黑体" w:cs="Times New Roman"/>
          <w:color w:val="000000"/>
          <w:kern w:val="0"/>
          <w:sz w:val="32"/>
          <w:szCs w:val="32"/>
          <w:lang w:val="en-US" w:eastAsia="zh-CN"/>
        </w:rPr>
        <w:t xml:space="preserve"> </w:t>
      </w:r>
      <w:r>
        <w:rPr>
          <w:rFonts w:hint="eastAsia" w:ascii="Times New Roman" w:hAnsi="Times New Roman" w:eastAsia="黑体" w:cs="黑体"/>
          <w:color w:val="000000"/>
          <w:kern w:val="0"/>
          <w:sz w:val="32"/>
          <w:szCs w:val="32"/>
          <w:lang w:val="en-US" w:eastAsia="zh-CN"/>
        </w:rPr>
        <w:t xml:space="preserve">  </w:t>
      </w:r>
      <w:r>
        <w:rPr>
          <w:rFonts w:hint="eastAsia" w:ascii="仿宋" w:hAnsi="仿宋" w:eastAsia="仿宋" w:cs="黑体"/>
          <w:color w:val="000000"/>
          <w:kern w:val="0"/>
          <w:sz w:val="32"/>
          <w:szCs w:val="32"/>
          <w:lang w:val="en-US" w:eastAsia="zh-CN" w:bidi="ar-SA"/>
        </w:rPr>
        <w:t>截至2023年12月31日，部门（单位）共有车辆0辆，其中，主要领导干部用车0辆，机要通信用车0辆、应急保障用车0辆、执法执勤用车0辆、特种专业技术用车0辆、其他用车0辆；单位价值50万元以上通用设备0台（套）；单位价值100.0万元以上专用设备0台（套）。</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pPr>
        <w:pStyle w:val="8"/>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（一）绩效管理评价工作开展情况。</w:t>
      </w:r>
    </w:p>
    <w:p>
      <w:pPr>
        <w:autoSpaceDE w:val="0"/>
        <w:autoSpaceDN w:val="0"/>
        <w:adjustRightInd w:val="0"/>
        <w:ind w:firstLine="640" w:firstLineChars="200"/>
        <w:jc w:val="left"/>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根据预算绩效管理要求，我部门组织对2023年度一般公共预算项目支出全面开展绩效自评，其中，一级项目2个，二级项目0个，共涉及资金</w:t>
      </w:r>
      <w:r>
        <w:rPr>
          <w:rFonts w:hint="eastAsia" w:ascii="Times New Roman" w:hAnsi="Times New Roman" w:eastAsia="仿宋_GB2312" w:cs="Times New Roman"/>
          <w:color w:val="auto"/>
          <w:sz w:val="32"/>
          <w:szCs w:val="32"/>
          <w:lang w:val="en-US" w:eastAsia="zh-CN"/>
        </w:rPr>
        <w:t>1.88</w:t>
      </w:r>
      <w:r>
        <w:rPr>
          <w:rFonts w:hint="eastAsia" w:ascii="仿宋" w:hAnsi="仿宋" w:eastAsia="仿宋" w:cs="黑体"/>
          <w:color w:val="000000"/>
          <w:kern w:val="0"/>
          <w:sz w:val="32"/>
          <w:szCs w:val="32"/>
          <w:lang w:val="en-US" w:eastAsia="zh-CN" w:bidi="ar-SA"/>
        </w:rPr>
        <w:t>万元，占一般公共预算项目支出总额100.0%。因本单位没有政府性基金预算项目支出，没有组织对2023年度政府性基金预算项目支出开展绩效自评。因本单位没有国有资本经营预算项目支出，没有组织对2023年度国有资本经营预算项目支出开展绩效自评。</w:t>
      </w:r>
    </w:p>
    <w:p>
      <w:pPr>
        <w:tabs>
          <w:tab w:val="left" w:pos="7560"/>
        </w:tabs>
        <w:adjustRightInd w:val="0"/>
        <w:snapToGrid w:val="0"/>
        <w:spacing w:line="540" w:lineRule="exact"/>
        <w:ind w:firstLine="640" w:firstLineChars="200"/>
        <w:jc w:val="left"/>
        <w:rPr>
          <w:rFonts w:ascii="Times New Roman" w:hAnsi="Times New Roman" w:eastAsia="楷体_GB2312" w:cs="Times New Roman"/>
          <w:b/>
          <w:color w:val="000000"/>
          <w:kern w:val="0"/>
          <w:sz w:val="32"/>
          <w:szCs w:val="32"/>
        </w:rPr>
      </w:pPr>
      <w:r>
        <w:rPr>
          <w:rFonts w:hint="eastAsia" w:ascii="仿宋" w:hAnsi="仿宋" w:eastAsia="仿宋" w:cs="黑体"/>
          <w:color w:val="000000"/>
          <w:kern w:val="0"/>
          <w:sz w:val="32"/>
          <w:szCs w:val="32"/>
          <w:lang w:val="en-US" w:eastAsia="zh-CN" w:bidi="ar-SA"/>
        </w:rPr>
        <w:t>组织对“</w:t>
      </w:r>
      <w:r>
        <w:rPr>
          <w:rFonts w:hint="eastAsia" w:ascii="仿宋_GB2312" w:eastAsia="仿宋_GB2312"/>
          <w:color w:val="auto"/>
          <w:sz w:val="32"/>
          <w:szCs w:val="32"/>
          <w:lang w:eastAsia="zh-CN"/>
        </w:rPr>
        <w:t>业务性专项经费</w:t>
      </w:r>
      <w:r>
        <w:rPr>
          <w:rFonts w:hint="eastAsia" w:ascii="仿宋" w:hAnsi="仿宋" w:eastAsia="仿宋" w:cs="黑体"/>
          <w:color w:val="000000"/>
          <w:kern w:val="0"/>
          <w:sz w:val="32"/>
          <w:szCs w:val="32"/>
          <w:lang w:val="en-US" w:eastAsia="zh-CN" w:bidi="ar-SA"/>
        </w:rPr>
        <w:t>”、</w:t>
      </w:r>
      <w:r>
        <w:rPr>
          <w:rFonts w:hint="default" w:ascii="Times New Roman" w:hAnsi="Times New Roman" w:eastAsia="仿宋_GB2312" w:cs="Times New Roman"/>
          <w:color w:val="auto"/>
          <w:sz w:val="32"/>
          <w:szCs w:val="32"/>
        </w:rPr>
        <w:t>“</w:t>
      </w:r>
      <w:r>
        <w:rPr>
          <w:rFonts w:hint="eastAsia" w:ascii="仿宋_GB2312" w:eastAsia="仿宋_GB2312"/>
          <w:color w:val="auto"/>
          <w:sz w:val="32"/>
          <w:szCs w:val="32"/>
        </w:rPr>
        <w:t>2023年区直部门代理记账服务费</w:t>
      </w:r>
      <w:r>
        <w:rPr>
          <w:rFonts w:hint="default" w:ascii="Times New Roman" w:hAnsi="Times New Roman" w:eastAsia="仿宋_GB2312" w:cs="Times New Roman"/>
          <w:color w:val="auto"/>
          <w:sz w:val="32"/>
          <w:szCs w:val="32"/>
        </w:rPr>
        <w:t>”</w:t>
      </w:r>
      <w:r>
        <w:rPr>
          <w:rFonts w:hint="eastAsia" w:ascii="仿宋" w:hAnsi="仿宋" w:eastAsia="仿宋" w:cs="黑体"/>
          <w:color w:val="000000"/>
          <w:kern w:val="0"/>
          <w:sz w:val="32"/>
          <w:szCs w:val="32"/>
          <w:lang w:val="en-US" w:eastAsia="zh-CN" w:bidi="ar-SA"/>
        </w:rPr>
        <w:t>2 个项目开展了部门评价，涉及一般公共预算支出</w:t>
      </w:r>
      <w:r>
        <w:rPr>
          <w:rFonts w:hint="eastAsia" w:ascii="Times New Roman" w:hAnsi="Times New Roman" w:eastAsia="仿宋_GB2312" w:cs="Times New Roman"/>
          <w:color w:val="auto"/>
          <w:sz w:val="32"/>
          <w:szCs w:val="32"/>
          <w:lang w:val="en-US" w:eastAsia="zh-CN"/>
        </w:rPr>
        <w:t>1.88</w:t>
      </w:r>
      <w:r>
        <w:rPr>
          <w:rFonts w:hint="eastAsia" w:ascii="仿宋" w:hAnsi="仿宋" w:eastAsia="仿宋" w:cs="黑体"/>
          <w:color w:val="000000"/>
          <w:kern w:val="0"/>
          <w:sz w:val="32"/>
          <w:szCs w:val="32"/>
          <w:lang w:val="en-US" w:eastAsia="zh-CN" w:bidi="ar-SA"/>
        </w:rPr>
        <w:t>万元，政府性基金预算支出0 万元，国有资本经营预算支出0万元。</w:t>
      </w:r>
    </w:p>
    <w:p>
      <w:pPr>
        <w:pStyle w:val="8"/>
        <w:numPr>
          <w:ilvl w:val="0"/>
          <w:numId w:val="5"/>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部门评价项目绩效评价结果。</w:t>
      </w:r>
    </w:p>
    <w:p>
      <w:pPr>
        <w:keepNext w:val="0"/>
        <w:keepLines w:val="0"/>
        <w:pageBreakBefore w:val="0"/>
        <w:widowControl w:val="0"/>
        <w:kinsoku/>
        <w:wordWrap/>
        <w:overflowPunct/>
        <w:topLinePunct w:val="0"/>
        <w:autoSpaceDE w:val="0"/>
        <w:autoSpaceDN w:val="0"/>
        <w:bidi w:val="0"/>
        <w:adjustRightInd/>
        <w:snapToGrid/>
        <w:spacing w:line="560" w:lineRule="exact"/>
        <w:ind w:firstLine="320" w:firstLineChars="1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楷体_GB2312" w:cs="楷体_GB2312"/>
          <w:b/>
          <w:color w:val="000000"/>
          <w:kern w:val="0"/>
          <w:sz w:val="32"/>
          <w:szCs w:val="32"/>
          <w:lang w:val="en-US" w:eastAsia="zh-CN"/>
        </w:rPr>
        <w:t xml:space="preserve"> </w:t>
      </w:r>
      <w:r>
        <w:rPr>
          <w:rFonts w:hint="eastAsia" w:ascii="Times New Roman" w:hAnsi="Times New Roman" w:eastAsia="仿宋_GB2312" w:cs="仿宋_GB2312"/>
          <w:kern w:val="2"/>
          <w:sz w:val="32"/>
          <w:szCs w:val="32"/>
          <w:lang w:val="en-US" w:eastAsia="zh-CN" w:bidi="ar-SA"/>
        </w:rPr>
        <w:t>部门评价项目数量2个，将2个项目部门评价报告向社会公开。</w:t>
      </w:r>
    </w:p>
    <w:p>
      <w:pPr>
        <w:tabs>
          <w:tab w:val="left" w:pos="7560"/>
        </w:tabs>
        <w:adjustRightInd w:val="0"/>
        <w:snapToGrid w:val="0"/>
        <w:spacing w:line="560" w:lineRule="exact"/>
        <w:ind w:firstLine="640" w:firstLineChars="200"/>
        <w:jc w:val="left"/>
        <w:rPr>
          <w:rFonts w:hint="default" w:eastAsia="宋体"/>
          <w:lang w:val="en-US" w:eastAsia="zh-CN"/>
        </w:rPr>
      </w:pPr>
      <w:r>
        <w:rPr>
          <w:rFonts w:hint="eastAsia" w:ascii="Times New Roman" w:hAnsi="Times New Roman" w:eastAsia="仿宋_GB2312" w:cs="仿宋_GB2312"/>
          <w:kern w:val="2"/>
          <w:sz w:val="32"/>
          <w:szCs w:val="32"/>
          <w:lang w:val="en-US" w:eastAsia="zh-CN" w:bidi="ar-SA"/>
        </w:rPr>
        <w:t>业务性专项经费绩效自评综述：根据年初设定的绩效目标，项目绩效自评得分为90.9分。项目全年预算数为3万元，执行数为1.64万元，完成预算</w:t>
      </w:r>
      <w:r>
        <w:rPr>
          <w:rFonts w:hint="eastAsia" w:ascii="仿宋" w:hAnsi="仿宋" w:eastAsia="仿宋" w:cs="黑体"/>
          <w:color w:val="000000"/>
          <w:kern w:val="0"/>
          <w:sz w:val="32"/>
          <w:szCs w:val="32"/>
          <w:lang w:val="en-US" w:eastAsia="zh-CN" w:bidi="ar-SA"/>
        </w:rPr>
        <w:t>的54.0%。项目绩效目标完成情况：</w:t>
      </w:r>
      <w:r>
        <w:rPr>
          <w:rFonts w:hint="eastAsia" w:ascii="仿宋_GB2312" w:eastAsia="仿宋_GB2312"/>
          <w:color w:val="000000"/>
          <w:sz w:val="32"/>
          <w:szCs w:val="32"/>
        </w:rPr>
        <w:t>主要</w:t>
      </w:r>
      <w:r>
        <w:rPr>
          <w:rFonts w:hint="eastAsia" w:ascii="仿宋_GB2312" w:hAnsi="Times New Roman" w:eastAsia="仿宋_GB2312" w:cs="Times New Roman"/>
          <w:color w:val="000000"/>
          <w:sz w:val="32"/>
          <w:szCs w:val="32"/>
          <w:highlight w:val="none"/>
        </w:rPr>
        <w:t>用于</w:t>
      </w:r>
      <w:r>
        <w:rPr>
          <w:rFonts w:hint="eastAsia" w:ascii="仿宋_GB2312" w:hAnsi="Times New Roman" w:eastAsia="仿宋_GB2312" w:cs="Times New Roman"/>
          <w:color w:val="000000"/>
          <w:sz w:val="32"/>
          <w:szCs w:val="32"/>
          <w:highlight w:val="none"/>
          <w:lang w:val="en-US" w:eastAsia="zh-CN"/>
        </w:rPr>
        <w:t>组织民营企业家、商协会</w:t>
      </w:r>
      <w:r>
        <w:rPr>
          <w:rFonts w:hint="eastAsia" w:ascii="仿宋_GB2312" w:hAnsi="Times New Roman" w:eastAsia="仿宋_GB2312" w:cs="Times New Roman"/>
          <w:color w:val="000000"/>
          <w:sz w:val="32"/>
          <w:szCs w:val="32"/>
          <w:highlight w:val="none"/>
        </w:rPr>
        <w:t>开展</w:t>
      </w:r>
      <w:r>
        <w:rPr>
          <w:rFonts w:hint="eastAsia" w:ascii="仿宋_GB2312" w:hAnsi="Times New Roman" w:eastAsia="仿宋_GB2312" w:cs="Times New Roman"/>
          <w:color w:val="000000"/>
          <w:sz w:val="32"/>
          <w:szCs w:val="32"/>
          <w:highlight w:val="none"/>
          <w:lang w:eastAsia="zh-CN"/>
        </w:rPr>
        <w:t>活动等相关业务支出。</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发现的主要问题及原因：预算执行率偏低。下一步改进措施：加强资金使用管理。</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color w:val="000000"/>
          <w:kern w:val="0"/>
          <w:sz w:val="32"/>
          <w:szCs w:val="32"/>
          <w:lang w:val="en-US" w:eastAsia="zh-CN"/>
        </w:rPr>
      </w:pPr>
      <w:r>
        <w:rPr>
          <w:rFonts w:hint="eastAsia" w:ascii="仿宋_GB2312" w:eastAsia="仿宋_GB2312"/>
          <w:color w:val="auto"/>
          <w:sz w:val="32"/>
          <w:szCs w:val="32"/>
        </w:rPr>
        <w:t>2023年区直部门代理记账服务费</w:t>
      </w:r>
      <w:r>
        <w:rPr>
          <w:rFonts w:hint="eastAsia" w:ascii="仿宋" w:hAnsi="仿宋" w:eastAsia="仿宋" w:cs="黑体"/>
          <w:color w:val="000000"/>
          <w:kern w:val="0"/>
          <w:sz w:val="32"/>
          <w:szCs w:val="32"/>
          <w:lang w:val="en-US" w:eastAsia="zh-CN" w:bidi="ar-SA"/>
        </w:rPr>
        <w:t>绩效自评综述：根据年初设定的绩效目标，项目绩效自评得分为100.0分。项目全年预算数为0.24万元，执行数为0.24万元，完成预算的100.0%。项目绩效目标完成情况：</w:t>
      </w:r>
      <w:r>
        <w:rPr>
          <w:rFonts w:hint="default" w:ascii="Times New Roman" w:hAnsi="Times New Roman" w:eastAsia="仿宋_GB2312" w:cs="Times New Roman"/>
          <w:color w:val="auto"/>
          <w:sz w:val="32"/>
          <w:szCs w:val="32"/>
        </w:rPr>
        <w:t>主要用于</w:t>
      </w:r>
      <w:r>
        <w:rPr>
          <w:rFonts w:hint="eastAsia" w:ascii="Times New Roman" w:hAnsi="Times New Roman" w:eastAsia="仿宋_GB2312" w:cs="Times New Roman"/>
          <w:color w:val="auto"/>
          <w:sz w:val="32"/>
          <w:szCs w:val="32"/>
          <w:lang w:eastAsia="zh-CN"/>
        </w:rPr>
        <w:t>发放代理记账人员记账服务费</w:t>
      </w:r>
      <w:r>
        <w:rPr>
          <w:rFonts w:hint="eastAsia" w:ascii="仿宋" w:hAnsi="仿宋" w:eastAsia="仿宋" w:cs="黑体"/>
          <w:color w:val="000000"/>
          <w:kern w:val="0"/>
          <w:sz w:val="32"/>
          <w:szCs w:val="32"/>
          <w:lang w:val="en-US" w:eastAsia="zh-CN" w:bidi="ar-SA"/>
        </w:rPr>
        <w:t>。发现的主要问题及原因：无。下一步改进措施：无。</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pPr>
        <w:pStyle w:val="17"/>
        <w:jc w:val="center"/>
        <w:rPr>
          <w:rFonts w:ascii="Times New Roman" w:hAnsi="Times New Roman" w:eastAsia="方正小标宋简体" w:cs="Times New Roman"/>
          <w:sz w:val="76"/>
          <w:szCs w:val="76"/>
        </w:rPr>
      </w:pP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pPr>
        <w:pStyle w:val="17"/>
        <w:jc w:val="both"/>
        <w:rPr>
          <w:rFonts w:hint="eastAsia" w:ascii="Times New Roman" w:hAnsi="Times New Roman" w:cs="Times New Roman"/>
          <w:sz w:val="72"/>
          <w:szCs w:val="72"/>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pPr>
        <w:pStyle w:val="17"/>
        <w:jc w:val="center"/>
        <w:rPr>
          <w:rFonts w:ascii="Times New Roman" w:hAnsi="Times New Roman" w:eastAsia="方正小标宋简体" w:cs="Times New Roman"/>
          <w:sz w:val="56"/>
          <w:szCs w:val="56"/>
        </w:rPr>
      </w:pPr>
    </w:p>
    <w:p>
      <w:pPr>
        <w:pStyle w:val="17"/>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pPr>
        <w:pStyle w:val="17"/>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pPr>
        <w:pStyle w:val="17"/>
        <w:spacing w:line="596"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w:t>
      </w:r>
      <w:bookmarkStart w:id="0" w:name="_GoBack"/>
      <w:bookmarkEnd w:id="0"/>
      <w:r>
        <w:rPr>
          <w:rFonts w:ascii="Times New Roman" w:hAnsi="Times New Roman" w:eastAsia="方正小标宋简体" w:cs="Times New Roman"/>
          <w:sz w:val="44"/>
          <w:szCs w:val="44"/>
        </w:rPr>
        <w:t>绩效</w:t>
      </w:r>
      <w:r>
        <w:rPr>
          <w:rFonts w:hint="eastAsia" w:ascii="Times New Roman" w:hAnsi="Times New Roman" w:eastAsia="方正小标宋简体" w:cs="Times New Roman"/>
          <w:sz w:val="44"/>
          <w:szCs w:val="44"/>
          <w:lang w:eastAsia="zh-CN"/>
        </w:rPr>
        <w:t>自评报告</w:t>
      </w:r>
    </w:p>
    <w:p>
      <w:pPr>
        <w:pStyle w:val="17"/>
        <w:spacing w:line="596" w:lineRule="exact"/>
        <w:jc w:val="center"/>
        <w:rPr>
          <w:rFonts w:hint="eastAsia" w:ascii="Times New Roman" w:hAnsi="Times New Roman" w:eastAsia="方正小标宋简体" w:cs="Times New Roman"/>
          <w:sz w:val="32"/>
          <w:szCs w:val="32"/>
          <w:lang w:eastAsia="zh-CN"/>
        </w:rPr>
      </w:pPr>
    </w:p>
    <w:p>
      <w:pPr>
        <w:pStyle w:val="17"/>
        <w:spacing w:line="596"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详</w:t>
      </w:r>
      <w:r>
        <w:rPr>
          <w:rFonts w:hint="default"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pPr>
                      <w:pStyle w:val="6"/>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1CC9CB"/>
    <w:multiLevelType w:val="singleLevel"/>
    <w:tmpl w:val="BA1CC9CB"/>
    <w:lvl w:ilvl="0" w:tentative="0">
      <w:start w:val="1"/>
      <w:numFmt w:val="chineseCounting"/>
      <w:suff w:val="nothing"/>
      <w:lvlText w:val="%1、"/>
      <w:lvlJc w:val="left"/>
      <w:rPr>
        <w:rFonts w:hint="eastAsia"/>
      </w:rPr>
    </w:lvl>
  </w:abstractNum>
  <w:abstractNum w:abstractNumId="1">
    <w:nsid w:val="04A5575C"/>
    <w:multiLevelType w:val="singleLevel"/>
    <w:tmpl w:val="04A5575C"/>
    <w:lvl w:ilvl="0" w:tentative="0">
      <w:start w:val="2"/>
      <w:numFmt w:val="chineseCounting"/>
      <w:suff w:val="nothing"/>
      <w:lvlText w:val="（%1）"/>
      <w:lvlJc w:val="left"/>
      <w:rPr>
        <w:rFonts w:hint="eastAsia"/>
      </w:rPr>
    </w:lvl>
  </w:abstractNum>
  <w:abstractNum w:abstractNumId="2">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E03E8BB"/>
    <w:multiLevelType w:val="singleLevel"/>
    <w:tmpl w:val="1E03E8BB"/>
    <w:lvl w:ilvl="0" w:tentative="0">
      <w:start w:val="2"/>
      <w:numFmt w:val="chineseCounting"/>
      <w:suff w:val="nothing"/>
      <w:lvlText w:val="（%1）"/>
      <w:lvlJc w:val="left"/>
      <w:rPr>
        <w:rFonts w:hint="eastAsia"/>
      </w:rPr>
    </w:lvl>
  </w:abstractNum>
  <w:abstractNum w:abstractNumId="4">
    <w:nsid w:val="38569DC1"/>
    <w:multiLevelType w:val="singleLevel"/>
    <w:tmpl w:val="38569DC1"/>
    <w:lvl w:ilvl="0" w:tentative="0">
      <w:start w:val="10"/>
      <w:numFmt w:val="chineseCounting"/>
      <w:suff w:val="nothing"/>
      <w:lvlText w:val="%1、"/>
      <w:lvlJc w:val="left"/>
      <w:rPr>
        <w:rFonts w:hint="eastAsia"/>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5OWExMGRmYjYwMjA3YzEwMTVlNzdjNDk1Y2RmZjY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21988"/>
    <w:rsid w:val="00F4725C"/>
    <w:rsid w:val="00F74360"/>
    <w:rsid w:val="00FB462F"/>
    <w:rsid w:val="00FD0A50"/>
    <w:rsid w:val="00FE16FA"/>
    <w:rsid w:val="00FE328A"/>
    <w:rsid w:val="00FE6269"/>
    <w:rsid w:val="00FF5CD6"/>
    <w:rsid w:val="028C1D30"/>
    <w:rsid w:val="06915006"/>
    <w:rsid w:val="0751274D"/>
    <w:rsid w:val="07634BF4"/>
    <w:rsid w:val="07A77932"/>
    <w:rsid w:val="07D82CD6"/>
    <w:rsid w:val="08F14AE1"/>
    <w:rsid w:val="0B567F72"/>
    <w:rsid w:val="0C7C6B53"/>
    <w:rsid w:val="0D3F15F5"/>
    <w:rsid w:val="0EF6245F"/>
    <w:rsid w:val="11E43B98"/>
    <w:rsid w:val="13692089"/>
    <w:rsid w:val="18985D2F"/>
    <w:rsid w:val="18FA38C9"/>
    <w:rsid w:val="1B323160"/>
    <w:rsid w:val="1B714E5F"/>
    <w:rsid w:val="1E532BCB"/>
    <w:rsid w:val="1EBE63A2"/>
    <w:rsid w:val="1F041D62"/>
    <w:rsid w:val="1F6317DE"/>
    <w:rsid w:val="1F745786"/>
    <w:rsid w:val="21B1218A"/>
    <w:rsid w:val="238B2E7B"/>
    <w:rsid w:val="239A063F"/>
    <w:rsid w:val="2AD95BF4"/>
    <w:rsid w:val="2F101369"/>
    <w:rsid w:val="321612FC"/>
    <w:rsid w:val="329076CE"/>
    <w:rsid w:val="32B56379"/>
    <w:rsid w:val="33D31025"/>
    <w:rsid w:val="38090922"/>
    <w:rsid w:val="38D75D21"/>
    <w:rsid w:val="395219B1"/>
    <w:rsid w:val="46BE0A2A"/>
    <w:rsid w:val="472236C4"/>
    <w:rsid w:val="47867568"/>
    <w:rsid w:val="47C05439"/>
    <w:rsid w:val="4B1C68ED"/>
    <w:rsid w:val="4B8003CD"/>
    <w:rsid w:val="4F976C0B"/>
    <w:rsid w:val="523F5138"/>
    <w:rsid w:val="538D47D7"/>
    <w:rsid w:val="538E105C"/>
    <w:rsid w:val="53BF69FD"/>
    <w:rsid w:val="591A5257"/>
    <w:rsid w:val="5D2E7409"/>
    <w:rsid w:val="60841B7E"/>
    <w:rsid w:val="635D15B9"/>
    <w:rsid w:val="64714AD2"/>
    <w:rsid w:val="64857E64"/>
    <w:rsid w:val="65965345"/>
    <w:rsid w:val="65F04BE5"/>
    <w:rsid w:val="6A484E25"/>
    <w:rsid w:val="6E0F6D2F"/>
    <w:rsid w:val="6EAE4254"/>
    <w:rsid w:val="74205B29"/>
    <w:rsid w:val="75F714AD"/>
    <w:rsid w:val="78081C98"/>
    <w:rsid w:val="795307BF"/>
    <w:rsid w:val="7DC2177C"/>
    <w:rsid w:val="7EAA7C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semiHidden/>
    <w:unhideWhenUsed/>
    <w:qFormat/>
    <w:uiPriority w:val="99"/>
    <w:pPr>
      <w:ind w:left="1400" w:leftChars="1400"/>
    </w:pPr>
  </w:style>
  <w:style w:type="paragraph" w:styleId="3">
    <w:name w:val="annotation text"/>
    <w:basedOn w:val="1"/>
    <w:link w:val="12"/>
    <w:semiHidden/>
    <w:qFormat/>
    <w:uiPriority w:val="99"/>
    <w:pPr>
      <w:jc w:val="left"/>
    </w:pPr>
  </w:style>
  <w:style w:type="paragraph" w:styleId="4">
    <w:name w:val="Body Text"/>
    <w:basedOn w:val="1"/>
    <w:link w:val="13"/>
    <w:qFormat/>
    <w:uiPriority w:val="99"/>
    <w:pPr>
      <w:spacing w:before="100" w:beforeAutospacing="1" w:after="120"/>
    </w:pPr>
    <w:rPr>
      <w:rFonts w:ascii="Times New Roman" w:hAnsi="Times New Roman" w:cs="Times New Roman"/>
    </w:rPr>
  </w:style>
  <w:style w:type="paragraph" w:styleId="5">
    <w:name w:val="Balloon Text"/>
    <w:basedOn w:val="1"/>
    <w:link w:val="14"/>
    <w:semiHidden/>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character" w:styleId="11">
    <w:name w:val="annotation reference"/>
    <w:basedOn w:val="10"/>
    <w:semiHidden/>
    <w:qFormat/>
    <w:uiPriority w:val="99"/>
    <w:rPr>
      <w:sz w:val="21"/>
      <w:szCs w:val="21"/>
    </w:rPr>
  </w:style>
  <w:style w:type="character" w:customStyle="1" w:styleId="12">
    <w:name w:val="批注文字 Char"/>
    <w:basedOn w:val="10"/>
    <w:link w:val="3"/>
    <w:semiHidden/>
    <w:qFormat/>
    <w:locked/>
    <w:uiPriority w:val="99"/>
    <w:rPr>
      <w:rFonts w:ascii="Calibri" w:hAnsi="Calibri" w:cs="Calibri"/>
      <w:sz w:val="21"/>
      <w:szCs w:val="21"/>
    </w:rPr>
  </w:style>
  <w:style w:type="character" w:customStyle="1" w:styleId="13">
    <w:name w:val="正文文本 Char"/>
    <w:basedOn w:val="10"/>
    <w:link w:val="4"/>
    <w:qFormat/>
    <w:locked/>
    <w:uiPriority w:val="99"/>
    <w:rPr>
      <w:rFonts w:eastAsia="宋体"/>
      <w:kern w:val="2"/>
      <w:sz w:val="21"/>
      <w:szCs w:val="21"/>
      <w:lang w:val="en-US" w:eastAsia="zh-CN"/>
    </w:rPr>
  </w:style>
  <w:style w:type="character" w:customStyle="1" w:styleId="14">
    <w:name w:val="批注框文本 Char"/>
    <w:basedOn w:val="10"/>
    <w:link w:val="5"/>
    <w:semiHidden/>
    <w:qFormat/>
    <w:locked/>
    <w:uiPriority w:val="99"/>
    <w:rPr>
      <w:sz w:val="18"/>
      <w:szCs w:val="18"/>
    </w:rPr>
  </w:style>
  <w:style w:type="character" w:customStyle="1" w:styleId="15">
    <w:name w:val="页脚 Char"/>
    <w:basedOn w:val="10"/>
    <w:link w:val="6"/>
    <w:qFormat/>
    <w:locked/>
    <w:uiPriority w:val="99"/>
    <w:rPr>
      <w:sz w:val="18"/>
      <w:szCs w:val="18"/>
    </w:rPr>
  </w:style>
  <w:style w:type="character" w:customStyle="1" w:styleId="16">
    <w:name w:val="页眉 Char"/>
    <w:basedOn w:val="10"/>
    <w:link w:val="7"/>
    <w:qFormat/>
    <w:locked/>
    <w:uiPriority w:val="99"/>
    <w:rPr>
      <w:sz w:val="18"/>
      <w:szCs w:val="18"/>
    </w:rPr>
  </w:style>
  <w:style w:type="paragraph" w:customStyle="1" w:styleId="17">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8">
    <w:name w:val="List Paragraph"/>
    <w:basedOn w:val="1"/>
    <w:qFormat/>
    <w:uiPriority w:val="99"/>
    <w:pPr>
      <w:ind w:firstLine="420" w:firstLineChars="200"/>
    </w:pPr>
  </w:style>
  <w:style w:type="paragraph" w:customStyle="1" w:styleId="19">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正文文字"/>
    <w:basedOn w:val="1"/>
    <w:next w:val="1"/>
    <w:qFormat/>
    <w:uiPriority w:val="99"/>
    <w:pPr>
      <w:spacing w:before="100" w:beforeAutospacing="1"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BFD09-0E6B-4DA2-B428-6FA26A5E151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1129</Words>
  <Characters>1138</Characters>
  <Lines>56</Lines>
  <Paragraphs>15</Paragraphs>
  <TotalTime>3</TotalTime>
  <ScaleCrop>false</ScaleCrop>
  <LinksUpToDate>false</LinksUpToDate>
  <CharactersWithSpaces>1148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lenovo</cp:lastModifiedBy>
  <cp:lastPrinted>2022-10-11T01:13:00Z</cp:lastPrinted>
  <dcterms:modified xsi:type="dcterms:W3CDTF">2024-11-19T03:47:04Z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30C9324D3AAA49B483ADABED174125C4_13</vt:lpwstr>
  </property>
</Properties>
</file>