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44"/>
        </w:rPr>
      </w:pPr>
      <w:r>
        <w:rPr>
          <w:rFonts w:hint="eastAsia" w:ascii="黑体" w:hAnsi="黑体" w:eastAsia="黑体"/>
          <w:color w:val="auto"/>
          <w:sz w:val="36"/>
          <w:szCs w:val="44"/>
          <w:lang w:val="en-US" w:eastAsia="zh-CN"/>
        </w:rPr>
        <w:t>株洲市石峰区工商业联合会</w:t>
      </w:r>
      <w:r>
        <w:rPr>
          <w:rFonts w:hint="eastAsia" w:ascii="黑体" w:hAnsi="黑体" w:eastAsia="黑体"/>
          <w:color w:val="auto"/>
          <w:sz w:val="36"/>
          <w:szCs w:val="44"/>
        </w:rPr>
        <w:t>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石峰区工商业联合会主要职责如下：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（一）参与政府政治、经济、社会生活中的重要问题的政治协商，发挥民主监督的作用。做好非公有制经济代表人士政治安排的推荐工作。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（二）宣传、贯彻党和国家的方针政策，引导会员积极参加国家经济建设。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（三）维护会员的合法权益，反映会员的意见、要求和建议，引导会员参与扶贫帮困活动和社会公益事业。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（四）为会员提供信息和科学、管理、法律、会计、审计、融资、咨询等服务工作，帮助会员引进资金、技术、人才。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（五）帮助会员建立会员之间、行业之间、地区之间的经济业务关系，动员和组织会员参加各种交易会、展销会、出国境考察等活动。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（六）为会员提供有关证明，协调处理关系，调解经济纠纷。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（七）完成区委和上级组织交办的其他工作。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石峰区工商业联合会（以下简称区工商联）是区委领导下的人民团体和商会组织，为正科级。现有股室1个，为综合办公室。人员编制数3人， 区工商联机关行政编制2名，其中主席1名，副主席1名。机关工勤人员编制1名，人员只出不进，编制出一减一。全单位共有人员10人，其中在职人员7人，退休人员3人。我单位无二级机构。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年预算收入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150.69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万元，其中年初预算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152.22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万元，调整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万元。其他资金来源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143.35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万元，其中基本支出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141.47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万元，结余结转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left="638" w:leftChars="304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年实际支出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143.35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万元，完成率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95.13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1、强化政治团结引领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深化民营经济人士理想信念教育。</w:t>
      </w:r>
      <w:r>
        <w:rPr>
          <w:rFonts w:hint="eastAsia" w:ascii="仿宋" w:hAnsi="仿宋" w:eastAsia="仿宋" w:cs="仿宋"/>
          <w:b w:val="0"/>
          <w:spacing w:val="0"/>
          <w:kern w:val="2"/>
          <w:sz w:val="32"/>
          <w:szCs w:val="32"/>
          <w:lang w:val="en-US" w:eastAsia="zh-CN" w:bidi="ar-SA"/>
        </w:rPr>
        <w:t>2023年以来，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以学习宣传贯彻党的二十大精神为主线，</w:t>
      </w:r>
      <w:r>
        <w:rPr>
          <w:rFonts w:hint="eastAsia" w:ascii="仿宋" w:hAnsi="仿宋" w:eastAsia="仿宋" w:cs="仿宋"/>
          <w:b w:val="0"/>
          <w:spacing w:val="0"/>
          <w:kern w:val="2"/>
          <w:sz w:val="32"/>
          <w:szCs w:val="32"/>
          <w:lang w:val="en-US" w:eastAsia="zh-CN" w:bidi="ar-SA"/>
        </w:rPr>
        <w:t>通过微信工作群、座谈会、培训会等方式组织全体执委企业家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全方位、多层级开展党的二十大精神宣讲活动，引导广大民营经济人士听党话，跟党走，坚定走高质量发展道路的信心和决心。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通过座谈会、集中学习、向上推荐学习共培训民营企业家及相关人士百余人次。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2、建立三项机制，助推民营经济发展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（1）、建立政企联系机制，为解决民企急难问题搭桥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县级领导联系民营企业和商协会制度。30名县级领导干部联系27家区内重点民营企业和11家商协会。定期走访，了解企业的经济运行情况，收集和解决企业的困难和问题。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实施政企早餐会制度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。组织召开石峰区第五次早餐会，会上收集诉求和建议7条，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区委区政府逐项研究、及时交办，确保企业所反映的问题件件有着落、事事有回音。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实施“百名干部联百企”。联点干部向区内民营企业推送惠企政策，发放口袋书、帮助企业与政府相关职能部门协调解决问题，切实增强了企业的政策获得感。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（2）、建立调研会商机制，为助推民企高质量发展赋能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开展“月走访、季会商”。区领导及工商联定期到民营企业走访调研，今年结合“走、找、想、促”工作，走访80余家企业和商协会，收集意见建议100余条，全部协调解决。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二是强化法律维权服务行动。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“万所联万会”行动。推动建立律师事务所与民企商协会的合作会商，为民营企业提供形式多样的法律服务；充分发挥商会的协调作用，7月底组织成立株洲市石峰区民间商会人民调解委员会，目前已正式投入工作；</w:t>
      </w:r>
      <w:r>
        <w:rPr>
          <w:rFonts w:hint="eastAsia" w:ascii="仿宋" w:hAnsi="仿宋" w:eastAsia="仿宋" w:cs="仿宋"/>
          <w:sz w:val="32"/>
          <w:szCs w:val="32"/>
        </w:rPr>
        <w:t>深化涉企商事纠纷诉调对接机制，9月12日，区工商联会同区法院联合下发《关于建立涉企商事纠纷诉调对接机制的工作方案》，就法院加强对商会调解组织支持指导，发挥商会调解组织在化解社会矛盾纠纷中的积极作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大力推进商会调解工作进行了规范。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开展民企业专项调查。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组织完成了区内150余家民营企业运行状况线上调查、民营企业社会责任调研、全联民营经济绿色发展调查、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全国工商联万家民营企业评营商环境调查等工作，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为区委、政府推动民营经济发展决策提供参考。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2月、5月，两次组织民营企业参加“株洲市民营企业50强”申报。根据企业法人意愿及企业经营现状，经过筛选，有联诚控股、兴隆化工、大汉钢铁、博创贸易4家民营企业申报评选（两次均为这4家企业）。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（3）、建立异地商会联络机制，为活跃民企投资拓路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助力湘商回归，邀请22名异地商协会和湘商企业代表座谈，就改善营商环境、完善产业链、招商政策宣传、强化政府与商会及企业的沟通等方面，广纳意见诤言。建立异地商会信息数据库，已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收集湘商企业信息593户。组织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赴潮州、深圳等异地商会组织开展“石峰区投资环境暨湘商回归专场推介”活动。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6月，推荐3名企业家参加“珠三角、长三角株洲籍民营企业家代表株洲行”活动。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深化“长株潭”三地工商联区域合作，搭建了“商会联盟”服务平台。今年，新注册湘商企业7家，湘商投资到位资金20.13亿元，内联引资完成63.45亿元。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left="638" w:leftChars="304" w:firstLine="0" w:firstLineChars="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全年项目支出共计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1.88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万元，2个项目。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年初预算项目“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业务性专项经费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42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（1）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业务性专项经费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1.64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</w:rPr>
        <w:t>主要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用于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组织民营企业家、商协会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开展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活动等相关业务支出。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年中追加</w:t>
      </w:r>
      <w:r>
        <w:rPr>
          <w:rFonts w:hint="eastAsia" w:ascii="仿宋_GB2312" w:eastAsia="仿宋_GB2312"/>
          <w:color w:val="auto"/>
          <w:sz w:val="32"/>
          <w:szCs w:val="32"/>
        </w:rPr>
        <w:t>项目“2023年区直部门代理记账服务费”金额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0.24</w:t>
      </w:r>
      <w:r>
        <w:rPr>
          <w:rFonts w:hint="eastAsia" w:ascii="仿宋_GB2312" w:eastAsia="仿宋_GB2312"/>
          <w:color w:val="auto"/>
          <w:sz w:val="32"/>
          <w:szCs w:val="32"/>
        </w:rPr>
        <w:t>万元，实际支出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0.24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color w:val="auto"/>
          <w:sz w:val="32"/>
          <w:szCs w:val="32"/>
        </w:rPr>
        <w:t>结余结转。项目实施及绩效情况如下：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（1）2023年区直部门代理记账服务费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发放代理记账人员记账服务费。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绩效管理不存在相关问题。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1280" w:firstLineChars="4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678104"/>
    <w:multiLevelType w:val="singleLevel"/>
    <w:tmpl w:val="9A67810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5N2ZmOTYyYjI4MDhhN2ZkMjhkZGU0ZDI5ZTdkOWM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0E3E2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8F6AA5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2CF66A7"/>
    <w:rsid w:val="43587B65"/>
    <w:rsid w:val="43EF71DA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5FC77FB9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6F85252B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正文文字"/>
    <w:basedOn w:val="1"/>
    <w:next w:val="1"/>
    <w:qFormat/>
    <w:uiPriority w:val="99"/>
    <w:pPr>
      <w:spacing w:after="120"/>
    </w:pPr>
  </w:style>
  <w:style w:type="character" w:customStyle="1" w:styleId="11">
    <w:name w:val="Header Char"/>
    <w:basedOn w:val="8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8"/>
    <w:link w:val="5"/>
    <w:qFormat/>
    <w:locked/>
    <w:uiPriority w:val="99"/>
    <w:rPr>
      <w:sz w:val="18"/>
      <w:szCs w:val="18"/>
    </w:rPr>
  </w:style>
  <w:style w:type="character" w:customStyle="1" w:styleId="13">
    <w:name w:val="Date Char"/>
    <w:basedOn w:val="8"/>
    <w:link w:val="4"/>
    <w:semiHidden/>
    <w:qFormat/>
    <w:locked/>
    <w:uiPriority w:val="99"/>
  </w:style>
  <w:style w:type="character" w:customStyle="1" w:styleId="14">
    <w:name w:val="font41"/>
    <w:basedOn w:val="8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11"/>
    <w:basedOn w:val="8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6</Pages>
  <Words>2137</Words>
  <Characters>2241</Characters>
  <Lines>0</Lines>
  <Paragraphs>0</Paragraphs>
  <TotalTime>0</TotalTime>
  <ScaleCrop>false</ScaleCrop>
  <LinksUpToDate>false</LinksUpToDate>
  <CharactersWithSpaces>2246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超</cp:lastModifiedBy>
  <cp:lastPrinted>2023-08-28T07:21:00Z</cp:lastPrinted>
  <dcterms:modified xsi:type="dcterms:W3CDTF">2024-06-24T10:28:25Z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D046AB22908C472C8AD60C17670F1370</vt:lpwstr>
  </property>
</Properties>
</file>