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共青团石峰区委员会成立于</w:t>
      </w:r>
      <w:r>
        <w:rPr>
          <w:rFonts w:hint="default" w:ascii="Times New Roman" w:hAnsi="Times New Roman" w:eastAsia="仿宋_GB2312" w:cs="Times New Roman"/>
          <w:color w:val="auto"/>
          <w:sz w:val="32"/>
          <w:szCs w:val="32"/>
          <w:lang w:val="en-US" w:eastAsia="zh-CN"/>
        </w:rPr>
        <w:t>1997年，是</w:t>
      </w:r>
      <w:r>
        <w:rPr>
          <w:rFonts w:hint="default" w:ascii="Times New Roman" w:hAnsi="Times New Roman" w:eastAsia="仿宋_GB2312" w:cs="Times New Roman"/>
          <w:color w:val="auto"/>
          <w:sz w:val="32"/>
          <w:szCs w:val="32"/>
          <w:lang w:eastAsia="zh-CN"/>
        </w:rPr>
        <w:t>在中共石峰区委领导下的先进青年群众组织，为正科级。</w:t>
      </w:r>
      <w:r>
        <w:rPr>
          <w:rFonts w:hint="default" w:ascii="Times New Roman" w:hAnsi="Times New Roman" w:eastAsia="仿宋_GB2312" w:cs="Times New Roman"/>
          <w:color w:val="auto"/>
          <w:sz w:val="32"/>
          <w:szCs w:val="32"/>
          <w:lang w:val="en-US" w:eastAsia="zh-CN"/>
        </w:rPr>
        <w:t>核定机构行政编制2名，下属事业单位石峰区青少年活动中心事业编1名，截至2023年末，本单位实有人数3人，其中行政编制1人，事业编制1人，劳务派遣1人。</w:t>
      </w:r>
      <w:r>
        <w:rPr>
          <w:rFonts w:hint="default" w:ascii="Times New Roman" w:hAnsi="Times New Roman" w:eastAsia="仿宋_GB2312" w:cs="Times New Roman"/>
          <w:color w:val="auto"/>
          <w:sz w:val="32"/>
          <w:szCs w:val="32"/>
        </w:rPr>
        <w:t>主要工作职责：领导全区共青团工作，组织全区共青团组织围绕全区改革、发展、稳定的大局开展工作，在区内</w:t>
      </w:r>
      <w:r>
        <w:rPr>
          <w:rFonts w:hint="default" w:ascii="Times New Roman" w:hAnsi="Times New Roman" w:eastAsia="仿宋_GB2312" w:cs="Times New Roman"/>
          <w:color w:val="auto"/>
          <w:sz w:val="32"/>
          <w:szCs w:val="32"/>
          <w:lang w:eastAsia="zh-CN"/>
        </w:rPr>
        <w:t>政治</w:t>
      </w:r>
      <w:r>
        <w:rPr>
          <w:rFonts w:hint="default" w:ascii="Times New Roman" w:hAnsi="Times New Roman" w:eastAsia="仿宋_GB2312" w:cs="Times New Roman"/>
          <w:color w:val="auto"/>
          <w:sz w:val="32"/>
          <w:szCs w:val="32"/>
        </w:rPr>
        <w:t>、经济、文化等活动中发挥党的助手和生力军作用</w:t>
      </w:r>
      <w:r>
        <w:rPr>
          <w:rFonts w:hint="default" w:ascii="Times New Roman" w:hAnsi="Times New Roman" w:eastAsia="仿宋_GB2312" w:cs="Times New Roman"/>
          <w:color w:val="auto"/>
          <w:sz w:val="32"/>
          <w:szCs w:val="32"/>
          <w:lang w:eastAsia="zh-CN"/>
        </w:rPr>
        <w:t>；参与制定全区青少年发展规划，对全区青少年教育培训基地、活动阵地等事务进行规划和指导；带领青年在经济社会发展中发挥生力军和突击队作用，充分调动和发挥青年的积极性和创造性，引导青年成为先进生产力的推动者、开拓者；承担区委、区政府委托的有关青少年工作事务，指导协调全区的青少年组织开展工作，发挥党和政府联系青少年群众的桥梁和纽带作用；关心青少年利益，代表和维护青少年的合法权益，围绕党的中心任务，开展适合青少年特点的活动，关心青少年的工作、学习和生活，切实为青少年服务，向党和政府反映青年的意见和要求，开展社会监督，同各种危害青少年的现象作斗争，保护和促进青少年健康成长；加强团的组织建设和思想建设，抓好青少年活动阵地建设，建立健全团的各项规章制度，做好新团员发展工作和推优入党工作；完成区委、区政府和团市委交办的其他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58.59</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50.36</w:t>
      </w:r>
      <w:r>
        <w:rPr>
          <w:rFonts w:hint="default" w:ascii="Times New Roman" w:hAnsi="Times New Roman" w:eastAsia="仿宋_GB2312" w:cs="Times New Roman"/>
          <w:color w:val="auto"/>
          <w:sz w:val="32"/>
          <w:szCs w:val="32"/>
        </w:rPr>
        <w:t>万元，调整追减</w:t>
      </w:r>
      <w:r>
        <w:rPr>
          <w:rFonts w:hint="eastAsia" w:ascii="Times New Roman" w:hAnsi="Times New Roman" w:eastAsia="仿宋_GB2312" w:cs="Times New Roman"/>
          <w:color w:val="auto"/>
          <w:sz w:val="32"/>
          <w:szCs w:val="32"/>
          <w:lang w:val="en-US" w:eastAsia="zh-CN"/>
        </w:rPr>
        <w:t>11.65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其他资金来源</w:t>
      </w:r>
      <w:r>
        <w:rPr>
          <w:rFonts w:hint="eastAsia" w:ascii="Times New Roman" w:hAnsi="Times New Roman" w:eastAsia="仿宋_GB2312" w:cs="Times New Roman"/>
          <w:color w:val="auto"/>
          <w:sz w:val="32"/>
          <w:szCs w:val="32"/>
          <w:lang w:val="en-US" w:eastAsia="zh-CN"/>
        </w:rPr>
        <w:t>19.88</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58.59</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46.64</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0.87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11.08</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主要荣誉。</w:t>
      </w:r>
      <w:r>
        <w:rPr>
          <w:rFonts w:hint="default" w:ascii="Times New Roman" w:hAnsi="Times New Roman" w:eastAsia="仿宋_GB2312" w:cs="Times New Roman"/>
          <w:color w:val="auto"/>
          <w:sz w:val="32"/>
          <w:szCs w:val="32"/>
          <w:lang w:val="en-US" w:eastAsia="zh-CN"/>
        </w:rPr>
        <w:t>株洲九方装备股份有限公司联合团支部获评全国五四红旗团支部；九方小学、外国语石峰学</w:t>
      </w:r>
      <w:bookmarkStart w:id="0" w:name="_GoBack"/>
      <w:r>
        <w:rPr>
          <w:rFonts w:hint="default" w:ascii="Times New Roman" w:hAnsi="Times New Roman" w:eastAsia="仿宋_GB2312" w:cs="Times New Roman"/>
          <w:color w:val="auto"/>
          <w:sz w:val="32"/>
          <w:szCs w:val="32"/>
          <w:lang w:val="en-US" w:eastAsia="zh-CN"/>
        </w:rPr>
        <w:t>校</w:t>
      </w:r>
      <w:bookmarkEnd w:id="0"/>
      <w:r>
        <w:rPr>
          <w:rFonts w:hint="default" w:ascii="Times New Roman" w:hAnsi="Times New Roman" w:eastAsia="仿宋_GB2312" w:cs="Times New Roman"/>
          <w:color w:val="auto"/>
          <w:sz w:val="32"/>
          <w:szCs w:val="32"/>
          <w:lang w:val="en-US" w:eastAsia="zh-CN"/>
        </w:rPr>
        <w:t>等两个中队荣获2023年度全国红领巾中队。石峰区河小青行动中心被团省委评为县区级优秀河小青行动中心。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lang w:val="en-US" w:eastAsia="zh-CN"/>
        </w:rPr>
        <w:t>省级项目。</w:t>
      </w:r>
      <w:r>
        <w:rPr>
          <w:rFonts w:hint="default" w:ascii="Times New Roman" w:hAnsi="Times New Roman" w:eastAsia="仿宋_GB2312" w:cs="Times New Roman"/>
          <w:color w:val="auto"/>
          <w:sz w:val="32"/>
          <w:szCs w:val="32"/>
          <w:lang w:val="en-US" w:eastAsia="zh-CN"/>
        </w:rPr>
        <w:t>依托企地共建优势，将田心街道北岭社区打造为省级社区青春行动示范点，11月迎接省内各地基层团干和社会组织负责人参观学习，党建引领青年投身基层社会治理的工作经验经《中国青年报》等媒体报道。发挥志愿者力量，组织开展青少年暑期实践活动10余场，新时代文明实践志愿服务总队和亿都九里云珑青年之家等2个团队（株洲共9个）</w:t>
      </w:r>
      <w:r>
        <w:rPr>
          <w:rFonts w:hint="eastAsia" w:ascii="Times New Roman" w:hAnsi="Times New Roman" w:eastAsia="仿宋_GB2312" w:cs="Times New Roman"/>
          <w:color w:val="auto"/>
          <w:sz w:val="32"/>
          <w:szCs w:val="32"/>
          <w:lang w:val="en-US" w:eastAsia="zh-CN"/>
        </w:rPr>
        <w:t>入选</w:t>
      </w:r>
      <w:r>
        <w:rPr>
          <w:rFonts w:hint="default" w:ascii="Times New Roman" w:hAnsi="Times New Roman" w:eastAsia="仿宋_GB2312" w:cs="Times New Roman"/>
          <w:color w:val="auto"/>
          <w:sz w:val="32"/>
          <w:szCs w:val="32"/>
          <w:lang w:val="en-US" w:eastAsia="zh-CN"/>
        </w:rPr>
        <w:t>“七彩假期”省级志愿服务团队。</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lang w:val="en-US" w:eastAsia="zh-CN"/>
        </w:rPr>
        <w:t>特色活动。</w:t>
      </w:r>
      <w:r>
        <w:rPr>
          <w:rFonts w:hint="default" w:ascii="Times New Roman" w:hAnsi="Times New Roman" w:eastAsia="仿宋_GB2312" w:cs="Times New Roman"/>
          <w:color w:val="auto"/>
          <w:sz w:val="32"/>
          <w:szCs w:val="32"/>
          <w:lang w:val="en-US" w:eastAsia="zh-CN"/>
        </w:rPr>
        <w:t>围绕为党育人使命，在全国大兴调查研究之风大背景下，主动联合区委组织部面向全区年轻干部开展“大调研 提能力 建新功”主题竞赛活动，通过公文规范、知识竞答、调研展示和主旨演讲四个环节，发现并培养一批能说会写、全面发展的年轻干部。通过整合爱心企业、商会和社会组织等资金资源，为困境青少年无偿改造团团希望小屋5间，提供更加舒适的学习和生活空间；</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（二）其他方面工作总结</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深化从严治团。有序推进县域共青团组织改革。在全区基层团组织和各有关单位大力支持和配合下，改革工作有序推进，圆满完成团省委对各区县的中期评估，目前正筹备全年验收。切实守牢团属意识形态阵地。抓实团员和青年主题教育，依托“青年大学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红领巾爱学习”等抓好青少年思想引领工作。用好青年讲师、青联委员、红领巾讲师等队伍资源，围绕党的二十大精神等开展宣讲活动12场，覆盖800余人，确保党的声音准确地传达到每一位青少年中。始终管好“石峰共青团”微信公众号和视频号，坚决做又红又专、轻松活泼、青年喜欢的新媒体平台。推出“你的样子就是石峰未来的样子”青春原创视频，在学习强国、石峰发布等多个媒体平台转发。积极履行从严治党主体责任。</w:t>
      </w:r>
      <w:r>
        <w:rPr>
          <w:rFonts w:hint="default" w:ascii="Times New Roman" w:hAnsi="Times New Roman" w:eastAsia="仿宋_GB2312" w:cs="Times New Roman"/>
          <w:color w:val="auto"/>
          <w:sz w:val="32"/>
          <w:szCs w:val="32"/>
          <w:lang w:eastAsia="zh-CN"/>
        </w:rPr>
        <w:t>将落实全面从严治党主体责任纳入重要议事日程，加强单位内部管理，严肃党内政治生活。</w:t>
      </w:r>
      <w:r>
        <w:rPr>
          <w:rFonts w:hint="default" w:ascii="Times New Roman" w:hAnsi="Times New Roman" w:eastAsia="仿宋_GB2312" w:cs="Times New Roman"/>
          <w:color w:val="auto"/>
          <w:sz w:val="32"/>
          <w:szCs w:val="32"/>
          <w:lang w:val="en-US" w:eastAsia="zh-CN"/>
        </w:rPr>
        <w:t>扎实推进清廉文化建设，配合组织纪检监察和经济工作战线年轻干部赴企业开展参观交流活动，帮助青年干部扣好人生的“第一粒扣子”。</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服务中心大局。持续推动两区融合。联合经开区、中车株洲所团委开展政企青年山谷露营活动，积极为加强青年交流搭建平台。坚持全区统筹的原则，争取省青基会资金在长沙市一中云龙实验学校建设团团心灵驿站。多方联动筹措资源。积极对外联系，争取各方支持推进团区委各项工作，千方百计减轻财政负担。今年先后向中车时代电气制造中心、湖南银行株洲分行、市侨商会等争取资金、物资等十余万。积极助力重大活动。组织机关干部参加融城欢乐跑、北斗峰会等重大活动的一对一接待服务工作，对外展现石峰青年良好形象。</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助力青年成长。支持鼓励创新创业。在返家乡发布就业岗位、实习岗位等35人，涉及轨道交通装备企业及机关事业单位，不断深化青年就业服务工作。推荐市乡村振兴青年先锋1名，集体1家，先后选送8名青年参加青年马克思主义培养工程农村班和乡村振兴人才培训班，为振兴乡村发展储备青年人才力量。持续深化志愿服务。联合区委宣传部开展学雷锋志愿服务示范活动，引领更多青年特别是企业团员青年加入志愿服务中。开展筑梦成长计划，组织志愿者对全区69名困境青少年上门走访，掌握了解最迫切需求。关心关爱困境青年。针对困境青少年需求开展精准帮扶，通过争取上级资金和积极筹措社会资源，今年以来实现购买书籍、生活用品等微心愿10余个。</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6.03</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0.31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0.87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4.85</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（1）</w:t>
      </w:r>
      <w:r>
        <w:rPr>
          <w:rFonts w:hint="eastAsia" w:ascii="楷体_GB2312" w:hAnsi="楷体_GB2312" w:eastAsia="楷体_GB2312" w:cs="楷体_GB2312"/>
          <w:color w:val="auto"/>
          <w:sz w:val="32"/>
          <w:szCs w:val="32"/>
          <w:lang w:eastAsia="zh-CN"/>
        </w:rPr>
        <w:t>业务性</w:t>
      </w:r>
      <w:r>
        <w:rPr>
          <w:rFonts w:hint="eastAsia" w:ascii="楷体_GB2312" w:hAnsi="楷体_GB2312" w:eastAsia="楷体_GB2312" w:cs="楷体_GB2312"/>
          <w:color w:val="auto"/>
          <w:sz w:val="32"/>
          <w:szCs w:val="32"/>
        </w:rPr>
        <w:t>专项</w:t>
      </w:r>
      <w:r>
        <w:rPr>
          <w:rFonts w:hint="eastAsia" w:ascii="楷体_GB2312" w:hAnsi="楷体_GB2312" w:eastAsia="楷体_GB2312" w:cs="楷体_GB2312"/>
          <w:color w:val="auto"/>
          <w:sz w:val="32"/>
          <w:szCs w:val="32"/>
          <w:lang w:eastAsia="zh-CN"/>
        </w:rPr>
        <w:t>经费</w:t>
      </w:r>
      <w:r>
        <w:rPr>
          <w:rFonts w:hint="eastAsia" w:ascii="楷体_GB2312" w:hAnsi="楷体_GB2312" w:eastAsia="楷体_GB2312" w:cs="楷体_GB2312"/>
          <w:color w:val="auto"/>
          <w:sz w:val="32"/>
          <w:szCs w:val="32"/>
        </w:rPr>
        <w:t>项目</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0.87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主要用于支付财务代理记账费用、办公室日常用品、用水费。</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成立青联工作专项资金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追加（减）</w:t>
      </w:r>
      <w:r>
        <w:rPr>
          <w:rFonts w:hint="default"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lang w:val="en-US" w:eastAsia="zh-CN"/>
        </w:rPr>
        <w:t>1</w:t>
      </w:r>
      <w:r>
        <w:rPr>
          <w:rFonts w:hint="default" w:ascii="楷体_GB2312" w:hAnsi="楷体_GB2312" w:eastAsia="楷体_GB2312" w:cs="楷体_GB2312"/>
          <w:color w:val="auto"/>
          <w:sz w:val="32"/>
          <w:szCs w:val="32"/>
          <w:lang w:eastAsia="zh-CN"/>
        </w:rPr>
        <w:t>）成立青联工作专项资金</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万元，主要用</w:t>
      </w:r>
      <w:r>
        <w:rPr>
          <w:rFonts w:hint="default" w:ascii="Times New Roman" w:hAnsi="Times New Roman" w:eastAsia="仿宋_GB2312" w:cs="Times New Roman"/>
          <w:color w:val="auto"/>
          <w:sz w:val="32"/>
          <w:szCs w:val="32"/>
          <w:lang w:eastAsia="zh-CN"/>
        </w:rPr>
        <w:t>成立青联组织，因班子成员配备不齐该项工作延后到</w:t>
      </w:r>
      <w:r>
        <w:rPr>
          <w:rFonts w:hint="default" w:ascii="Times New Roman" w:hAnsi="Times New Roman" w:eastAsia="仿宋_GB2312" w:cs="Times New Roman"/>
          <w:color w:val="auto"/>
          <w:sz w:val="32"/>
          <w:szCs w:val="32"/>
          <w:lang w:val="en-US" w:eastAsia="zh-CN"/>
        </w:rPr>
        <w:t>2024年开展。</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3年，</w:t>
      </w:r>
      <w:r>
        <w:rPr>
          <w:rFonts w:hint="default" w:ascii="Times New Roman" w:hAnsi="Times New Roman" w:eastAsia="仿宋_GB2312" w:cs="Times New Roman"/>
          <w:color w:val="auto"/>
          <w:sz w:val="32"/>
          <w:szCs w:val="32"/>
        </w:rPr>
        <w:t>团区委进一步加强财务管理，经费支出更加规范，但是由于</w:t>
      </w:r>
      <w:r>
        <w:rPr>
          <w:rFonts w:hint="default" w:ascii="Times New Roman" w:hAnsi="Times New Roman" w:eastAsia="仿宋_GB2312" w:cs="Times New Roman"/>
          <w:color w:val="auto"/>
          <w:sz w:val="32"/>
          <w:szCs w:val="32"/>
          <w:lang w:eastAsia="zh-CN"/>
        </w:rPr>
        <w:t>人员减少</w:t>
      </w:r>
      <w:r>
        <w:rPr>
          <w:rFonts w:hint="default" w:ascii="Times New Roman" w:hAnsi="Times New Roman" w:eastAsia="仿宋_GB2312" w:cs="Times New Roman"/>
          <w:color w:val="auto"/>
          <w:sz w:val="32"/>
          <w:szCs w:val="32"/>
        </w:rPr>
        <w:t xml:space="preserve">、突发事件等一些客观原因，导致预算执行与绩效目标不可避免地存在细微偏差。此外，对照会计基础工作规范化规定的要求，部门绩效管理也还存在一定差距，如：预算编制工作有待细化、预算的合理性和执行力度还需加强、项目资金支出进度分配不均等。 </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下一步，本部门将重点在以下三个方面着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其他需要说明的情况</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无。</w:t>
      </w:r>
    </w:p>
    <w:p>
      <w:pPr>
        <w:keepNext w:val="0"/>
        <w:keepLines w:val="0"/>
        <w:pageBreakBefore w:val="0"/>
        <w:widowControl w:val="0"/>
        <w:tabs>
          <w:tab w:val="left" w:pos="7560"/>
        </w:tabs>
        <w:kinsoku/>
        <w:wordWrap/>
        <w:overflowPunct/>
        <w:topLinePunct w:val="0"/>
        <w:autoSpaceDE/>
        <w:autoSpaceDN/>
        <w:bidi w:val="0"/>
        <w:adjustRightInd w:val="0"/>
        <w:snapToGrid/>
        <w:spacing w:line="540" w:lineRule="exact"/>
        <w:ind w:firstLine="640" w:firstLineChars="200"/>
        <w:jc w:val="left"/>
        <w:textAlignment w:val="top"/>
        <w:rPr>
          <w:rFonts w:hint="default" w:ascii="Times New Roman" w:hAnsi="Times New Roman" w:eastAsia="仿宋_GB2312" w:cs="Times New Roman"/>
          <w:color w:val="auto"/>
          <w:sz w:val="32"/>
          <w:szCs w:val="32"/>
        </w:rPr>
        <w:sectPr>
          <w:footerReference r:id="rId4" w:type="default"/>
          <w:pgSz w:w="11906" w:h="16838"/>
          <w:pgMar w:top="1531" w:right="1531" w:bottom="1531" w:left="1531" w:header="851" w:footer="992" w:gutter="0"/>
          <w:pgNumType w:fmt="decimal" w:start="4"/>
          <w:cols w:space="425" w:num="1"/>
          <w:docGrid w:type="linesAndChars" w:linePitch="312" w:charSpace="0"/>
        </w:sectPr>
      </w:pPr>
    </w:p>
    <w:p>
      <w:pPr>
        <w:tabs>
          <w:tab w:val="left" w:pos="7560"/>
        </w:tabs>
        <w:adjustRightInd w:val="0"/>
        <w:snapToGrid w:val="0"/>
        <w:spacing w:line="5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2YjRlMjc4Y2U3ZDJjZDhkOTlmYmQwYzZhNGMxYj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22463B"/>
    <w:rsid w:val="09314228"/>
    <w:rsid w:val="09351A48"/>
    <w:rsid w:val="0942192E"/>
    <w:rsid w:val="09BB4712"/>
    <w:rsid w:val="0A443A42"/>
    <w:rsid w:val="0A6D78B3"/>
    <w:rsid w:val="0B466AC3"/>
    <w:rsid w:val="0C2E6972"/>
    <w:rsid w:val="0C934413"/>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543ED0"/>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2660F8"/>
    <w:rsid w:val="3CAE3F93"/>
    <w:rsid w:val="3CCE2173"/>
    <w:rsid w:val="3CFF26A1"/>
    <w:rsid w:val="3D387759"/>
    <w:rsid w:val="3EDD789E"/>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1419E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9C215E"/>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7233B0"/>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8</Pages>
  <Words>2790</Words>
  <Characters>2871</Characters>
  <Lines>0</Lines>
  <Paragraphs>0</Paragraphs>
  <TotalTime>28</TotalTime>
  <ScaleCrop>false</ScaleCrop>
  <LinksUpToDate>false</LinksUpToDate>
  <CharactersWithSpaces>2876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2024-09-24T09:39:15Z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