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ascii="Times New Roman" w:hAnsi="Times New Roman" w:cs="Times New Roman"/>
          <w:sz w:val="56"/>
          <w:szCs w:val="56"/>
        </w:rPr>
      </w:pPr>
    </w:p>
    <w:p>
      <w:pPr>
        <w:pStyle w:val="16"/>
        <w:jc w:val="both"/>
        <w:rPr>
          <w:rFonts w:ascii="Times New Roman" w:hAnsi="Times New Roman" w:cs="Times New Roman"/>
          <w:sz w:val="56"/>
          <w:szCs w:val="56"/>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6"/>
        <w:jc w:val="center"/>
        <w:rPr>
          <w:rFonts w:ascii="Times New Roman" w:hAnsi="Times New Roman" w:cs="Times New Roman"/>
        </w:rPr>
      </w:pPr>
      <w:r>
        <w:rPr>
          <w:rFonts w:hint="eastAsia" w:ascii="Times New Roman" w:hAnsi="Times New Roman" w:eastAsia="方正小标宋简体" w:cs="Times New Roman"/>
          <w:sz w:val="72"/>
          <w:szCs w:val="72"/>
        </w:rPr>
        <w:t>株洲市石峰区司法局</w:t>
      </w: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6"/>
        <w:jc w:val="both"/>
        <w:rPr>
          <w:rFonts w:ascii="Times New Roman" w:hAnsi="Times New Roman" w:cs="Times New Roman"/>
          <w:sz w:val="32"/>
          <w:szCs w:val="32"/>
        </w:rPr>
      </w:pPr>
    </w:p>
    <w:p>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 xml:space="preserve"> </w:t>
      </w:r>
      <w:bookmarkStart w:id="0" w:name="_GoBack"/>
      <w:r>
        <w:rPr>
          <w:rFonts w:hint="eastAsia" w:ascii="Times New Roman" w:hAnsi="Times New Roman" w:cs="Times New Roman"/>
          <w:sz w:val="32"/>
          <w:szCs w:val="32"/>
        </w:rPr>
        <w:t>株洲市石峰区司法局</w:t>
      </w:r>
      <w:bookmarkEnd w:id="0"/>
      <w:r>
        <w:rPr>
          <w:rFonts w:ascii="Times New Roman" w:hAnsi="Times New Roman" w:cs="Times New Roman"/>
          <w:sz w:val="32"/>
          <w:szCs w:val="32"/>
        </w:rPr>
        <w:t>单位概况</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w w:val="90"/>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株洲市石峰区司法局</w:t>
      </w: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一</w:t>
      </w:r>
      <w:r>
        <w:rPr>
          <w:rFonts w:ascii="仿宋" w:hAnsi="仿宋" w:eastAsia="仿宋" w:cs="仿宋"/>
          <w:color w:val="000000"/>
          <w:sz w:val="32"/>
          <w:szCs w:val="32"/>
        </w:rPr>
        <w:t>)承担全面依法治区重大问题的政策研究，拟定全面依法治区中长期规划建议，负责全区相关重大决策部署落实的指导、督察工作。</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二)指导全区规范性文件管理有关工作，承担区政府规范性文件送审稿的合法性审查工作，承办区政府及其各部门规范性文件的登记工作。负责报送备案区政府规范性文件。负责区政府规范性文件备案审查工作。受理有关规范性文件违法的审查申请。组织开展规范性文件清理工作。</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(三)承担区政府法律顾问工作。负责对区政府重大行政决策进行合法性审查或论证说明。指导、监督全区党政群团机关、企事业单位的法律顾问工作。</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四)负责区政府合同的审查管理工作。参与、指导、监督区政府合同的谈判、起草、签订、备案、履行的有关工作。负责指导区政府重大合同纠纷的仲裁、诉讼及执行工作。负责区政府交办的其他法律事务处理。指导、检查全区党政群团机关、企事业单位的合同事务。</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五)承担统筹推进法治政府建设的责任。指导、监督区政府各部门、街道依法行政工作。负责综合协调全区行政执法，承担推进全区行政执法体制改革有关工作，推进严格规范公正文明执法。负责行政执法主体资格的审核、公告。指导、监督全区行政复议和行政应诉工作。负责区政府行政复议、行政赔偿和行政应诉、被行政复议案件办理及统计分析工作。承担区政府行政复议办公室的日常工作。负责区政府法治对外合作工作。</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六)承担统筹规划全区法治社会建设的责任。负责拟订全区法治宣传教育规划，组织实施普法宣传工作，组织对外法治宣传。制定全区法治宣传教育和普及法律常识规划并组织实施，指导全区开展普法宣传和法治教育工作。</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（七）负责指导、管理全区社区矫正工作。指导全区刑满释放人员帮教安置工作。</w:t>
      </w:r>
    </w:p>
    <w:p>
      <w:pPr>
        <w:pStyle w:val="7"/>
        <w:shd w:val="clear" w:color="auto" w:fill="FFFFFF"/>
        <w:spacing w:line="579" w:lineRule="exact"/>
        <w:ind w:firstLine="640" w:firstLineChars="200"/>
        <w:rPr>
          <w:rFonts w:ascii="微软雅黑" w:hAnsi="微软雅黑" w:eastAsia="微软雅黑" w:cs="微软雅黑"/>
          <w:color w:val="000000"/>
          <w:sz w:val="32"/>
          <w:szCs w:val="32"/>
        </w:rPr>
      </w:pPr>
      <w:r>
        <w:rPr>
          <w:rFonts w:ascii="仿宋" w:hAnsi="仿宋" w:eastAsia="仿宋" w:cs="仿宋"/>
          <w:color w:val="000000"/>
          <w:sz w:val="32"/>
          <w:szCs w:val="32"/>
        </w:rPr>
        <w:t>(八)</w:t>
      </w:r>
      <w:r>
        <w:rPr>
          <w:color w:val="000000"/>
          <w:sz w:val="32"/>
          <w:szCs w:val="32"/>
        </w:rPr>
        <w:t> </w:t>
      </w:r>
      <w:r>
        <w:rPr>
          <w:rFonts w:ascii="仿宋" w:hAnsi="仿宋" w:eastAsia="仿宋" w:cs="仿宋"/>
          <w:color w:val="000000"/>
          <w:sz w:val="32"/>
          <w:szCs w:val="32"/>
        </w:rPr>
        <w:t>负责拟订全区公共法律服务体系建设规划并指导实施，统筹和布局城乡、区域法律服务资源。指导、监督全区法律服务援助中心、律师事务所和基层法律服务管理工作。推动人民参与和促进法治建设。指导全区人民调解工作，推进全区司法所建设。负责全区人民陪审员和人民监督员选任工作。</w:t>
      </w:r>
    </w:p>
    <w:p>
      <w:pPr>
        <w:pStyle w:val="7"/>
        <w:shd w:val="clear" w:color="auto" w:fill="FFFFFF"/>
        <w:spacing w:line="579" w:lineRule="exact"/>
        <w:ind w:firstLine="640" w:firstLineChars="200"/>
        <w:rPr>
          <w:rFonts w:ascii="Times New Roman" w:hAnsi="Times New Roman" w:eastAsia="黑体" w:cs="Times New Roman"/>
          <w:sz w:val="32"/>
          <w:szCs w:val="32"/>
        </w:rPr>
      </w:pPr>
      <w:r>
        <w:rPr>
          <w:rFonts w:ascii="仿宋" w:hAnsi="仿宋" w:eastAsia="仿宋" w:cs="仿宋"/>
          <w:color w:val="000000"/>
          <w:sz w:val="32"/>
          <w:szCs w:val="32"/>
        </w:rPr>
        <w:t>（九）完成区委、区政府和区委全面依法治区委员会交办的其它任务。</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pStyle w:val="16"/>
        <w:jc w:val="both"/>
        <w:rPr>
          <w:rFonts w:ascii="仿宋" w:hAnsi="仿宋" w:eastAsia="仿宋" w:cs="仿宋"/>
          <w:sz w:val="32"/>
          <w:szCs w:val="32"/>
        </w:rPr>
      </w:pPr>
      <w:r>
        <w:rPr>
          <w:rFonts w:hint="eastAsia" w:ascii="Times New Roman" w:hAnsi="Times New Roman" w:cs="Times New Roman"/>
          <w:sz w:val="84"/>
          <w:szCs w:val="84"/>
        </w:rPr>
        <w:t xml:space="preserve"> </w:t>
      </w:r>
      <w:r>
        <w:rPr>
          <w:rFonts w:hint="eastAsia" w:ascii="仿宋" w:hAnsi="仿宋" w:eastAsia="仿宋" w:cs="仿宋"/>
          <w:sz w:val="32"/>
          <w:szCs w:val="32"/>
        </w:rPr>
        <w:t xml:space="preserve"> </w:t>
      </w:r>
      <w:r>
        <w:rPr>
          <w:rFonts w:ascii="仿宋" w:hAnsi="仿宋" w:eastAsia="仿宋" w:cs="仿宋"/>
          <w:sz w:val="32"/>
          <w:szCs w:val="32"/>
        </w:rPr>
        <w:t>本部门共有编制人数24</w:t>
      </w:r>
      <w:r>
        <w:rPr>
          <w:rFonts w:ascii="仿宋" w:hAnsi="仿宋" w:eastAsia="仿宋" w:cs="仿宋"/>
          <w:sz w:val="32"/>
          <w:szCs w:val="32"/>
        </w:rPr>
        <w:t>人，实有人数2</w:t>
      </w:r>
      <w:r>
        <w:rPr>
          <w:rFonts w:hint="eastAsia" w:ascii="仿宋" w:hAnsi="仿宋" w:eastAsia="仿宋" w:cs="仿宋"/>
          <w:sz w:val="32"/>
          <w:szCs w:val="32"/>
        </w:rPr>
        <w:t>3</w:t>
      </w:r>
      <w:r>
        <w:rPr>
          <w:rFonts w:ascii="仿宋" w:hAnsi="仿宋" w:eastAsia="仿宋" w:cs="仿宋"/>
          <w:sz w:val="32"/>
          <w:szCs w:val="32"/>
        </w:rPr>
        <w:t>人。内设股室5个及8个街道司法所</w:t>
      </w:r>
      <w:r>
        <w:rPr>
          <w:rFonts w:ascii="仿宋" w:hAnsi="仿宋" w:eastAsia="仿宋" w:cs="仿宋"/>
          <w:sz w:val="32"/>
          <w:szCs w:val="32"/>
        </w:rPr>
        <w:t>，分别为：办公室、法制股、社区矫正与公共法律服务管理股、人民参与和促进法治股、行政复议办公室；</w:t>
      </w:r>
      <w:r>
        <w:rPr>
          <w:rFonts w:ascii="仿宋" w:hAnsi="仿宋" w:eastAsia="仿宋" w:cs="仿宋"/>
          <w:sz w:val="32"/>
          <w:szCs w:val="32"/>
        </w:rPr>
        <w:t>响石岭街道司法所、铜塘湾街道司法所、田心街道司法所、清水塘街道司法所、井龙街道司法所、龙头铺镇司法所、云田镇司法所、学林街道司法所</w:t>
      </w:r>
      <w:r>
        <w:rPr>
          <w:rFonts w:ascii="仿宋" w:hAnsi="仿宋" w:eastAsia="仿宋" w:cs="仿宋"/>
          <w:sz w:val="32"/>
          <w:szCs w:val="32"/>
        </w:rPr>
        <w:t>。</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6"/>
        <w:keepNext w:val="0"/>
        <w:keepLines w:val="0"/>
        <w:pageBreakBefore w:val="0"/>
        <w:widowControl w:val="0"/>
        <w:numPr>
          <w:numId w:val="0"/>
        </w:numPr>
        <w:kinsoku/>
        <w:wordWrap/>
        <w:overflowPunct/>
        <w:topLinePunct w:val="0"/>
        <w:bidi w:val="0"/>
        <w:snapToGrid/>
        <w:spacing w:line="240" w:lineRule="auto"/>
        <w:ind w:leftChars="200"/>
        <w:jc w:val="both"/>
        <w:textAlignment w:val="auto"/>
        <w:rPr>
          <w:rFonts w:ascii="Times New Roman" w:hAnsi="Times New Roman" w:cs="Times New Roman"/>
          <w:sz w:val="32"/>
          <w:szCs w:val="32"/>
          <w:highlight w:val="none"/>
        </w:rPr>
      </w:pPr>
      <w:r>
        <w:rPr>
          <w:rFonts w:ascii="Times New Roman" w:hAnsi="Times New Roman" w:cs="Times New Roman"/>
          <w:sz w:val="32"/>
          <w:szCs w:val="32"/>
        </w:rPr>
        <w:br w:type="page"/>
      </w:r>
      <w:r>
        <w:rPr>
          <w:rFonts w:hint="eastAsia" w:ascii="Times New Roman" w:hAnsi="Times New Roman" w:cs="Times New Roman"/>
          <w:sz w:val="32"/>
          <w:szCs w:val="32"/>
          <w:lang w:val="en-US" w:eastAsia="zh-CN"/>
        </w:rPr>
        <w:t xml:space="preserve">  一、</w:t>
      </w:r>
      <w:r>
        <w:rPr>
          <w:rFonts w:ascii="Times New Roman" w:hAnsi="Times New Roman" w:cs="Times New Roman"/>
          <w:sz w:val="32"/>
          <w:szCs w:val="32"/>
          <w:highlight w:val="none"/>
        </w:rPr>
        <w:t>收入支出决算总体情况说明</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年度收、支总计</w:t>
      </w:r>
      <w:r>
        <w:rPr>
          <w:rFonts w:hint="eastAsia" w:ascii="Times New Roman" w:hAnsi="Times New Roman" w:cs="Times New Roman" w:eastAsiaTheme="minorEastAsia"/>
          <w:sz w:val="31"/>
          <w:highlight w:val="none"/>
        </w:rPr>
        <w:t>783.92</w:t>
      </w:r>
      <w:r>
        <w:rPr>
          <w:rFonts w:ascii="宋体" w:hAnsi="宋体" w:cs="宋体"/>
          <w:sz w:val="31"/>
          <w:highlight w:val="none"/>
        </w:rPr>
        <w:t>万元。与上年相比，</w:t>
      </w:r>
      <w:r>
        <w:rPr>
          <w:rFonts w:hint="eastAsia" w:ascii="宋体" w:hAnsi="宋体" w:cs="宋体"/>
          <w:sz w:val="31"/>
          <w:highlight w:val="none"/>
        </w:rPr>
        <w:t>增加164.62</w:t>
      </w:r>
      <w:r>
        <w:rPr>
          <w:rFonts w:ascii="宋体" w:hAnsi="宋体" w:cs="宋体"/>
          <w:sz w:val="31"/>
          <w:highlight w:val="none"/>
        </w:rPr>
        <w:t>万元，</w:t>
      </w:r>
      <w:r>
        <w:rPr>
          <w:rFonts w:hint="eastAsia" w:ascii="宋体" w:hAnsi="宋体" w:cs="宋体"/>
          <w:sz w:val="31"/>
          <w:highlight w:val="none"/>
        </w:rPr>
        <w:t>增加</w:t>
      </w:r>
      <w:r>
        <w:rPr>
          <w:rFonts w:hint="eastAsia" w:ascii="Times New Roman" w:hAnsi="Times New Roman" w:cs="Times New Roman" w:eastAsiaTheme="minorEastAsia"/>
          <w:sz w:val="31"/>
          <w:highlight w:val="none"/>
        </w:rPr>
        <w:t>26.58</w:t>
      </w:r>
      <w:r>
        <w:rPr>
          <w:rFonts w:ascii="Times New Roman" w:hAnsi="Times New Roman" w:eastAsia="Times New Roman" w:cs="Times New Roman"/>
          <w:sz w:val="31"/>
          <w:highlight w:val="none"/>
        </w:rPr>
        <w:t>%</w:t>
      </w:r>
      <w:r>
        <w:rPr>
          <w:rFonts w:ascii="宋体" w:hAnsi="宋体" w:cs="宋体"/>
          <w:sz w:val="31"/>
          <w:highlight w:val="none"/>
        </w:rPr>
        <w:t>，主要是因为</w:t>
      </w:r>
      <w:r>
        <w:rPr>
          <w:rFonts w:hint="eastAsia" w:ascii="宋体" w:hAnsi="宋体" w:cs="宋体"/>
          <w:sz w:val="31"/>
          <w:highlight w:val="none"/>
        </w:rPr>
        <w:t>新招录公务员及司法支出</w:t>
      </w:r>
      <w:r>
        <w:rPr>
          <w:rFonts w:ascii="宋体" w:hAnsi="宋体" w:cs="宋体"/>
          <w:sz w:val="31"/>
          <w:highlight w:val="none"/>
        </w:rPr>
        <w:t>。</w:t>
      </w:r>
    </w:p>
    <w:p>
      <w:pPr>
        <w:pStyle w:val="16"/>
        <w:keepNext w:val="0"/>
        <w:keepLines w:val="0"/>
        <w:pageBreakBefore w:val="0"/>
        <w:widowControl w:val="0"/>
        <w:numPr>
          <w:numId w:val="0"/>
        </w:numPr>
        <w:kinsoku/>
        <w:wordWrap/>
        <w:overflowPunct/>
        <w:topLinePunct w:val="0"/>
        <w:bidi w:val="0"/>
        <w:snapToGrid/>
        <w:spacing w:line="240" w:lineRule="auto"/>
        <w:ind w:leftChars="200" w:firstLine="320" w:firstLineChars="100"/>
        <w:jc w:val="both"/>
        <w:textAlignment w:val="auto"/>
        <w:rPr>
          <w:rFonts w:ascii="Times New Roman" w:hAnsi="Times New Roman" w:cs="Times New Roman"/>
          <w:sz w:val="32"/>
          <w:szCs w:val="32"/>
          <w:highlight w:val="none"/>
        </w:rPr>
      </w:pPr>
      <w:r>
        <w:rPr>
          <w:rFonts w:hint="eastAsia" w:ascii="Times New Roman" w:hAnsi="Times New Roman" w:cs="Times New Roman"/>
          <w:sz w:val="32"/>
          <w:szCs w:val="32"/>
          <w:highlight w:val="none"/>
          <w:lang w:val="en-US" w:eastAsia="zh-CN"/>
        </w:rPr>
        <w:t>二、</w:t>
      </w:r>
      <w:r>
        <w:rPr>
          <w:rFonts w:ascii="Times New Roman" w:hAnsi="Times New Roman" w:cs="Times New Roman"/>
          <w:sz w:val="32"/>
          <w:szCs w:val="32"/>
          <w:highlight w:val="none"/>
        </w:rPr>
        <w:t>收入决算情况说明</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年度收入合计</w:t>
      </w:r>
      <w:r>
        <w:rPr>
          <w:rFonts w:hint="eastAsia" w:ascii="Times New Roman" w:hAnsi="Times New Roman" w:cs="Times New Roman" w:eastAsiaTheme="minorEastAsia"/>
          <w:sz w:val="31"/>
          <w:highlight w:val="none"/>
        </w:rPr>
        <w:t>783.92</w:t>
      </w:r>
      <w:r>
        <w:rPr>
          <w:rFonts w:ascii="宋体" w:hAnsi="宋体" w:cs="宋体"/>
          <w:sz w:val="31"/>
          <w:highlight w:val="none"/>
        </w:rPr>
        <w:t>万元，其中：财政拨款收入</w:t>
      </w:r>
      <w:r>
        <w:rPr>
          <w:rFonts w:hint="eastAsia" w:ascii="Times New Roman" w:hAnsi="Times New Roman" w:cs="Times New Roman" w:eastAsiaTheme="minorEastAsia"/>
          <w:sz w:val="31"/>
          <w:highlight w:val="none"/>
        </w:rPr>
        <w:t>775.16</w:t>
      </w:r>
      <w:r>
        <w:rPr>
          <w:rFonts w:ascii="宋体" w:hAnsi="宋体" w:cs="宋体"/>
          <w:sz w:val="31"/>
          <w:highlight w:val="none"/>
        </w:rPr>
        <w:t>万元，占</w:t>
      </w:r>
      <w:r>
        <w:rPr>
          <w:rFonts w:ascii="Times New Roman" w:hAnsi="Times New Roman" w:eastAsia="Times New Roman" w:cs="Times New Roman"/>
          <w:sz w:val="31"/>
          <w:highlight w:val="none"/>
        </w:rPr>
        <w:t>9</w:t>
      </w:r>
      <w:r>
        <w:rPr>
          <w:rFonts w:hint="eastAsia" w:ascii="Times New Roman" w:hAnsi="Times New Roman" w:cs="Times New Roman" w:eastAsiaTheme="minorEastAsia"/>
          <w:sz w:val="31"/>
          <w:highlight w:val="none"/>
        </w:rPr>
        <w:t>8.8</w:t>
      </w:r>
      <w:r>
        <w:rPr>
          <w:rFonts w:ascii="Times New Roman" w:hAnsi="Times New Roman" w:eastAsia="Times New Roman" w:cs="Times New Roman"/>
          <w:sz w:val="31"/>
          <w:highlight w:val="none"/>
        </w:rPr>
        <w:t>8%</w:t>
      </w:r>
      <w:r>
        <w:rPr>
          <w:rFonts w:ascii="宋体" w:hAnsi="宋体" w:cs="宋体"/>
          <w:sz w:val="31"/>
          <w:highlight w:val="none"/>
        </w:rPr>
        <w:t>；上级补助收入</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；事业收入</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；经营收入</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；附属单位上缴收入</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；其他收入</w:t>
      </w:r>
      <w:r>
        <w:rPr>
          <w:rFonts w:hint="eastAsia" w:ascii="Times New Roman" w:hAnsi="Times New Roman" w:cs="Times New Roman" w:eastAsiaTheme="minorEastAsia"/>
          <w:sz w:val="31"/>
          <w:highlight w:val="none"/>
        </w:rPr>
        <w:t>8.76</w:t>
      </w:r>
      <w:r>
        <w:rPr>
          <w:rFonts w:ascii="宋体" w:hAnsi="宋体" w:cs="宋体"/>
          <w:sz w:val="31"/>
          <w:highlight w:val="none"/>
        </w:rPr>
        <w:t>万元，占</w:t>
      </w:r>
      <w:r>
        <w:rPr>
          <w:rFonts w:hint="eastAsia" w:ascii="Times New Roman" w:hAnsi="Times New Roman" w:cs="Times New Roman" w:eastAsiaTheme="minorEastAsia"/>
          <w:sz w:val="31"/>
          <w:highlight w:val="none"/>
        </w:rPr>
        <w:t>0.01</w:t>
      </w:r>
      <w:r>
        <w:rPr>
          <w:rFonts w:ascii="Times New Roman" w:hAnsi="Times New Roman" w:eastAsia="Times New Roman" w:cs="Times New Roman"/>
          <w:sz w:val="31"/>
          <w:highlight w:val="none"/>
        </w:rPr>
        <w:t>%</w:t>
      </w:r>
      <w:r>
        <w:rPr>
          <w:rFonts w:ascii="宋体" w:hAnsi="宋体" w:cs="宋体"/>
          <w:sz w:val="31"/>
          <w:highlight w:val="none"/>
        </w:rPr>
        <w:t>。</w:t>
      </w:r>
    </w:p>
    <w:p>
      <w:pPr>
        <w:pStyle w:val="16"/>
        <w:keepNext w:val="0"/>
        <w:keepLines w:val="0"/>
        <w:pageBreakBefore w:val="0"/>
        <w:widowControl w:val="0"/>
        <w:numPr>
          <w:numId w:val="0"/>
        </w:numPr>
        <w:kinsoku/>
        <w:wordWrap/>
        <w:overflowPunct/>
        <w:topLinePunct w:val="0"/>
        <w:bidi w:val="0"/>
        <w:snapToGrid/>
        <w:spacing w:line="240" w:lineRule="auto"/>
        <w:ind w:leftChars="200" w:firstLine="320" w:firstLineChars="100"/>
        <w:jc w:val="both"/>
        <w:textAlignment w:val="auto"/>
        <w:rPr>
          <w:rFonts w:ascii="Times New Roman" w:hAnsi="Times New Roman" w:cs="Times New Roman"/>
          <w:sz w:val="32"/>
          <w:szCs w:val="32"/>
          <w:highlight w:val="none"/>
        </w:rPr>
      </w:pPr>
      <w:r>
        <w:rPr>
          <w:rFonts w:hint="eastAsia" w:ascii="Times New Roman" w:hAnsi="Times New Roman" w:cs="Times New Roman"/>
          <w:sz w:val="32"/>
          <w:szCs w:val="32"/>
          <w:highlight w:val="none"/>
          <w:lang w:val="en-US" w:eastAsia="zh-CN"/>
        </w:rPr>
        <w:t>三、</w:t>
      </w:r>
      <w:r>
        <w:rPr>
          <w:rFonts w:ascii="Times New Roman" w:hAnsi="Times New Roman" w:cs="Times New Roman"/>
          <w:sz w:val="32"/>
          <w:szCs w:val="32"/>
          <w:highlight w:val="none"/>
        </w:rPr>
        <w:t>支出决算情况说明</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cs="Times New Roman" w:eastAsiaTheme="minorEastAsia"/>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年度支出合计</w:t>
      </w:r>
      <w:r>
        <w:rPr>
          <w:rFonts w:hint="eastAsia" w:ascii="Times New Roman" w:hAnsi="Times New Roman" w:cs="Times New Roman" w:eastAsiaTheme="minorEastAsia"/>
          <w:sz w:val="31"/>
          <w:highlight w:val="none"/>
        </w:rPr>
        <w:t>783.92</w:t>
      </w:r>
      <w:r>
        <w:rPr>
          <w:rFonts w:ascii="宋体" w:hAnsi="宋体" w:cs="宋体"/>
          <w:sz w:val="31"/>
          <w:highlight w:val="none"/>
        </w:rPr>
        <w:t>万元，其中：基本支出</w:t>
      </w:r>
      <w:r>
        <w:rPr>
          <w:rFonts w:hint="eastAsia" w:ascii="Times New Roman" w:hAnsi="Times New Roman" w:cs="Times New Roman" w:eastAsiaTheme="minorEastAsia"/>
          <w:sz w:val="31"/>
          <w:highlight w:val="none"/>
        </w:rPr>
        <w:t>523.81</w:t>
      </w:r>
      <w:r>
        <w:rPr>
          <w:rFonts w:ascii="宋体" w:hAnsi="宋体" w:cs="宋体"/>
          <w:sz w:val="31"/>
          <w:highlight w:val="none"/>
        </w:rPr>
        <w:t>万元，占</w:t>
      </w:r>
      <w:r>
        <w:rPr>
          <w:rFonts w:hint="eastAsia" w:ascii="Times New Roman" w:hAnsi="Times New Roman" w:cs="Times New Roman" w:eastAsiaTheme="minorEastAsia"/>
          <w:sz w:val="31"/>
          <w:highlight w:val="none"/>
        </w:rPr>
        <w:t>69</w:t>
      </w:r>
      <w:r>
        <w:rPr>
          <w:rFonts w:ascii="Times New Roman" w:hAnsi="Times New Roman" w:eastAsia="Times New Roman" w:cs="Times New Roman"/>
          <w:sz w:val="31"/>
          <w:highlight w:val="none"/>
        </w:rPr>
        <w:t>%</w:t>
      </w:r>
      <w:r>
        <w:rPr>
          <w:rFonts w:ascii="宋体" w:hAnsi="宋体" w:cs="宋体"/>
          <w:sz w:val="31"/>
          <w:highlight w:val="none"/>
        </w:rPr>
        <w:t>；项目支出</w:t>
      </w:r>
      <w:r>
        <w:rPr>
          <w:rFonts w:hint="eastAsia" w:ascii="Times New Roman" w:hAnsi="Times New Roman" w:cs="Times New Roman" w:eastAsiaTheme="minorEastAsia"/>
          <w:sz w:val="31"/>
          <w:highlight w:val="none"/>
        </w:rPr>
        <w:t>260.11</w:t>
      </w:r>
      <w:r>
        <w:rPr>
          <w:rFonts w:ascii="宋体" w:hAnsi="宋体" w:cs="宋体"/>
          <w:sz w:val="31"/>
          <w:highlight w:val="none"/>
        </w:rPr>
        <w:t>万元，占</w:t>
      </w:r>
      <w:r>
        <w:rPr>
          <w:rFonts w:hint="eastAsia" w:ascii="Times New Roman" w:hAnsi="Times New Roman" w:cs="Times New Roman" w:eastAsiaTheme="minorEastAsia"/>
          <w:sz w:val="31"/>
          <w:highlight w:val="none"/>
        </w:rPr>
        <w:t>31</w:t>
      </w:r>
      <w:r>
        <w:rPr>
          <w:rFonts w:ascii="Times New Roman" w:hAnsi="Times New Roman" w:eastAsia="Times New Roman" w:cs="Times New Roman"/>
          <w:sz w:val="31"/>
          <w:highlight w:val="none"/>
        </w:rPr>
        <w:t>%</w:t>
      </w:r>
      <w:r>
        <w:rPr>
          <w:rFonts w:ascii="宋体" w:hAnsi="宋体" w:cs="宋体"/>
          <w:sz w:val="31"/>
          <w:highlight w:val="none"/>
        </w:rPr>
        <w:t>；上缴上级支出</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；经营支出</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；对附属单位补助支出</w:t>
      </w:r>
      <w:r>
        <w:rPr>
          <w:rFonts w:ascii="Times New Roman" w:hAnsi="Times New Roman" w:eastAsia="Times New Roman" w:cs="Times New Roman"/>
          <w:sz w:val="31"/>
          <w:highlight w:val="none"/>
        </w:rPr>
        <w:t>0</w:t>
      </w:r>
      <w:r>
        <w:rPr>
          <w:rFonts w:ascii="宋体" w:hAnsi="宋体" w:cs="宋体"/>
          <w:sz w:val="31"/>
          <w:highlight w:val="none"/>
        </w:rPr>
        <w:t>万元，占</w:t>
      </w:r>
      <w:r>
        <w:rPr>
          <w:rFonts w:ascii="Times New Roman" w:hAnsi="Times New Roman" w:eastAsia="Times New Roman" w:cs="Times New Roman"/>
          <w:sz w:val="31"/>
          <w:highlight w:val="none"/>
        </w:rPr>
        <w:t>0%</w:t>
      </w:r>
      <w:r>
        <w:rPr>
          <w:rFonts w:ascii="宋体" w:hAnsi="宋体" w:cs="宋体"/>
          <w:sz w:val="31"/>
          <w:highlight w:val="none"/>
        </w:rPr>
        <w:t>。</w:t>
      </w:r>
    </w:p>
    <w:p>
      <w:pPr>
        <w:pStyle w:val="16"/>
        <w:keepNext w:val="0"/>
        <w:keepLines w:val="0"/>
        <w:pageBreakBefore w:val="0"/>
        <w:widowControl w:val="0"/>
        <w:numPr>
          <w:numId w:val="0"/>
        </w:numPr>
        <w:kinsoku/>
        <w:wordWrap/>
        <w:overflowPunct/>
        <w:topLinePunct w:val="0"/>
        <w:bidi w:val="0"/>
        <w:snapToGrid/>
        <w:spacing w:line="240" w:lineRule="auto"/>
        <w:ind w:leftChars="200" w:firstLine="320" w:firstLineChars="100"/>
        <w:jc w:val="both"/>
        <w:textAlignment w:val="auto"/>
        <w:rPr>
          <w:rFonts w:ascii="Times New Roman" w:hAnsi="Times New Roman" w:cs="Times New Roman"/>
          <w:sz w:val="32"/>
          <w:szCs w:val="32"/>
          <w:highlight w:val="none"/>
        </w:rPr>
      </w:pPr>
      <w:r>
        <w:rPr>
          <w:rFonts w:hint="eastAsia" w:ascii="Times New Roman" w:hAnsi="Times New Roman" w:cs="Times New Roman"/>
          <w:sz w:val="32"/>
          <w:szCs w:val="32"/>
          <w:highlight w:val="none"/>
          <w:lang w:val="en-US" w:eastAsia="zh-CN"/>
        </w:rPr>
        <w:t>四、</w:t>
      </w:r>
      <w:r>
        <w:rPr>
          <w:rFonts w:ascii="Times New Roman" w:hAnsi="Times New Roman" w:cs="Times New Roman"/>
          <w:sz w:val="32"/>
          <w:szCs w:val="32"/>
          <w:highlight w:val="none"/>
        </w:rPr>
        <w:t>财政拨款收入支出决算总体情况说明</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年度财政拨款收、支总计</w:t>
      </w:r>
      <w:r>
        <w:rPr>
          <w:rFonts w:hint="eastAsia" w:ascii="Times New Roman" w:hAnsi="Times New Roman" w:cs="Times New Roman" w:eastAsiaTheme="minorEastAsia"/>
          <w:sz w:val="31"/>
          <w:highlight w:val="none"/>
        </w:rPr>
        <w:t>783.92</w:t>
      </w:r>
      <w:r>
        <w:rPr>
          <w:rFonts w:ascii="宋体" w:hAnsi="宋体" w:cs="宋体"/>
          <w:sz w:val="31"/>
          <w:highlight w:val="none"/>
        </w:rPr>
        <w:t>万元，与上年相比，</w:t>
      </w:r>
      <w:r>
        <w:rPr>
          <w:rFonts w:hint="eastAsia" w:ascii="宋体" w:hAnsi="宋体" w:cs="宋体"/>
          <w:sz w:val="31"/>
          <w:highlight w:val="none"/>
        </w:rPr>
        <w:t>增加164.62</w:t>
      </w:r>
      <w:r>
        <w:rPr>
          <w:rFonts w:ascii="宋体" w:hAnsi="宋体" w:cs="宋体"/>
          <w:sz w:val="31"/>
          <w:highlight w:val="none"/>
        </w:rPr>
        <w:t>万元</w:t>
      </w:r>
      <w:r>
        <w:rPr>
          <w:rFonts w:ascii="Times New Roman" w:hAnsi="Times New Roman" w:eastAsia="Times New Roman" w:cs="Times New Roman"/>
          <w:sz w:val="31"/>
          <w:highlight w:val="none"/>
        </w:rPr>
        <w:t>,</w:t>
      </w:r>
      <w:r>
        <w:rPr>
          <w:rFonts w:hint="eastAsia" w:ascii="宋体" w:hAnsi="宋体" w:cs="宋体"/>
          <w:sz w:val="31"/>
          <w:highlight w:val="none"/>
        </w:rPr>
        <w:t>增加</w:t>
      </w:r>
      <w:r>
        <w:rPr>
          <w:rFonts w:hint="eastAsia" w:ascii="Times New Roman" w:hAnsi="Times New Roman" w:cs="Times New Roman" w:eastAsiaTheme="minorEastAsia"/>
          <w:sz w:val="31"/>
          <w:highlight w:val="none"/>
        </w:rPr>
        <w:t>26.58</w:t>
      </w:r>
      <w:r>
        <w:rPr>
          <w:rFonts w:ascii="Times New Roman" w:hAnsi="Times New Roman" w:eastAsia="Times New Roman" w:cs="Times New Roman"/>
          <w:sz w:val="31"/>
          <w:highlight w:val="none"/>
        </w:rPr>
        <w:t>%</w:t>
      </w:r>
      <w:r>
        <w:rPr>
          <w:rFonts w:ascii="宋体" w:hAnsi="宋体" w:cs="宋体"/>
          <w:sz w:val="31"/>
          <w:highlight w:val="none"/>
        </w:rPr>
        <w:t>，主要是因为</w:t>
      </w:r>
      <w:r>
        <w:rPr>
          <w:rFonts w:hint="eastAsia" w:ascii="宋体" w:hAnsi="宋体" w:cs="宋体"/>
          <w:sz w:val="31"/>
          <w:highlight w:val="none"/>
        </w:rPr>
        <w:t>新招录公务员及司法支出</w:t>
      </w:r>
      <w:r>
        <w:rPr>
          <w:rFonts w:ascii="宋体" w:hAnsi="宋体" w:cs="宋体"/>
          <w:sz w:val="31"/>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color w:val="000000"/>
          <w:kern w:val="0"/>
          <w:sz w:val="32"/>
          <w:szCs w:val="32"/>
          <w:highlight w:val="none"/>
        </w:rPr>
        <w:t>五、一般公共预算财政拨款支出决算情况说明</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（一）财政拨款支出决算总体情况</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年度财政拨款支出</w:t>
      </w:r>
      <w:r>
        <w:rPr>
          <w:rFonts w:hint="eastAsia" w:ascii="Times New Roman" w:hAnsi="Times New Roman" w:cs="Times New Roman" w:eastAsiaTheme="minorEastAsia"/>
          <w:sz w:val="31"/>
          <w:highlight w:val="none"/>
        </w:rPr>
        <w:t>775.16</w:t>
      </w:r>
      <w:r>
        <w:rPr>
          <w:rFonts w:ascii="宋体" w:hAnsi="宋体" w:cs="宋体"/>
          <w:sz w:val="31"/>
          <w:highlight w:val="none"/>
        </w:rPr>
        <w:t>万元，占本年支出合计的</w:t>
      </w:r>
      <w:r>
        <w:rPr>
          <w:rFonts w:hint="eastAsia" w:ascii="Times New Roman" w:hAnsi="Times New Roman" w:cs="Times New Roman" w:eastAsiaTheme="minorEastAsia"/>
          <w:sz w:val="31"/>
          <w:highlight w:val="none"/>
        </w:rPr>
        <w:t>98.88</w:t>
      </w:r>
      <w:r>
        <w:rPr>
          <w:rFonts w:ascii="Times New Roman" w:hAnsi="Times New Roman" w:eastAsia="Times New Roman" w:cs="Times New Roman"/>
          <w:sz w:val="31"/>
          <w:highlight w:val="none"/>
        </w:rPr>
        <w:t>%</w:t>
      </w:r>
      <w:r>
        <w:rPr>
          <w:rFonts w:ascii="宋体" w:hAnsi="宋体" w:cs="宋体"/>
          <w:sz w:val="31"/>
          <w:highlight w:val="none"/>
        </w:rPr>
        <w:t>，与上年相比，财政拨款支出</w:t>
      </w:r>
      <w:r>
        <w:rPr>
          <w:rFonts w:hint="eastAsia" w:ascii="宋体" w:hAnsi="宋体" w:cs="宋体"/>
          <w:sz w:val="31"/>
          <w:highlight w:val="none"/>
        </w:rPr>
        <w:t>增加</w:t>
      </w:r>
      <w:r>
        <w:rPr>
          <w:rFonts w:hint="eastAsia" w:ascii="Times New Roman" w:hAnsi="Times New Roman" w:cs="Times New Roman" w:eastAsiaTheme="minorEastAsia"/>
          <w:sz w:val="31"/>
          <w:highlight w:val="none"/>
        </w:rPr>
        <w:t>159.73</w:t>
      </w:r>
      <w:r>
        <w:rPr>
          <w:rFonts w:ascii="宋体" w:hAnsi="宋体" w:cs="宋体"/>
          <w:sz w:val="31"/>
          <w:highlight w:val="none"/>
        </w:rPr>
        <w:t>万元，</w:t>
      </w:r>
      <w:r>
        <w:rPr>
          <w:rFonts w:hint="eastAsia" w:ascii="宋体" w:hAnsi="宋体" w:cs="宋体"/>
          <w:sz w:val="31"/>
          <w:highlight w:val="none"/>
        </w:rPr>
        <w:t>增加</w:t>
      </w:r>
      <w:r>
        <w:rPr>
          <w:rFonts w:hint="eastAsia" w:ascii="Times New Roman" w:hAnsi="Times New Roman" w:cs="Times New Roman" w:eastAsiaTheme="minorEastAsia"/>
          <w:sz w:val="31"/>
          <w:highlight w:val="none"/>
        </w:rPr>
        <w:t>25.95</w:t>
      </w:r>
      <w:r>
        <w:rPr>
          <w:rFonts w:ascii="Times New Roman" w:hAnsi="Times New Roman" w:eastAsia="Times New Roman" w:cs="Times New Roman"/>
          <w:sz w:val="31"/>
          <w:highlight w:val="none"/>
        </w:rPr>
        <w:t>%</w:t>
      </w:r>
      <w:r>
        <w:rPr>
          <w:rFonts w:ascii="宋体" w:hAnsi="宋体" w:cs="宋体"/>
          <w:sz w:val="31"/>
          <w:highlight w:val="none"/>
        </w:rPr>
        <w:t>，主要是因为</w:t>
      </w:r>
      <w:r>
        <w:rPr>
          <w:rFonts w:hint="eastAsia" w:ascii="宋体" w:hAnsi="宋体" w:cs="宋体"/>
          <w:sz w:val="31"/>
          <w:highlight w:val="none"/>
        </w:rPr>
        <w:t>新招录公务员及司法支出</w:t>
      </w:r>
      <w:r>
        <w:rPr>
          <w:rFonts w:ascii="宋体" w:hAnsi="宋体" w:cs="宋体"/>
          <w:sz w:val="31"/>
          <w:highlight w:val="none"/>
        </w:rPr>
        <w:t>。 </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（二）财政拨款支出决算结构情况</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年度财政拨款支出</w:t>
      </w:r>
      <w:r>
        <w:rPr>
          <w:rFonts w:hint="eastAsia" w:ascii="Times New Roman" w:hAnsi="Times New Roman" w:cs="Times New Roman" w:eastAsiaTheme="minorEastAsia"/>
          <w:sz w:val="31"/>
          <w:highlight w:val="none"/>
        </w:rPr>
        <w:t>783.92</w:t>
      </w:r>
      <w:r>
        <w:rPr>
          <w:rFonts w:ascii="宋体" w:hAnsi="宋体" w:cs="宋体"/>
          <w:sz w:val="31"/>
          <w:highlight w:val="none"/>
        </w:rPr>
        <w:t>万元，主要用于公共安全支出（项），其中基本支出</w:t>
      </w:r>
      <w:r>
        <w:rPr>
          <w:rFonts w:hint="eastAsia" w:ascii="Times New Roman" w:hAnsi="Times New Roman" w:cs="Times New Roman" w:eastAsiaTheme="minorEastAsia"/>
          <w:sz w:val="31"/>
          <w:highlight w:val="none"/>
        </w:rPr>
        <w:t>523.81</w:t>
      </w:r>
      <w:r>
        <w:rPr>
          <w:rFonts w:ascii="宋体" w:hAnsi="宋体" w:cs="宋体"/>
          <w:sz w:val="31"/>
          <w:highlight w:val="none"/>
        </w:rPr>
        <w:t>万元，占</w:t>
      </w:r>
      <w:r>
        <w:rPr>
          <w:rFonts w:hint="eastAsia" w:ascii="Times New Roman" w:hAnsi="Times New Roman" w:cs="Times New Roman" w:eastAsiaTheme="minorEastAsia"/>
          <w:sz w:val="31"/>
          <w:highlight w:val="none"/>
        </w:rPr>
        <w:t>69</w:t>
      </w:r>
      <w:r>
        <w:rPr>
          <w:rFonts w:ascii="Times New Roman" w:hAnsi="Times New Roman" w:eastAsia="Times New Roman" w:cs="Times New Roman"/>
          <w:sz w:val="31"/>
          <w:highlight w:val="none"/>
        </w:rPr>
        <w:t>%</w:t>
      </w:r>
      <w:r>
        <w:rPr>
          <w:rFonts w:ascii="宋体" w:hAnsi="宋体" w:cs="宋体"/>
          <w:sz w:val="31"/>
          <w:highlight w:val="none"/>
        </w:rPr>
        <w:t>；项目支出</w:t>
      </w:r>
      <w:r>
        <w:rPr>
          <w:rFonts w:hint="eastAsia" w:ascii="Times New Roman" w:hAnsi="Times New Roman" w:cs="Times New Roman" w:eastAsiaTheme="minorEastAsia"/>
          <w:sz w:val="31"/>
          <w:highlight w:val="none"/>
        </w:rPr>
        <w:t>260.11</w:t>
      </w:r>
      <w:r>
        <w:rPr>
          <w:rFonts w:ascii="宋体" w:hAnsi="宋体" w:cs="宋体"/>
          <w:sz w:val="31"/>
          <w:highlight w:val="none"/>
        </w:rPr>
        <w:t>万元，占</w:t>
      </w:r>
      <w:r>
        <w:rPr>
          <w:rFonts w:hint="eastAsia" w:ascii="Times New Roman" w:hAnsi="Times New Roman" w:cs="Times New Roman" w:eastAsiaTheme="minorEastAsia"/>
          <w:sz w:val="31"/>
          <w:highlight w:val="none"/>
        </w:rPr>
        <w:t>31</w:t>
      </w:r>
      <w:r>
        <w:rPr>
          <w:rFonts w:ascii="Times New Roman" w:hAnsi="Times New Roman" w:eastAsia="Times New Roman" w:cs="Times New Roman"/>
          <w:sz w:val="31"/>
          <w:highlight w:val="none"/>
        </w:rPr>
        <w:t>%</w:t>
      </w:r>
      <w:r>
        <w:rPr>
          <w:rFonts w:ascii="宋体" w:hAnsi="宋体" w:cs="宋体"/>
          <w:sz w:val="31"/>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（三）财政拨款支出决算具体情况</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年度财政拨款支出年初预算数为</w:t>
      </w:r>
      <w:r>
        <w:rPr>
          <w:rFonts w:hint="eastAsia" w:ascii="Times New Roman" w:hAnsi="Times New Roman" w:cs="Times New Roman" w:eastAsiaTheme="minorEastAsia"/>
          <w:sz w:val="31"/>
          <w:highlight w:val="none"/>
        </w:rPr>
        <w:t>783.92</w:t>
      </w:r>
      <w:r>
        <w:rPr>
          <w:rFonts w:ascii="宋体" w:hAnsi="宋体" w:cs="宋体"/>
          <w:sz w:val="31"/>
          <w:highlight w:val="none"/>
        </w:rPr>
        <w:t>万元，支出决算数为</w:t>
      </w:r>
      <w:r>
        <w:rPr>
          <w:rFonts w:hint="eastAsia" w:ascii="Times New Roman" w:hAnsi="Times New Roman" w:cs="Times New Roman" w:eastAsiaTheme="minorEastAsia"/>
          <w:sz w:val="31"/>
          <w:highlight w:val="none"/>
        </w:rPr>
        <w:t>783.92</w:t>
      </w:r>
      <w:r>
        <w:rPr>
          <w:rFonts w:ascii="宋体" w:hAnsi="宋体" w:cs="宋体"/>
          <w:sz w:val="31"/>
          <w:highlight w:val="none"/>
        </w:rPr>
        <w:t>万元，完成年初预算的</w:t>
      </w:r>
      <w:r>
        <w:rPr>
          <w:rFonts w:ascii="Times New Roman" w:hAnsi="Times New Roman" w:eastAsia="Times New Roman" w:cs="Times New Roman"/>
          <w:sz w:val="31"/>
          <w:highlight w:val="none"/>
        </w:rPr>
        <w:t>100%</w:t>
      </w:r>
      <w:r>
        <w:rPr>
          <w:rFonts w:ascii="宋体" w:hAnsi="宋体" w:cs="宋体"/>
          <w:sz w:val="31"/>
          <w:highlight w:val="none"/>
        </w:rPr>
        <w:t>，其中：</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eastAsia="Times New Roman" w:cs="Times New Roman"/>
          <w:sz w:val="24"/>
          <w:highlight w:val="none"/>
        </w:rPr>
      </w:pPr>
      <w:r>
        <w:rPr>
          <w:rFonts w:ascii="Times New Roman" w:hAnsi="Times New Roman" w:eastAsia="Times New Roman" w:cs="Times New Roman"/>
          <w:sz w:val="31"/>
          <w:highlight w:val="none"/>
        </w:rPr>
        <w:t>1</w:t>
      </w:r>
      <w:r>
        <w:rPr>
          <w:rFonts w:ascii="宋体" w:hAnsi="宋体" w:cs="宋体"/>
          <w:sz w:val="31"/>
          <w:highlight w:val="none"/>
        </w:rPr>
        <w:t>、一般公共服务支出（项）年初预算为</w:t>
      </w:r>
      <w:r>
        <w:rPr>
          <w:rFonts w:hint="eastAsia" w:ascii="Times New Roman" w:hAnsi="Times New Roman" w:cs="Times New Roman" w:eastAsiaTheme="minorEastAsia"/>
          <w:sz w:val="31"/>
          <w:highlight w:val="none"/>
        </w:rPr>
        <w:t>775.16</w:t>
      </w:r>
      <w:r>
        <w:rPr>
          <w:rFonts w:ascii="宋体" w:hAnsi="宋体" w:cs="宋体"/>
          <w:sz w:val="31"/>
          <w:highlight w:val="none"/>
        </w:rPr>
        <w:t>万元，支出决算为</w:t>
      </w:r>
      <w:r>
        <w:rPr>
          <w:rFonts w:hint="eastAsia" w:ascii="Times New Roman" w:hAnsi="Times New Roman" w:cs="Times New Roman" w:eastAsiaTheme="minorEastAsia"/>
          <w:sz w:val="31"/>
          <w:highlight w:val="none"/>
        </w:rPr>
        <w:t>775.16</w:t>
      </w:r>
      <w:r>
        <w:rPr>
          <w:rFonts w:ascii="宋体" w:hAnsi="宋体" w:cs="宋体"/>
          <w:sz w:val="31"/>
          <w:highlight w:val="none"/>
        </w:rPr>
        <w:t>万元，完成年初预算的</w:t>
      </w:r>
      <w:r>
        <w:rPr>
          <w:rFonts w:ascii="Times New Roman" w:hAnsi="Times New Roman" w:eastAsia="Times New Roman" w:cs="Times New Roman"/>
          <w:sz w:val="31"/>
          <w:highlight w:val="none"/>
        </w:rPr>
        <w:t>100%</w:t>
      </w:r>
      <w:r>
        <w:rPr>
          <w:rFonts w:ascii="宋体" w:hAnsi="宋体" w:cs="宋体"/>
          <w:sz w:val="31"/>
          <w:highlight w:val="none"/>
        </w:rPr>
        <w:t>。其中基本支出</w:t>
      </w:r>
      <w:r>
        <w:rPr>
          <w:rFonts w:hint="eastAsia" w:ascii="Times New Roman" w:hAnsi="Times New Roman" w:cs="Times New Roman" w:eastAsiaTheme="minorEastAsia"/>
          <w:sz w:val="31"/>
          <w:highlight w:val="none"/>
        </w:rPr>
        <w:t>523.81</w:t>
      </w:r>
      <w:r>
        <w:rPr>
          <w:rFonts w:ascii="宋体" w:hAnsi="宋体" w:cs="宋体"/>
          <w:sz w:val="31"/>
          <w:highlight w:val="none"/>
        </w:rPr>
        <w:t>万元，占</w:t>
      </w:r>
      <w:r>
        <w:rPr>
          <w:rFonts w:hint="eastAsia" w:ascii="Times New Roman" w:hAnsi="Times New Roman" w:cs="Times New Roman" w:eastAsiaTheme="minorEastAsia"/>
          <w:sz w:val="31"/>
          <w:highlight w:val="none"/>
        </w:rPr>
        <w:t>69</w:t>
      </w:r>
      <w:r>
        <w:rPr>
          <w:rFonts w:ascii="Times New Roman" w:hAnsi="Times New Roman" w:eastAsia="Times New Roman" w:cs="Times New Roman"/>
          <w:sz w:val="31"/>
          <w:highlight w:val="none"/>
        </w:rPr>
        <w:t>%</w:t>
      </w:r>
      <w:r>
        <w:rPr>
          <w:rFonts w:ascii="宋体" w:hAnsi="宋体" w:cs="宋体"/>
          <w:sz w:val="31"/>
          <w:highlight w:val="none"/>
        </w:rPr>
        <w:t>；项目支出</w:t>
      </w:r>
      <w:r>
        <w:rPr>
          <w:rFonts w:hint="eastAsia" w:ascii="Times New Roman" w:hAnsi="Times New Roman" w:cs="Times New Roman" w:eastAsiaTheme="minorEastAsia"/>
          <w:sz w:val="31"/>
          <w:highlight w:val="none"/>
        </w:rPr>
        <w:t>260.11</w:t>
      </w:r>
      <w:r>
        <w:rPr>
          <w:rFonts w:ascii="宋体" w:hAnsi="宋体" w:cs="宋体"/>
          <w:sz w:val="31"/>
          <w:highlight w:val="none"/>
        </w:rPr>
        <w:t>万元，占</w:t>
      </w:r>
      <w:r>
        <w:rPr>
          <w:rFonts w:hint="eastAsia" w:ascii="Times New Roman" w:hAnsi="Times New Roman" w:cs="Times New Roman" w:eastAsiaTheme="minorEastAsia"/>
          <w:sz w:val="31"/>
          <w:highlight w:val="none"/>
        </w:rPr>
        <w:t>31</w:t>
      </w:r>
      <w:r>
        <w:rPr>
          <w:rFonts w:ascii="Times New Roman" w:hAnsi="Times New Roman" w:eastAsia="Times New Roman" w:cs="Times New Roman"/>
          <w:sz w:val="31"/>
          <w:highlight w:val="none"/>
        </w:rPr>
        <w:t>%</w:t>
      </w:r>
      <w:r>
        <w:rPr>
          <w:rFonts w:ascii="宋体" w:hAnsi="宋体" w:cs="宋体"/>
          <w:sz w:val="31"/>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六、一般公共预算财政拨款基本支出决算情况说明</w:t>
      </w:r>
    </w:p>
    <w:p>
      <w:pPr>
        <w:keepNext w:val="0"/>
        <w:keepLines w:val="0"/>
        <w:pageBreakBefore w:val="0"/>
        <w:widowControl w:val="0"/>
        <w:kinsoku/>
        <w:wordWrap/>
        <w:overflowPunct/>
        <w:topLinePunct w:val="0"/>
        <w:bidi w:val="0"/>
        <w:snapToGrid/>
        <w:spacing w:line="240" w:lineRule="auto"/>
        <w:ind w:left="0" w:firstLine="620" w:firstLineChars="200"/>
        <w:textAlignment w:val="auto"/>
        <w:rPr>
          <w:rFonts w:ascii="Times New Roman" w:hAnsi="Times New Roman" w:cs="Times New Roman"/>
          <w:sz w:val="32"/>
          <w:szCs w:val="32"/>
          <w:highlight w:val="none"/>
        </w:rPr>
      </w:pPr>
      <w:r>
        <w:rPr>
          <w:rFonts w:ascii="Times New Roman" w:hAnsi="Times New Roman" w:eastAsia="Times New Roman" w:cs="Times New Roman"/>
          <w:sz w:val="31"/>
          <w:highlight w:val="none"/>
        </w:rPr>
        <w:t>202</w:t>
      </w:r>
      <w:r>
        <w:rPr>
          <w:rFonts w:hint="eastAsia" w:ascii="Times New Roman" w:hAnsi="Times New Roman" w:cs="Times New Roman" w:eastAsiaTheme="minorEastAsia"/>
          <w:sz w:val="31"/>
          <w:highlight w:val="none"/>
        </w:rPr>
        <w:t>3</w:t>
      </w:r>
      <w:r>
        <w:rPr>
          <w:rFonts w:ascii="宋体" w:hAnsi="宋体" w:cs="宋体"/>
          <w:sz w:val="31"/>
          <w:highlight w:val="none"/>
        </w:rPr>
        <w:t>年度财政拨款基本支出</w:t>
      </w:r>
      <w:r>
        <w:rPr>
          <w:rFonts w:hint="eastAsia" w:ascii="Times New Roman" w:hAnsi="Times New Roman" w:cs="Times New Roman" w:eastAsiaTheme="minorEastAsia"/>
          <w:sz w:val="31"/>
          <w:highlight w:val="none"/>
        </w:rPr>
        <w:t>515.04</w:t>
      </w:r>
      <w:r>
        <w:rPr>
          <w:rFonts w:ascii="宋体" w:hAnsi="宋体" w:cs="宋体"/>
          <w:sz w:val="31"/>
          <w:highlight w:val="none"/>
        </w:rPr>
        <w:t>万元，其中：人员经费</w:t>
      </w:r>
      <w:r>
        <w:rPr>
          <w:rFonts w:hint="eastAsia" w:ascii="Times New Roman" w:hAnsi="Times New Roman" w:cs="Times New Roman" w:eastAsiaTheme="minorEastAsia"/>
          <w:sz w:val="31"/>
          <w:highlight w:val="none"/>
        </w:rPr>
        <w:t>409.40</w:t>
      </w:r>
      <w:r>
        <w:rPr>
          <w:rFonts w:ascii="宋体" w:hAnsi="宋体" w:cs="宋体"/>
          <w:sz w:val="31"/>
          <w:highlight w:val="none"/>
        </w:rPr>
        <w:t>万元，占基本支出的</w:t>
      </w:r>
      <w:r>
        <w:rPr>
          <w:rFonts w:hint="eastAsia" w:ascii="Times New Roman" w:hAnsi="Times New Roman" w:cs="Times New Roman" w:eastAsiaTheme="minorEastAsia"/>
          <w:sz w:val="31"/>
          <w:highlight w:val="none"/>
        </w:rPr>
        <w:t>79</w:t>
      </w:r>
      <w:r>
        <w:rPr>
          <w:rFonts w:ascii="Times New Roman" w:hAnsi="Times New Roman" w:eastAsia="Times New Roman" w:cs="Times New Roman"/>
          <w:sz w:val="31"/>
          <w:highlight w:val="none"/>
        </w:rPr>
        <w:t>%,</w:t>
      </w:r>
      <w:r>
        <w:rPr>
          <w:rFonts w:ascii="宋体" w:hAnsi="宋体" w:cs="宋体"/>
          <w:sz w:val="31"/>
          <w:highlight w:val="none"/>
        </w:rPr>
        <w:t>主要包括基本工资、津贴补贴、奖金、伙食补助费；公用经费</w:t>
      </w:r>
      <w:r>
        <w:rPr>
          <w:rFonts w:hint="eastAsia" w:ascii="Times New Roman" w:hAnsi="Times New Roman" w:cs="Times New Roman" w:eastAsiaTheme="minorEastAsia"/>
          <w:sz w:val="31"/>
          <w:highlight w:val="none"/>
        </w:rPr>
        <w:t>105.64</w:t>
      </w:r>
      <w:r>
        <w:rPr>
          <w:rFonts w:ascii="宋体" w:hAnsi="宋体" w:cs="宋体"/>
          <w:sz w:val="31"/>
          <w:highlight w:val="none"/>
        </w:rPr>
        <w:t>万元，占基本支出的</w:t>
      </w:r>
      <w:r>
        <w:rPr>
          <w:rFonts w:hint="eastAsia" w:ascii="Times New Roman" w:hAnsi="Times New Roman" w:cs="Times New Roman" w:eastAsiaTheme="minorEastAsia"/>
          <w:sz w:val="31"/>
          <w:highlight w:val="none"/>
        </w:rPr>
        <w:t>20.51</w:t>
      </w:r>
      <w:r>
        <w:rPr>
          <w:rFonts w:ascii="Times New Roman" w:hAnsi="Times New Roman" w:eastAsia="Times New Roman" w:cs="Times New Roman"/>
          <w:sz w:val="31"/>
          <w:highlight w:val="none"/>
        </w:rPr>
        <w:t>%</w:t>
      </w:r>
      <w:r>
        <w:rPr>
          <w:rFonts w:ascii="宋体" w:hAnsi="宋体" w:cs="宋体"/>
          <w:sz w:val="31"/>
          <w:highlight w:val="none"/>
        </w:rPr>
        <w:t>，主要包括办公费、印刷费、交通费、委托业务费、咨询费、手续费。</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color w:val="000000"/>
          <w:kern w:val="0"/>
          <w:sz w:val="32"/>
          <w:szCs w:val="32"/>
          <w:highlight w:val="none"/>
        </w:rPr>
        <w:t>七、一般公共预算财政拨款“三公”经费支出决算情况说明</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（一）“三公”经费财政拨款支出决算总体情况说明</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2023年度“三公”经费财政拨款支出预算为</w:t>
      </w:r>
      <w:r>
        <w:rPr>
          <w:rFonts w:hint="eastAsia" w:ascii="Times New Roman" w:hAnsi="Times New Roman" w:eastAsia="仿宋" w:cs="Times New Roman"/>
          <w:sz w:val="32"/>
          <w:szCs w:val="32"/>
          <w:highlight w:val="none"/>
        </w:rPr>
        <w:t>2</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rPr>
        <w:t>3.63</w:t>
      </w:r>
      <w:r>
        <w:rPr>
          <w:rFonts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rPr>
        <w:t>181</w:t>
      </w:r>
      <w:r>
        <w:rPr>
          <w:rFonts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rPr>
        <w:t>。</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因公出国（境）费支出预算为</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rPr>
        <w:t>100</w:t>
      </w:r>
      <w:r>
        <w:rPr>
          <w:rFonts w:ascii="Times New Roman" w:hAnsi="Times New Roman" w:eastAsia="仿宋" w:cs="Times New Roman"/>
          <w:sz w:val="32"/>
          <w:szCs w:val="32"/>
          <w:highlight w:val="none"/>
        </w:rPr>
        <w:t>%。</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hint="eastAsia"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公务接待费支出预算为</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rPr>
        <w:t>100</w:t>
      </w:r>
      <w:r>
        <w:rPr>
          <w:rFonts w:ascii="Times New Roman" w:hAnsi="Times New Roman" w:eastAsia="仿宋" w:cs="Times New Roman"/>
          <w:sz w:val="32"/>
          <w:szCs w:val="32"/>
          <w:highlight w:val="none"/>
        </w:rPr>
        <w:t>%。</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公务用车购置费支出预算为</w:t>
      </w:r>
      <w:r>
        <w:rPr>
          <w:rFonts w:hint="eastAsia" w:ascii="Times New Roman" w:hAnsi="Times New Roman" w:eastAsia="仿宋" w:cs="Times New Roman"/>
          <w:sz w:val="32"/>
          <w:szCs w:val="32"/>
          <w:highlight w:val="none"/>
        </w:rPr>
        <w:t>2</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rPr>
        <w:t>2</w:t>
      </w:r>
      <w:r>
        <w:rPr>
          <w:rFonts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rPr>
        <w:t>100</w:t>
      </w:r>
      <w:r>
        <w:rPr>
          <w:rFonts w:ascii="Times New Roman" w:hAnsi="Times New Roman" w:eastAsia="仿宋" w:cs="Times New Roman"/>
          <w:sz w:val="32"/>
          <w:szCs w:val="32"/>
          <w:highlight w:val="none"/>
        </w:rPr>
        <w:t>%。</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公务用车运行维护费支出预算为</w:t>
      </w:r>
      <w:r>
        <w:rPr>
          <w:rFonts w:hint="eastAsia" w:ascii="Times New Roman" w:hAnsi="Times New Roman" w:eastAsia="仿宋" w:cs="Times New Roman"/>
          <w:sz w:val="32"/>
          <w:szCs w:val="32"/>
          <w:highlight w:val="none"/>
        </w:rPr>
        <w:t>2</w:t>
      </w:r>
      <w:r>
        <w:rPr>
          <w:rFonts w:ascii="Times New Roman" w:hAnsi="Times New Roman" w:eastAsia="仿宋" w:cs="Times New Roman"/>
          <w:sz w:val="32"/>
          <w:szCs w:val="32"/>
          <w:highlight w:val="none"/>
        </w:rPr>
        <w:t>万元，支出决算为</w:t>
      </w:r>
      <w:r>
        <w:rPr>
          <w:rFonts w:hint="eastAsia" w:ascii="Times New Roman" w:hAnsi="Times New Roman" w:eastAsia="仿宋" w:cs="Times New Roman"/>
          <w:sz w:val="32"/>
          <w:szCs w:val="32"/>
          <w:highlight w:val="none"/>
        </w:rPr>
        <w:t>3.63</w:t>
      </w:r>
      <w:r>
        <w:rPr>
          <w:rFonts w:ascii="Times New Roman" w:hAnsi="Times New Roman" w:eastAsia="仿宋" w:cs="Times New Roman"/>
          <w:sz w:val="32"/>
          <w:szCs w:val="32"/>
          <w:highlight w:val="none"/>
        </w:rPr>
        <w:t>万元，完成预算的</w:t>
      </w:r>
      <w:r>
        <w:rPr>
          <w:rFonts w:hint="eastAsia" w:ascii="Times New Roman" w:hAnsi="Times New Roman" w:eastAsia="仿宋" w:cs="Times New Roman"/>
          <w:sz w:val="32"/>
          <w:szCs w:val="32"/>
          <w:highlight w:val="none"/>
        </w:rPr>
        <w:t>181</w:t>
      </w:r>
      <w:r>
        <w:rPr>
          <w:rFonts w:ascii="Times New Roman" w:hAnsi="Times New Roman" w:eastAsia="仿宋" w:cs="Times New Roman"/>
          <w:sz w:val="32"/>
          <w:szCs w:val="32"/>
          <w:highlight w:val="none"/>
        </w:rPr>
        <w:t>%。</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楷体_GB2312" w:cs="Times New Roman"/>
          <w:b/>
          <w:sz w:val="32"/>
          <w:szCs w:val="32"/>
          <w:highlight w:val="none"/>
        </w:rPr>
      </w:pPr>
      <w:r>
        <w:rPr>
          <w:rFonts w:ascii="Times New Roman" w:hAnsi="Times New Roman" w:eastAsia="楷体_GB2312" w:cs="Times New Roman"/>
          <w:b/>
          <w:sz w:val="32"/>
          <w:szCs w:val="32"/>
          <w:highlight w:val="none"/>
        </w:rPr>
        <w:t>（二）“三公”经费财政拨款支出决算具体情况说明</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2023年度“三公”经费财政拨款支出决算中，公务接待费支出决算</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万元，占</w:t>
      </w:r>
      <w:r>
        <w:rPr>
          <w:rFonts w:hint="eastAsia" w:ascii="Times New Roman" w:hAnsi="Times New Roman" w:eastAsia="仿宋" w:cs="Times New Roman"/>
          <w:sz w:val="32"/>
          <w:szCs w:val="32"/>
          <w:highlight w:val="none"/>
        </w:rPr>
        <w:t>100</w:t>
      </w:r>
      <w:r>
        <w:rPr>
          <w:rFonts w:ascii="Times New Roman" w:hAnsi="Times New Roman" w:eastAsia="仿宋" w:cs="Times New Roman"/>
          <w:sz w:val="32"/>
          <w:szCs w:val="32"/>
          <w:highlight w:val="none"/>
        </w:rPr>
        <w:t>%,因公出国（境）费支出决算</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万元，占</w:t>
      </w:r>
      <w:r>
        <w:rPr>
          <w:rFonts w:hint="eastAsia" w:ascii="Times New Roman" w:hAnsi="Times New Roman" w:eastAsia="仿宋" w:cs="Times New Roman"/>
          <w:sz w:val="32"/>
          <w:szCs w:val="32"/>
          <w:highlight w:val="none"/>
        </w:rPr>
        <w:t>100</w:t>
      </w:r>
      <w:r>
        <w:rPr>
          <w:rFonts w:ascii="Times New Roman" w:hAnsi="Times New Roman" w:eastAsia="仿宋" w:cs="Times New Roman"/>
          <w:sz w:val="32"/>
          <w:szCs w:val="32"/>
          <w:highlight w:val="none"/>
        </w:rPr>
        <w:t>%,公务用车购置费及运行维护费支出决算</w:t>
      </w:r>
      <w:r>
        <w:rPr>
          <w:rFonts w:hint="eastAsia" w:ascii="Times New Roman" w:hAnsi="Times New Roman" w:eastAsia="仿宋" w:cs="Times New Roman"/>
          <w:sz w:val="32"/>
          <w:szCs w:val="32"/>
          <w:highlight w:val="none"/>
        </w:rPr>
        <w:t>3.63</w:t>
      </w:r>
      <w:r>
        <w:rPr>
          <w:rFonts w:ascii="Times New Roman" w:hAnsi="Times New Roman" w:eastAsia="仿宋" w:cs="Times New Roman"/>
          <w:sz w:val="32"/>
          <w:szCs w:val="32"/>
          <w:highlight w:val="none"/>
        </w:rPr>
        <w:t>万元，占</w:t>
      </w:r>
      <w:r>
        <w:rPr>
          <w:rFonts w:hint="eastAsia" w:ascii="Times New Roman" w:hAnsi="Times New Roman" w:eastAsia="仿宋" w:cs="Times New Roman"/>
          <w:sz w:val="32"/>
          <w:szCs w:val="32"/>
          <w:highlight w:val="none"/>
        </w:rPr>
        <w:t>181</w:t>
      </w:r>
      <w:r>
        <w:rPr>
          <w:rFonts w:ascii="Times New Roman" w:hAnsi="Times New Roman" w:eastAsia="仿宋" w:cs="Times New Roman"/>
          <w:sz w:val="32"/>
          <w:szCs w:val="32"/>
          <w:highlight w:val="none"/>
        </w:rPr>
        <w:t>%。其中：</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1、因公出国（境）费支出决算为</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万元，全年安排因公出国（境）团组</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个，累计</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 xml:space="preserve">人次。    </w:t>
      </w:r>
    </w:p>
    <w:p>
      <w:pPr>
        <w:pStyle w:val="16"/>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2、公务接待费支出决算为</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万元，全年共接待来访团组</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个、来宾</w:t>
      </w:r>
      <w:r>
        <w:rPr>
          <w:rFonts w:hint="eastAsia" w:ascii="Times New Roman" w:hAnsi="Times New Roman" w:eastAsia="仿宋" w:cs="Times New Roman"/>
          <w:sz w:val="32"/>
          <w:szCs w:val="32"/>
          <w:highlight w:val="none"/>
        </w:rPr>
        <w:t>0</w:t>
      </w:r>
      <w:r>
        <w:rPr>
          <w:rFonts w:ascii="Times New Roman" w:hAnsi="Times New Roman" w:eastAsia="仿宋" w:cs="Times New Roman"/>
          <w:sz w:val="32"/>
          <w:szCs w:val="32"/>
          <w:highlight w:val="none"/>
        </w:rPr>
        <w:t>人次。</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3、公务用车购置费及运行维护费支出决算为</w:t>
      </w:r>
      <w:r>
        <w:rPr>
          <w:rFonts w:hint="eastAsia" w:ascii="Times New Roman" w:hAnsi="Times New Roman" w:eastAsia="仿宋" w:cs="Times New Roman"/>
          <w:color w:val="000000"/>
          <w:kern w:val="0"/>
          <w:sz w:val="32"/>
          <w:szCs w:val="32"/>
          <w:highlight w:val="none"/>
        </w:rPr>
        <w:t>3.63</w:t>
      </w:r>
      <w:r>
        <w:rPr>
          <w:rFonts w:ascii="Times New Roman" w:hAnsi="Times New Roman" w:eastAsia="仿宋" w:cs="Times New Roman"/>
          <w:color w:val="000000"/>
          <w:kern w:val="0"/>
          <w:sz w:val="32"/>
          <w:szCs w:val="32"/>
          <w:highlight w:val="none"/>
        </w:rPr>
        <w:t>万元，其中：公务用车购置费</w:t>
      </w:r>
      <w:r>
        <w:rPr>
          <w:rFonts w:hint="eastAsia" w:ascii="Times New Roman" w:hAnsi="Times New Roman" w:eastAsia="仿宋" w:cs="Times New Roman"/>
          <w:color w:val="000000"/>
          <w:kern w:val="0"/>
          <w:sz w:val="32"/>
          <w:szCs w:val="32"/>
          <w:highlight w:val="none"/>
        </w:rPr>
        <w:t>0</w:t>
      </w:r>
      <w:r>
        <w:rPr>
          <w:rFonts w:ascii="Times New Roman" w:hAnsi="Times New Roman" w:eastAsia="仿宋" w:cs="Times New Roman"/>
          <w:color w:val="000000"/>
          <w:kern w:val="0"/>
          <w:sz w:val="32"/>
          <w:szCs w:val="32"/>
          <w:highlight w:val="none"/>
        </w:rPr>
        <w:t>万元，购置公务用车</w:t>
      </w:r>
      <w:r>
        <w:rPr>
          <w:rFonts w:hint="eastAsia" w:ascii="Times New Roman" w:hAnsi="Times New Roman" w:eastAsia="仿宋" w:cs="Times New Roman"/>
          <w:color w:val="000000"/>
          <w:kern w:val="0"/>
          <w:sz w:val="32"/>
          <w:szCs w:val="32"/>
          <w:highlight w:val="none"/>
        </w:rPr>
        <w:t>0</w:t>
      </w:r>
      <w:r>
        <w:rPr>
          <w:rFonts w:ascii="Times New Roman" w:hAnsi="Times New Roman" w:eastAsia="仿宋" w:cs="Times New Roman"/>
          <w:color w:val="000000"/>
          <w:kern w:val="0"/>
          <w:sz w:val="32"/>
          <w:szCs w:val="32"/>
          <w:highlight w:val="none"/>
        </w:rPr>
        <w:t>辆。公务用车运行维护费</w:t>
      </w:r>
      <w:r>
        <w:rPr>
          <w:rFonts w:hint="eastAsia" w:ascii="Times New Roman" w:hAnsi="Times New Roman" w:eastAsia="仿宋" w:cs="Times New Roman"/>
          <w:color w:val="000000"/>
          <w:kern w:val="0"/>
          <w:sz w:val="32"/>
          <w:szCs w:val="32"/>
          <w:highlight w:val="none"/>
        </w:rPr>
        <w:t>3.63</w:t>
      </w:r>
      <w:r>
        <w:rPr>
          <w:rFonts w:ascii="Times New Roman" w:hAnsi="Times New Roman" w:eastAsia="仿宋" w:cs="Times New Roman"/>
          <w:color w:val="000000"/>
          <w:kern w:val="0"/>
          <w:sz w:val="32"/>
          <w:szCs w:val="32"/>
          <w:highlight w:val="none"/>
        </w:rPr>
        <w:t>万元，截止2023年12月31日，我单位开支财政拨款的公务用车保有量为</w:t>
      </w:r>
      <w:r>
        <w:rPr>
          <w:rFonts w:hint="eastAsia" w:ascii="Times New Roman" w:hAnsi="Times New Roman" w:eastAsia="仿宋" w:cs="Times New Roman"/>
          <w:color w:val="000000"/>
          <w:kern w:val="0"/>
          <w:sz w:val="32"/>
          <w:szCs w:val="32"/>
          <w:highlight w:val="none"/>
        </w:rPr>
        <w:t>1</w:t>
      </w:r>
      <w:r>
        <w:rPr>
          <w:rFonts w:ascii="Times New Roman" w:hAnsi="Times New Roman" w:eastAsia="仿宋" w:cs="Times New Roman"/>
          <w:color w:val="000000"/>
          <w:kern w:val="0"/>
          <w:sz w:val="32"/>
          <w:szCs w:val="32"/>
          <w:highlight w:val="none"/>
        </w:rPr>
        <w:t>辆。</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八、政府性基金预算收入支出决算情况</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年度政府性基金预算财政拨款收入0万元；年初结转和结余0万元；支出0万元，其中基本支出0万元，项目支出0万元；年末结转和结余0万元。</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color w:val="000000"/>
          <w:kern w:val="0"/>
          <w:sz w:val="32"/>
          <w:szCs w:val="32"/>
          <w:highlight w:val="none"/>
        </w:rPr>
        <w:t>九、国有资本经营预算支出决算情况</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 w:cs="Times New Roman"/>
          <w:color w:val="000000"/>
          <w:kern w:val="0"/>
          <w:sz w:val="32"/>
          <w:szCs w:val="32"/>
          <w:highlight w:val="none"/>
        </w:rPr>
        <w:t>2023年度本单位没有使用国有资本经营预算安排的支出</w:t>
      </w:r>
      <w:r>
        <w:rPr>
          <w:rFonts w:ascii="Times New Roman" w:hAnsi="Times New Roman" w:eastAsia="仿宋_GB2312" w:cs="Times New Roman"/>
          <w:color w:val="000000"/>
          <w:kern w:val="0"/>
          <w:sz w:val="32"/>
          <w:szCs w:val="32"/>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十、机关运行经费支出说明</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本部门202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年度机关运行经费支出</w:t>
      </w:r>
      <w:r>
        <w:rPr>
          <w:rFonts w:hint="eastAsia" w:ascii="Times New Roman" w:hAnsi="Times New Roman" w:eastAsia="仿宋" w:cs="Times New Roman"/>
          <w:color w:val="000000"/>
          <w:kern w:val="0"/>
          <w:sz w:val="32"/>
          <w:szCs w:val="32"/>
          <w:highlight w:val="none"/>
        </w:rPr>
        <w:t>505.65</w:t>
      </w:r>
      <w:r>
        <w:rPr>
          <w:rFonts w:ascii="Times New Roman" w:hAnsi="Times New Roman" w:eastAsia="仿宋" w:cs="Times New Roman"/>
          <w:color w:val="000000"/>
          <w:kern w:val="0"/>
          <w:sz w:val="32"/>
          <w:szCs w:val="32"/>
          <w:highlight w:val="none"/>
        </w:rPr>
        <w:t>万元，比上年决算数增加</w:t>
      </w:r>
      <w:r>
        <w:rPr>
          <w:rFonts w:hint="eastAsia" w:ascii="Times New Roman" w:hAnsi="Times New Roman" w:eastAsia="仿宋" w:cs="Times New Roman"/>
          <w:color w:val="000000"/>
          <w:kern w:val="0"/>
          <w:sz w:val="32"/>
          <w:szCs w:val="32"/>
          <w:highlight w:val="none"/>
        </w:rPr>
        <w:t>299.92</w:t>
      </w:r>
      <w:r>
        <w:rPr>
          <w:rFonts w:ascii="Times New Roman" w:hAnsi="Times New Roman" w:eastAsia="仿宋" w:cs="Times New Roman"/>
          <w:color w:val="000000"/>
          <w:kern w:val="0"/>
          <w:sz w:val="32"/>
          <w:szCs w:val="32"/>
          <w:highlight w:val="none"/>
        </w:rPr>
        <w:t>万元，增长179%。主要原因是</w:t>
      </w:r>
      <w:r>
        <w:rPr>
          <w:rFonts w:hint="eastAsia" w:ascii="Times New Roman" w:hAnsi="Times New Roman" w:eastAsia="仿宋" w:cs="Times New Roman"/>
          <w:color w:val="000000"/>
          <w:kern w:val="0"/>
          <w:sz w:val="32"/>
          <w:szCs w:val="32"/>
          <w:highlight w:val="none"/>
        </w:rPr>
        <w:t>司法业务、法律援助案件费用、一村（社区）一法律顾问费用</w:t>
      </w:r>
      <w:r>
        <w:rPr>
          <w:rFonts w:ascii="Times New Roman" w:hAnsi="Times New Roman" w:eastAsia="仿宋" w:cs="Times New Roman"/>
          <w:color w:val="000000"/>
          <w:kern w:val="0"/>
          <w:sz w:val="32"/>
          <w:szCs w:val="32"/>
          <w:highlight w:val="none"/>
        </w:rPr>
        <w:t>增加。</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十一、一般性支出情况说明</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年本部门开支会议费</w:t>
      </w:r>
      <w:r>
        <w:rPr>
          <w:rFonts w:hint="eastAsia" w:ascii="Times New Roman" w:hAnsi="Times New Roman" w:eastAsia="仿宋" w:cs="Times New Roman"/>
          <w:color w:val="000000"/>
          <w:kern w:val="0"/>
          <w:sz w:val="32"/>
          <w:szCs w:val="32"/>
          <w:highlight w:val="none"/>
        </w:rPr>
        <w:t>660</w:t>
      </w:r>
      <w:r>
        <w:rPr>
          <w:rFonts w:ascii="Times New Roman" w:hAnsi="Times New Roman" w:eastAsia="仿宋" w:cs="Times New Roman"/>
          <w:color w:val="000000"/>
          <w:kern w:val="0"/>
          <w:sz w:val="32"/>
          <w:szCs w:val="32"/>
          <w:highlight w:val="none"/>
        </w:rPr>
        <w:t>元</w:t>
      </w:r>
      <w:r>
        <w:rPr>
          <w:rFonts w:hint="eastAsia" w:ascii="Times New Roman" w:hAnsi="Times New Roman" w:eastAsia="仿宋" w:cs="Times New Roman"/>
          <w:color w:val="000000"/>
          <w:kern w:val="0"/>
          <w:sz w:val="32"/>
          <w:szCs w:val="32"/>
          <w:highlight w:val="none"/>
        </w:rPr>
        <w:t>，</w:t>
      </w:r>
      <w:r>
        <w:rPr>
          <w:rFonts w:ascii="Times New Roman" w:hAnsi="Times New Roman" w:eastAsia="仿宋" w:cs="Times New Roman"/>
          <w:color w:val="000000"/>
          <w:kern w:val="0"/>
          <w:sz w:val="32"/>
          <w:szCs w:val="32"/>
          <w:highlight w:val="none"/>
        </w:rPr>
        <w:t>开支培训费</w:t>
      </w:r>
      <w:r>
        <w:rPr>
          <w:rFonts w:hint="eastAsia" w:ascii="Times New Roman" w:hAnsi="Times New Roman" w:eastAsia="仿宋" w:cs="Times New Roman"/>
          <w:color w:val="000000"/>
          <w:kern w:val="0"/>
          <w:sz w:val="32"/>
          <w:szCs w:val="32"/>
          <w:highlight w:val="none"/>
        </w:rPr>
        <w:t>0</w:t>
      </w:r>
      <w:r>
        <w:rPr>
          <w:rFonts w:ascii="Times New Roman" w:hAnsi="Times New Roman" w:eastAsia="仿宋" w:cs="Times New Roman"/>
          <w:color w:val="000000"/>
          <w:kern w:val="0"/>
          <w:sz w:val="32"/>
          <w:szCs w:val="32"/>
          <w:highlight w:val="none"/>
        </w:rPr>
        <w:t>万元</w:t>
      </w:r>
      <w:r>
        <w:rPr>
          <w:rFonts w:hint="eastAsia" w:ascii="Times New Roman" w:hAnsi="Times New Roman" w:eastAsia="仿宋" w:cs="Times New Roman"/>
          <w:color w:val="000000"/>
          <w:kern w:val="0"/>
          <w:sz w:val="32"/>
          <w:szCs w:val="32"/>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十二、政府采购支出说明</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20</w:t>
      </w:r>
      <w:r>
        <w:rPr>
          <w:rFonts w:hint="eastAsia" w:ascii="Times New Roman" w:hAnsi="Times New Roman" w:eastAsia="仿宋" w:cs="Times New Roman"/>
          <w:color w:val="000000"/>
          <w:kern w:val="0"/>
          <w:sz w:val="32"/>
          <w:szCs w:val="32"/>
          <w:highlight w:val="none"/>
        </w:rPr>
        <w:t>23</w:t>
      </w:r>
      <w:r>
        <w:rPr>
          <w:rFonts w:ascii="Times New Roman" w:hAnsi="Times New Roman" w:eastAsia="仿宋" w:cs="Times New Roman"/>
          <w:color w:val="000000"/>
          <w:kern w:val="0"/>
          <w:sz w:val="32"/>
          <w:szCs w:val="32"/>
          <w:highlight w:val="none"/>
        </w:rPr>
        <w:t>年本部门开支会议费</w:t>
      </w:r>
      <w:r>
        <w:rPr>
          <w:rFonts w:hint="eastAsia" w:ascii="Times New Roman" w:hAnsi="Times New Roman" w:eastAsia="仿宋" w:cs="Times New Roman"/>
          <w:color w:val="000000"/>
          <w:kern w:val="0"/>
          <w:sz w:val="32"/>
          <w:szCs w:val="32"/>
          <w:highlight w:val="none"/>
        </w:rPr>
        <w:t>660</w:t>
      </w:r>
      <w:r>
        <w:rPr>
          <w:rFonts w:ascii="Times New Roman" w:hAnsi="Times New Roman" w:eastAsia="仿宋" w:cs="Times New Roman"/>
          <w:color w:val="000000"/>
          <w:kern w:val="0"/>
          <w:sz w:val="32"/>
          <w:szCs w:val="32"/>
          <w:highlight w:val="none"/>
        </w:rPr>
        <w:t>元</w:t>
      </w:r>
      <w:r>
        <w:rPr>
          <w:rFonts w:hint="eastAsia" w:ascii="Times New Roman" w:hAnsi="Times New Roman" w:eastAsia="仿宋" w:cs="Times New Roman"/>
          <w:color w:val="000000"/>
          <w:kern w:val="0"/>
          <w:sz w:val="32"/>
          <w:szCs w:val="32"/>
          <w:highlight w:val="none"/>
        </w:rPr>
        <w:t>，</w:t>
      </w:r>
      <w:r>
        <w:rPr>
          <w:rFonts w:ascii="Times New Roman" w:hAnsi="Times New Roman" w:eastAsia="仿宋" w:cs="Times New Roman"/>
          <w:color w:val="000000"/>
          <w:kern w:val="0"/>
          <w:sz w:val="32"/>
          <w:szCs w:val="32"/>
          <w:highlight w:val="none"/>
        </w:rPr>
        <w:t>开支培训费</w:t>
      </w:r>
      <w:r>
        <w:rPr>
          <w:rFonts w:hint="eastAsia" w:ascii="Times New Roman" w:hAnsi="Times New Roman" w:eastAsia="仿宋" w:cs="Times New Roman"/>
          <w:color w:val="000000"/>
          <w:kern w:val="0"/>
          <w:sz w:val="32"/>
          <w:szCs w:val="32"/>
          <w:highlight w:val="none"/>
        </w:rPr>
        <w:t>0</w:t>
      </w:r>
      <w:r>
        <w:rPr>
          <w:rFonts w:ascii="Times New Roman" w:hAnsi="Times New Roman" w:eastAsia="仿宋" w:cs="Times New Roman"/>
          <w:color w:val="000000"/>
          <w:kern w:val="0"/>
          <w:sz w:val="32"/>
          <w:szCs w:val="32"/>
          <w:highlight w:val="none"/>
        </w:rPr>
        <w:t>万元</w:t>
      </w:r>
      <w:r>
        <w:rPr>
          <w:rFonts w:hint="eastAsia" w:ascii="Times New Roman" w:hAnsi="Times New Roman" w:eastAsia="仿宋" w:cs="Times New Roman"/>
          <w:color w:val="000000"/>
          <w:kern w:val="0"/>
          <w:sz w:val="32"/>
          <w:szCs w:val="32"/>
          <w:highlight w:val="none"/>
        </w:rPr>
        <w:t>。</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十三、国有资产占用情况说明</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截至202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12月31日，部门（单位）共有车辆1辆，其中，主要领导干部用车0辆，机要通信用车0辆、应急保障用车0辆、执法执勤用车1辆、特种专业技术用车0辆、其他用车0辆；单位价值50万元以上通用设备0台（套）；单位价值100万元以上专用设备0台（套）。</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黑体" w:cs="Times New Roman"/>
          <w:color w:val="000000"/>
          <w:kern w:val="0"/>
          <w:sz w:val="32"/>
          <w:szCs w:val="32"/>
          <w:highlight w:val="none"/>
        </w:rPr>
      </w:pPr>
      <w:r>
        <w:rPr>
          <w:rFonts w:ascii="Times New Roman" w:hAnsi="Times New Roman" w:eastAsia="黑体" w:cs="Times New Roman"/>
          <w:color w:val="000000"/>
          <w:kern w:val="0"/>
          <w:sz w:val="32"/>
          <w:szCs w:val="32"/>
          <w:highlight w:val="none"/>
        </w:rPr>
        <w:t>十四、重点项目预算的绩效评价结果等情况说明</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根据预算绩效管理要求，我部门组织对202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年度一般公共预算项目支出全面开展绩效自评，其中，一级项目</w:t>
      </w:r>
      <w:r>
        <w:rPr>
          <w:rFonts w:hint="eastAsia" w:ascii="Times New Roman" w:hAnsi="Times New Roman" w:eastAsia="仿宋" w:cs="Times New Roman"/>
          <w:color w:val="000000"/>
          <w:kern w:val="0"/>
          <w:sz w:val="32"/>
          <w:szCs w:val="32"/>
          <w:highlight w:val="none"/>
        </w:rPr>
        <w:t>4</w:t>
      </w:r>
      <w:r>
        <w:rPr>
          <w:rFonts w:ascii="Times New Roman" w:hAnsi="Times New Roman" w:eastAsia="仿宋" w:cs="Times New Roman"/>
          <w:color w:val="000000"/>
          <w:kern w:val="0"/>
          <w:sz w:val="32"/>
          <w:szCs w:val="32"/>
          <w:highlight w:val="none"/>
        </w:rPr>
        <w:t>个，共涉及资金</w:t>
      </w:r>
      <w:r>
        <w:rPr>
          <w:rFonts w:hint="eastAsia" w:ascii="Times New Roman" w:hAnsi="Times New Roman" w:eastAsia="仿宋" w:cs="Times New Roman"/>
          <w:color w:val="000000"/>
          <w:kern w:val="0"/>
          <w:sz w:val="32"/>
          <w:szCs w:val="32"/>
          <w:highlight w:val="none"/>
        </w:rPr>
        <w:t>122</w:t>
      </w:r>
      <w:r>
        <w:rPr>
          <w:rFonts w:ascii="Times New Roman" w:hAnsi="Times New Roman" w:eastAsia="仿宋" w:cs="Times New Roman"/>
          <w:color w:val="000000"/>
          <w:kern w:val="0"/>
          <w:sz w:val="32"/>
          <w:szCs w:val="32"/>
          <w:highlight w:val="none"/>
        </w:rPr>
        <w:t>万元，占一般公共预算项目支出总额的100%。</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组织对202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年度</w:t>
      </w:r>
      <w:r>
        <w:rPr>
          <w:rFonts w:hint="eastAsia" w:ascii="Times New Roman" w:hAnsi="Times New Roman" w:eastAsia="仿宋" w:cs="Times New Roman"/>
          <w:color w:val="000000"/>
          <w:kern w:val="0"/>
          <w:sz w:val="32"/>
          <w:szCs w:val="32"/>
          <w:highlight w:val="none"/>
        </w:rPr>
        <w:t>业务</w:t>
      </w:r>
      <w:r>
        <w:rPr>
          <w:rFonts w:ascii="Times New Roman" w:hAnsi="Times New Roman" w:eastAsia="仿宋" w:cs="Times New Roman"/>
          <w:color w:val="000000"/>
          <w:kern w:val="0"/>
          <w:sz w:val="32"/>
          <w:szCs w:val="32"/>
          <w:highlight w:val="none"/>
        </w:rPr>
        <w:t>专项、依法治区、</w:t>
      </w:r>
      <w:r>
        <w:rPr>
          <w:rFonts w:hint="eastAsia" w:ascii="Times New Roman" w:hAnsi="Times New Roman" w:eastAsia="仿宋" w:cs="Times New Roman"/>
          <w:color w:val="000000"/>
          <w:kern w:val="0"/>
          <w:sz w:val="32"/>
          <w:szCs w:val="32"/>
          <w:highlight w:val="none"/>
        </w:rPr>
        <w:t>矛盾调解专项</w:t>
      </w:r>
      <w:r>
        <w:rPr>
          <w:rFonts w:ascii="Times New Roman" w:hAnsi="Times New Roman" w:eastAsia="仿宋" w:cs="Times New Roman"/>
          <w:color w:val="000000"/>
          <w:kern w:val="0"/>
          <w:sz w:val="32"/>
          <w:szCs w:val="32"/>
          <w:highlight w:val="none"/>
        </w:rPr>
        <w:t>、</w:t>
      </w:r>
      <w:r>
        <w:rPr>
          <w:rFonts w:hint="eastAsia" w:ascii="Times New Roman" w:hAnsi="Times New Roman" w:eastAsia="仿宋" w:cs="Times New Roman"/>
          <w:color w:val="000000"/>
          <w:kern w:val="0"/>
          <w:sz w:val="32"/>
          <w:szCs w:val="32"/>
          <w:highlight w:val="none"/>
        </w:rPr>
        <w:t>物业管理专项</w:t>
      </w:r>
      <w:r>
        <w:rPr>
          <w:rFonts w:ascii="Times New Roman" w:hAnsi="Times New Roman" w:eastAsia="仿宋" w:cs="Times New Roman"/>
          <w:color w:val="000000"/>
          <w:kern w:val="0"/>
          <w:sz w:val="32"/>
          <w:szCs w:val="32"/>
          <w:highlight w:val="none"/>
        </w:rPr>
        <w:t>等4个开展了部门评价，涉及一般公共预算支出</w:t>
      </w:r>
      <w:r>
        <w:rPr>
          <w:rFonts w:hint="eastAsia" w:ascii="Times New Roman" w:hAnsi="Times New Roman" w:eastAsia="仿宋" w:cs="Times New Roman"/>
          <w:color w:val="000000"/>
          <w:kern w:val="0"/>
          <w:sz w:val="32"/>
          <w:szCs w:val="32"/>
          <w:highlight w:val="none"/>
        </w:rPr>
        <w:t>122</w:t>
      </w:r>
      <w:r>
        <w:rPr>
          <w:rFonts w:ascii="Times New Roman" w:hAnsi="Times New Roman" w:eastAsia="仿宋" w:cs="Times New Roman"/>
          <w:color w:val="000000"/>
          <w:kern w:val="0"/>
          <w:sz w:val="32"/>
          <w:szCs w:val="32"/>
          <w:highlight w:val="none"/>
        </w:rPr>
        <w:t>万元，政府性基金预算支出0万元，国有资本经营预算支出0万元。从评价情况来看，预算执行及时、有效，绩效目标得到较好实现，绩效目标水平不断提高。</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绩效管理评价工作开展情况。</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根据预算绩效管理要求，我部门组织对202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年度一般公共预算项目支出全面开展绩效自评，其中，一级项目4个，共涉及资金</w:t>
      </w:r>
      <w:r>
        <w:rPr>
          <w:rFonts w:hint="eastAsia" w:ascii="Times New Roman" w:hAnsi="Times New Roman" w:eastAsia="仿宋" w:cs="Times New Roman"/>
          <w:color w:val="000000"/>
          <w:kern w:val="0"/>
          <w:sz w:val="32"/>
          <w:szCs w:val="32"/>
          <w:highlight w:val="none"/>
        </w:rPr>
        <w:t>122</w:t>
      </w:r>
      <w:r>
        <w:rPr>
          <w:rFonts w:ascii="Times New Roman" w:hAnsi="Times New Roman" w:eastAsia="仿宋" w:cs="Times New Roman"/>
          <w:color w:val="000000"/>
          <w:kern w:val="0"/>
          <w:sz w:val="32"/>
          <w:szCs w:val="32"/>
          <w:highlight w:val="none"/>
        </w:rPr>
        <w:t>万元，占一般公共预算项目支出总额的100%。</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组织对202</w:t>
      </w:r>
      <w:r>
        <w:rPr>
          <w:rFonts w:hint="eastAsia" w:ascii="Times New Roman" w:hAnsi="Times New Roman" w:eastAsia="仿宋" w:cs="Times New Roman"/>
          <w:color w:val="000000"/>
          <w:kern w:val="0"/>
          <w:sz w:val="32"/>
          <w:szCs w:val="32"/>
          <w:highlight w:val="none"/>
        </w:rPr>
        <w:t>3</w:t>
      </w:r>
      <w:r>
        <w:rPr>
          <w:rFonts w:ascii="Times New Roman" w:hAnsi="Times New Roman" w:eastAsia="仿宋" w:cs="Times New Roman"/>
          <w:color w:val="000000"/>
          <w:kern w:val="0"/>
          <w:sz w:val="32"/>
          <w:szCs w:val="32"/>
          <w:highlight w:val="none"/>
        </w:rPr>
        <w:t>年度</w:t>
      </w:r>
      <w:r>
        <w:rPr>
          <w:rFonts w:hint="eastAsia" w:ascii="Times New Roman" w:hAnsi="Times New Roman" w:eastAsia="仿宋" w:cs="Times New Roman"/>
          <w:color w:val="000000"/>
          <w:kern w:val="0"/>
          <w:sz w:val="32"/>
          <w:szCs w:val="32"/>
          <w:highlight w:val="none"/>
        </w:rPr>
        <w:t>业务</w:t>
      </w:r>
      <w:r>
        <w:rPr>
          <w:rFonts w:ascii="Times New Roman" w:hAnsi="Times New Roman" w:eastAsia="仿宋" w:cs="Times New Roman"/>
          <w:color w:val="000000"/>
          <w:kern w:val="0"/>
          <w:sz w:val="32"/>
          <w:szCs w:val="32"/>
          <w:highlight w:val="none"/>
        </w:rPr>
        <w:t>专项、依法治区、</w:t>
      </w:r>
      <w:r>
        <w:rPr>
          <w:rFonts w:hint="eastAsia" w:ascii="Times New Roman" w:hAnsi="Times New Roman" w:eastAsia="仿宋" w:cs="Times New Roman"/>
          <w:color w:val="000000"/>
          <w:kern w:val="0"/>
          <w:sz w:val="32"/>
          <w:szCs w:val="32"/>
          <w:highlight w:val="none"/>
        </w:rPr>
        <w:t>矛盾调解专项、物业管理专项</w:t>
      </w:r>
      <w:r>
        <w:rPr>
          <w:rFonts w:ascii="Times New Roman" w:hAnsi="Times New Roman" w:eastAsia="仿宋" w:cs="Times New Roman"/>
          <w:color w:val="000000"/>
          <w:kern w:val="0"/>
          <w:sz w:val="32"/>
          <w:szCs w:val="32"/>
          <w:highlight w:val="none"/>
        </w:rPr>
        <w:t>等4个开展了部门评价，涉及一般公共预算支出</w:t>
      </w:r>
      <w:r>
        <w:rPr>
          <w:rFonts w:hint="eastAsia" w:ascii="Times New Roman" w:hAnsi="Times New Roman" w:eastAsia="仿宋" w:cs="Times New Roman"/>
          <w:color w:val="000000"/>
          <w:kern w:val="0"/>
          <w:sz w:val="32"/>
          <w:szCs w:val="32"/>
          <w:highlight w:val="none"/>
        </w:rPr>
        <w:t>122</w:t>
      </w:r>
      <w:r>
        <w:rPr>
          <w:rFonts w:ascii="Times New Roman" w:hAnsi="Times New Roman" w:eastAsia="仿宋" w:cs="Times New Roman"/>
          <w:color w:val="000000"/>
          <w:kern w:val="0"/>
          <w:sz w:val="32"/>
          <w:szCs w:val="32"/>
          <w:highlight w:val="none"/>
        </w:rPr>
        <w:t>万元，政府性基金预算支出0万元，国有资本经营预算支出0万元。从评价情况来看，预算执行及时、有效，绩效目标得到较好实现，绩效目标水平不断提高。</w:t>
      </w:r>
    </w:p>
    <w:p>
      <w:pPr>
        <w:pStyle w:val="7"/>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firstLine="640" w:firstLineChars="200"/>
        <w:textAlignment w:val="auto"/>
        <w:rPr>
          <w:rFonts w:hint="eastAsia" w:ascii="Times New Roman" w:hAnsi="Times New Roman" w:eastAsia="楷体_GB2312" w:cs="Times New Roman"/>
          <w:b/>
          <w:color w:val="000000"/>
          <w:kern w:val="0"/>
          <w:sz w:val="32"/>
          <w:szCs w:val="32"/>
          <w:highlight w:val="none"/>
        </w:rPr>
      </w:pPr>
      <w:r>
        <w:rPr>
          <w:rFonts w:ascii="Times New Roman" w:hAnsi="Times New Roman" w:eastAsia="楷体_GB2312" w:cs="Times New Roman"/>
          <w:b/>
          <w:color w:val="000000"/>
          <w:kern w:val="0"/>
          <w:sz w:val="32"/>
          <w:szCs w:val="32"/>
          <w:highlight w:val="none"/>
        </w:rPr>
        <w:t>部门评价项目绩效评价结果。</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宋体" w:hAnsi="宋体" w:cs="宋体"/>
          <w:sz w:val="32"/>
          <w:highlight w:val="none"/>
        </w:rPr>
        <w:t>（</w:t>
      </w:r>
      <w:r>
        <w:rPr>
          <w:rFonts w:ascii="Times New Roman" w:hAnsi="Times New Roman" w:eastAsia="仿宋" w:cs="Times New Roman"/>
          <w:color w:val="000000"/>
          <w:kern w:val="0"/>
          <w:sz w:val="32"/>
          <w:szCs w:val="32"/>
          <w:highlight w:val="none"/>
        </w:rPr>
        <w:t>一）夯实基础持续推进依法治区，全面加强依法治区工作</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6月30日，组织召开了区委全面依法治区委员会2023年第一次会议，8月2日，区司法局组织54家相关部门参加了“创建全国法治政府建设示范市动员部署大会”视频会议。我区迅速响应，组织45个相关单位召开了“株洲市石峰区创建全国法治政府建设示范市部署会”，各单位迅速行动按市委要求递交相关工作资料。</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10月26日，市委依法治市办在我区开展法治政府建设实地督查。区委依法治区办将根据上级下发的督察情况通报和问题清单制定整改方案，跟踪督促问题整改，进一步压紧压实责任，确保法治政府建设工作取得实效。</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（二）推进法治政府建设，提升依法行政水平</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截至12月8日，区政府共收到行政诉讼案件19件，已审结12件，胜诉率为100％；收到检察监督案件2件；组织案件承办单位、区政府法律顾问开展行政诉讼案件讨论会15次；新收行政复议申请73件，现已审结57件；召开疑难行政复议案件讨论会2次；共审查规范性文件5件。我局对区政府13件现行有效规范性文件进行了二次梳理，并上传至湖南智慧人大平台，对8份政府合同、10份政府文件进行了法律审查，出具了9条法律意见。</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6月6日至14日，我局会同区政府法律顾问对区城管局、区市监局、区税务局、区卫健局等单位进行法治工作督查。7月，我局组织区政府法律顾问等有关人员抽取区交警大队、区应急管理局、区农业农村局3家单位行政执法案卷进行了案卷评查。</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我局组织了两轮行政执法资格考试，目前我区各行政执法单位共有253人取得行政执法证。预计年底全面落实全区国家工作人员分类分众学法考法，全区3280余名在职干部，参学率、参考率、合格率均达100%。</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狠抓社区矫正管控严守工作底线</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截至12月8日，社区矫正在矫对象有122人，其中缓刑121人，暂予监外执行1人。接收刑满释放人员104人，无缝对接率为100％。未发生危害社会稳定，造成不良社会影响的事件。</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我局按照省厅、市局的建设标准，科学谋划、合理布局，建成了集中管理、综合执行、教育帮扶三位一体的智慧社区矫正中心，于2023年9月通过了省级验收。</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我局采取线上线下相结合的方式全面掌握社矫对象情况，通过社区矫正智慧一体化平台核查社矫对象活动情况，通过实地排查走访，建立帮教小组，强化社矫对象自我教育、自我管理意识。</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hint="eastAsia" w:ascii="Times New Roman" w:hAnsi="Times New Roman" w:eastAsia="仿宋" w:cs="Times New Roman"/>
          <w:color w:val="000000"/>
          <w:kern w:val="0"/>
          <w:sz w:val="32"/>
          <w:szCs w:val="32"/>
          <w:highlight w:val="none"/>
        </w:rPr>
        <w:t>（四）</w:t>
      </w:r>
      <w:r>
        <w:rPr>
          <w:rFonts w:ascii="Times New Roman" w:hAnsi="Times New Roman" w:eastAsia="仿宋" w:cs="Times New Roman"/>
          <w:color w:val="000000"/>
          <w:kern w:val="0"/>
          <w:sz w:val="32"/>
          <w:szCs w:val="32"/>
          <w:highlight w:val="none"/>
        </w:rPr>
        <w:t>积极排查化解矛盾纠纷维护社会稳定，提升工作人员履职能力</w:t>
      </w:r>
    </w:p>
    <w:p>
      <w:pPr>
        <w:pStyle w:val="17"/>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我局深入开展矛盾纠纷排查化解专项活动，组织发动广大调解员对全区68个社区（村）进行矛盾纠纷排查调处，扎实有效做好矛盾纠纷源头预防、排查预警、调解化解工作。截至12月8日，2023年共调解矛盾纠纷1760件，调解成功率99.82%。实现“小事不出村，大事不出街道，矛盾不上交”。</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石峰区司法局特邀国家二级心理咨询师王辉平在石峰区政府网格中心举办了一堂线上心理学讲座《性格偏激人员的调解与沟通》，全区各镇（街道）调委会主任、司法所所长、人民调解员等300余人参加培训。</w:t>
      </w:r>
    </w:p>
    <w:p>
      <w:pPr>
        <w:pStyle w:val="17"/>
        <w:keepNext w:val="0"/>
        <w:keepLines w:val="0"/>
        <w:pageBreakBefore w:val="0"/>
        <w:widowControl w:val="0"/>
        <w:numPr>
          <w:ilvl w:val="0"/>
          <w:numId w:val="3"/>
        </w:numPr>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开展司法所规划化建设</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落实《石峰区司法所规范化建设三年行动实施方案（2022-2024年）》，积极推进清水塘街道司法所规范化建设稳步落实，力争在年底完成7个司法所规范化建设考核任务。</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（六）扎实推进法律援助服务工作开展，为群众提供公益性、便捷化的公共法律服务</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截至12月8日，中心窗口解答法律咨询357人次，经区法律援助中心审查提供法律援助案件422件（其中民事案件52件、刑事案件344件），今年法律援助案件目标任务260件，完成年度目标的152%。</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（七）围绕“八五”普法规划的目标任务，促进普法宣传教育“推陈出新”</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健全普法体系，出台《株洲市石峰区“谁执法谁普法”责任制单位2023年度普法重点任务清单》，压实各普法责任单位职责。</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5月19日，石峰区召开“八五”普法中期验收工作部署会，印发了《石峰区法治宣传教育“八五”普法规划中期验收实施评估细则》，明确了工作目标和任务。我区按照株洲市“八五”普法规划中期评估细则要求，已全面完成区级15大类22项指标评估标准资料收集汇编工作。</w:t>
      </w:r>
    </w:p>
    <w:p>
      <w:pPr>
        <w:keepNext w:val="0"/>
        <w:keepLines w:val="0"/>
        <w:pageBreakBefore w:val="0"/>
        <w:widowControl w:val="0"/>
        <w:kinsoku/>
        <w:wordWrap/>
        <w:overflowPunct/>
        <w:topLinePunct w:val="0"/>
        <w:bidi w:val="0"/>
        <w:snapToGrid/>
        <w:spacing w:line="240" w:lineRule="auto"/>
        <w:ind w:left="0" w:firstLine="640" w:firstLineChars="200"/>
        <w:textAlignment w:val="auto"/>
        <w:rPr>
          <w:rFonts w:ascii="Times New Roman" w:hAnsi="Times New Roman" w:eastAsia="仿宋" w:cs="Times New Roman"/>
          <w:color w:val="000000"/>
          <w:kern w:val="0"/>
          <w:sz w:val="32"/>
          <w:szCs w:val="32"/>
          <w:highlight w:val="none"/>
        </w:rPr>
      </w:pPr>
      <w:r>
        <w:rPr>
          <w:rFonts w:ascii="Times New Roman" w:hAnsi="Times New Roman" w:eastAsia="仿宋" w:cs="Times New Roman"/>
          <w:color w:val="000000"/>
          <w:kern w:val="0"/>
          <w:sz w:val="32"/>
          <w:szCs w:val="32"/>
          <w:highlight w:val="none"/>
        </w:rPr>
        <w:t>结合元旦、寒暑假返乡大学生“送法下乡”“3.8”“3.15”“4.15”“6.26”“12.4”“美好生活·民法典相伴”等重要节点开展宪法、民法典、国家安全、反电信诈骗等各类主题鲜明、形式多样的特色普法活动。全年举办各类法治讲座18场；开展法律咨询活动20次；在村（社区）开展上门入户宣传近5000户，发放资料2万多份，法治宣传纪念品1万份，深受群众好评。</w:t>
      </w:r>
    </w:p>
    <w:p>
      <w:pPr>
        <w:pStyle w:val="7"/>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cs="Times New Roman"/>
          <w:sz w:val="32"/>
          <w:szCs w:val="32"/>
          <w:highlight w:val="none"/>
        </w:rPr>
      </w:pPr>
      <w:r>
        <w:rPr>
          <w:rFonts w:ascii="Times New Roman" w:hAnsi="Times New Roman" w:eastAsia="黑体" w:cs="Times New Roman"/>
          <w:color w:val="000000"/>
          <w:kern w:val="0"/>
          <w:sz w:val="32"/>
          <w:szCs w:val="32"/>
          <w:highlight w:val="none"/>
        </w:rPr>
        <w:t>十五、其他重要事项情况说明</w:t>
      </w:r>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textAlignment w:val="auto"/>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本单位没有独立网站，因此只在株洲市石峰区区政府门户网财政预决算和三公经费公开专栏中公开。</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16"/>
        <w:jc w:val="both"/>
        <w:rPr>
          <w:rFonts w:ascii="Times New Roman" w:hAnsi="Times New Roman" w:cs="Times New Roman"/>
          <w:sz w:val="72"/>
          <w:szCs w:val="72"/>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6"/>
        <w:jc w:val="center"/>
        <w:rPr>
          <w:rFonts w:ascii="Times New Roman" w:hAnsi="Times New Roman" w:eastAsia="方正小标宋简体" w:cs="Times New Roman"/>
          <w:sz w:val="56"/>
          <w:szCs w:val="56"/>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6"/>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rPr>
        <w:t>自评报告</w:t>
      </w:r>
    </w:p>
    <w:p>
      <w:pPr>
        <w:pStyle w:val="16"/>
        <w:spacing w:line="596" w:lineRule="exact"/>
        <w:jc w:val="center"/>
        <w:rPr>
          <w:rFonts w:ascii="Times New Roman" w:hAnsi="Times New Roman" w:eastAsia="方正小标宋简体" w:cs="Times New Roman"/>
          <w:sz w:val="32"/>
          <w:szCs w:val="32"/>
        </w:rPr>
      </w:pPr>
    </w:p>
    <w:p>
      <w:pPr>
        <w:pStyle w:val="16"/>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5E2"/>
    <w:multiLevelType w:val="multilevel"/>
    <w:tmpl w:val="012515E2"/>
    <w:lvl w:ilvl="0" w:tentative="0">
      <w:start w:val="5"/>
      <w:numFmt w:val="japaneseCounting"/>
      <w:lvlText w:val="（%1）"/>
      <w:lvlJc w:val="left"/>
      <w:pPr>
        <w:ind w:left="1400" w:hanging="1080"/>
      </w:pPr>
      <w:rPr>
        <w:rFonts w:hint="default" w:ascii="宋体" w:hAnsi="宋体" w:eastAsia="宋体" w:cs="宋体"/>
      </w:rPr>
    </w:lvl>
    <w:lvl w:ilvl="1" w:tentative="0">
      <w:start w:val="1"/>
      <w:numFmt w:val="lowerLetter"/>
      <w:lvlText w:val="%2)"/>
      <w:lvlJc w:val="left"/>
      <w:pPr>
        <w:ind w:left="1160" w:hanging="420"/>
      </w:pPr>
    </w:lvl>
    <w:lvl w:ilvl="2" w:tentative="0">
      <w:start w:val="1"/>
      <w:numFmt w:val="lowerRoman"/>
      <w:lvlText w:val="%3."/>
      <w:lvlJc w:val="right"/>
      <w:pPr>
        <w:ind w:left="1580" w:hanging="420"/>
      </w:pPr>
    </w:lvl>
    <w:lvl w:ilvl="3" w:tentative="0">
      <w:start w:val="1"/>
      <w:numFmt w:val="decimal"/>
      <w:lvlText w:val="%4."/>
      <w:lvlJc w:val="left"/>
      <w:pPr>
        <w:ind w:left="2000" w:hanging="420"/>
      </w:pPr>
    </w:lvl>
    <w:lvl w:ilvl="4" w:tentative="0">
      <w:start w:val="1"/>
      <w:numFmt w:val="lowerLetter"/>
      <w:lvlText w:val="%5)"/>
      <w:lvlJc w:val="left"/>
      <w:pPr>
        <w:ind w:left="2420" w:hanging="420"/>
      </w:pPr>
    </w:lvl>
    <w:lvl w:ilvl="5" w:tentative="0">
      <w:start w:val="1"/>
      <w:numFmt w:val="lowerRoman"/>
      <w:lvlText w:val="%6."/>
      <w:lvlJc w:val="right"/>
      <w:pPr>
        <w:ind w:left="2840" w:hanging="420"/>
      </w:pPr>
    </w:lvl>
    <w:lvl w:ilvl="6" w:tentative="0">
      <w:start w:val="1"/>
      <w:numFmt w:val="decimal"/>
      <w:lvlText w:val="%7."/>
      <w:lvlJc w:val="left"/>
      <w:pPr>
        <w:ind w:left="3260" w:hanging="420"/>
      </w:pPr>
    </w:lvl>
    <w:lvl w:ilvl="7" w:tentative="0">
      <w:start w:val="1"/>
      <w:numFmt w:val="lowerLetter"/>
      <w:lvlText w:val="%8)"/>
      <w:lvlJc w:val="left"/>
      <w:pPr>
        <w:ind w:left="3680" w:hanging="420"/>
      </w:pPr>
    </w:lvl>
    <w:lvl w:ilvl="8" w:tentative="0">
      <w:start w:val="1"/>
      <w:numFmt w:val="lowerRoman"/>
      <w:lvlText w:val="%9."/>
      <w:lvlJc w:val="right"/>
      <w:pPr>
        <w:ind w:left="4100" w:hanging="420"/>
      </w:p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5B92D89"/>
    <w:multiLevelType w:val="multilevel"/>
    <w:tmpl w:val="65B92D89"/>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0FD1"/>
    <w:rsid w:val="00061F7B"/>
    <w:rsid w:val="000658A3"/>
    <w:rsid w:val="00074155"/>
    <w:rsid w:val="0008493F"/>
    <w:rsid w:val="000873EF"/>
    <w:rsid w:val="000A3521"/>
    <w:rsid w:val="000A3F69"/>
    <w:rsid w:val="000C263A"/>
    <w:rsid w:val="000C7E5D"/>
    <w:rsid w:val="000D622D"/>
    <w:rsid w:val="000E4798"/>
    <w:rsid w:val="000E7A2C"/>
    <w:rsid w:val="000F7834"/>
    <w:rsid w:val="001010F1"/>
    <w:rsid w:val="00103957"/>
    <w:rsid w:val="001041C1"/>
    <w:rsid w:val="00120CBE"/>
    <w:rsid w:val="00124A1F"/>
    <w:rsid w:val="0014142C"/>
    <w:rsid w:val="0014726D"/>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7593C"/>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44F7"/>
    <w:rsid w:val="00426B15"/>
    <w:rsid w:val="0042790C"/>
    <w:rsid w:val="0043290F"/>
    <w:rsid w:val="00444FDC"/>
    <w:rsid w:val="00447C5A"/>
    <w:rsid w:val="004506F9"/>
    <w:rsid w:val="004717A2"/>
    <w:rsid w:val="00473DF3"/>
    <w:rsid w:val="004774A2"/>
    <w:rsid w:val="00487911"/>
    <w:rsid w:val="00491741"/>
    <w:rsid w:val="004B0CEE"/>
    <w:rsid w:val="004C518E"/>
    <w:rsid w:val="004D58D0"/>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18AF"/>
    <w:rsid w:val="005B2C0F"/>
    <w:rsid w:val="005B404E"/>
    <w:rsid w:val="005B7582"/>
    <w:rsid w:val="005C12C8"/>
    <w:rsid w:val="005C5979"/>
    <w:rsid w:val="005D4D55"/>
    <w:rsid w:val="005E2CFB"/>
    <w:rsid w:val="005F2103"/>
    <w:rsid w:val="005F3D1C"/>
    <w:rsid w:val="00602320"/>
    <w:rsid w:val="006043C9"/>
    <w:rsid w:val="00612501"/>
    <w:rsid w:val="0062378F"/>
    <w:rsid w:val="006358DD"/>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1FEB"/>
    <w:rsid w:val="006F3EB5"/>
    <w:rsid w:val="00702E34"/>
    <w:rsid w:val="00704395"/>
    <w:rsid w:val="00710FE7"/>
    <w:rsid w:val="00717621"/>
    <w:rsid w:val="00720FF1"/>
    <w:rsid w:val="00727A53"/>
    <w:rsid w:val="00734D64"/>
    <w:rsid w:val="00735EFA"/>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5672D"/>
    <w:rsid w:val="0086638C"/>
    <w:rsid w:val="008878D0"/>
    <w:rsid w:val="008A0ABD"/>
    <w:rsid w:val="008A3E8D"/>
    <w:rsid w:val="008E75DA"/>
    <w:rsid w:val="00904716"/>
    <w:rsid w:val="009237C4"/>
    <w:rsid w:val="00944C48"/>
    <w:rsid w:val="00950252"/>
    <w:rsid w:val="0095291E"/>
    <w:rsid w:val="0096582A"/>
    <w:rsid w:val="009678A6"/>
    <w:rsid w:val="00967F5D"/>
    <w:rsid w:val="009719DB"/>
    <w:rsid w:val="00972B90"/>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1B2E"/>
    <w:rsid w:val="00A92E9F"/>
    <w:rsid w:val="00AA5699"/>
    <w:rsid w:val="00AB2EF8"/>
    <w:rsid w:val="00AB695A"/>
    <w:rsid w:val="00AF3A48"/>
    <w:rsid w:val="00AF60C0"/>
    <w:rsid w:val="00B12AB3"/>
    <w:rsid w:val="00B13B87"/>
    <w:rsid w:val="00B17983"/>
    <w:rsid w:val="00B33BEA"/>
    <w:rsid w:val="00B57C9F"/>
    <w:rsid w:val="00B63572"/>
    <w:rsid w:val="00B845B3"/>
    <w:rsid w:val="00B85D8B"/>
    <w:rsid w:val="00B93B74"/>
    <w:rsid w:val="00BB39B4"/>
    <w:rsid w:val="00BB4A40"/>
    <w:rsid w:val="00BC79C5"/>
    <w:rsid w:val="00BD47BA"/>
    <w:rsid w:val="00BD6C3E"/>
    <w:rsid w:val="00BE3674"/>
    <w:rsid w:val="00C05CF1"/>
    <w:rsid w:val="00C10681"/>
    <w:rsid w:val="00C16881"/>
    <w:rsid w:val="00C3049A"/>
    <w:rsid w:val="00C31B1E"/>
    <w:rsid w:val="00C34068"/>
    <w:rsid w:val="00C52CCA"/>
    <w:rsid w:val="00C5598E"/>
    <w:rsid w:val="00C62C4D"/>
    <w:rsid w:val="00C62C50"/>
    <w:rsid w:val="00C77645"/>
    <w:rsid w:val="00C81C95"/>
    <w:rsid w:val="00CE04C3"/>
    <w:rsid w:val="00CE76A0"/>
    <w:rsid w:val="00CF62EF"/>
    <w:rsid w:val="00CF7390"/>
    <w:rsid w:val="00D055F6"/>
    <w:rsid w:val="00D148C6"/>
    <w:rsid w:val="00D17A8A"/>
    <w:rsid w:val="00D376F6"/>
    <w:rsid w:val="00D415BA"/>
    <w:rsid w:val="00D46BD7"/>
    <w:rsid w:val="00D52066"/>
    <w:rsid w:val="00D53934"/>
    <w:rsid w:val="00D63780"/>
    <w:rsid w:val="00D63DDE"/>
    <w:rsid w:val="00D644EE"/>
    <w:rsid w:val="00D75489"/>
    <w:rsid w:val="00D855D0"/>
    <w:rsid w:val="00DA513B"/>
    <w:rsid w:val="00DC36A2"/>
    <w:rsid w:val="00DD06FF"/>
    <w:rsid w:val="00DD5FE9"/>
    <w:rsid w:val="00DE4EB3"/>
    <w:rsid w:val="00E00C7A"/>
    <w:rsid w:val="00E13932"/>
    <w:rsid w:val="00E209CF"/>
    <w:rsid w:val="00E25314"/>
    <w:rsid w:val="00E37D6C"/>
    <w:rsid w:val="00E46354"/>
    <w:rsid w:val="00E467AF"/>
    <w:rsid w:val="00E55AC3"/>
    <w:rsid w:val="00E55B68"/>
    <w:rsid w:val="00E60D2F"/>
    <w:rsid w:val="00E67BE6"/>
    <w:rsid w:val="00E70863"/>
    <w:rsid w:val="00E8683C"/>
    <w:rsid w:val="00E95436"/>
    <w:rsid w:val="00EA2B72"/>
    <w:rsid w:val="00EC4F00"/>
    <w:rsid w:val="00EE5522"/>
    <w:rsid w:val="00F21988"/>
    <w:rsid w:val="00F21D7E"/>
    <w:rsid w:val="00F26B10"/>
    <w:rsid w:val="00F4725C"/>
    <w:rsid w:val="00F74360"/>
    <w:rsid w:val="00FB462F"/>
    <w:rsid w:val="00FD0A50"/>
    <w:rsid w:val="00FE16FA"/>
    <w:rsid w:val="00FE328A"/>
    <w:rsid w:val="00FE6269"/>
    <w:rsid w:val="00FF5CD6"/>
    <w:rsid w:val="028C1D30"/>
    <w:rsid w:val="06915006"/>
    <w:rsid w:val="0751274D"/>
    <w:rsid w:val="07634BF4"/>
    <w:rsid w:val="07A77932"/>
    <w:rsid w:val="08F14AE1"/>
    <w:rsid w:val="0B567F72"/>
    <w:rsid w:val="0C7C6B53"/>
    <w:rsid w:val="0D3F15F5"/>
    <w:rsid w:val="0EF6245F"/>
    <w:rsid w:val="11E43B98"/>
    <w:rsid w:val="13692089"/>
    <w:rsid w:val="18985D2F"/>
    <w:rsid w:val="18FA38C9"/>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3CB542E7"/>
    <w:rsid w:val="46BE0A2A"/>
    <w:rsid w:val="472236C4"/>
    <w:rsid w:val="47867568"/>
    <w:rsid w:val="47C05439"/>
    <w:rsid w:val="4B1C68ED"/>
    <w:rsid w:val="4B8003CD"/>
    <w:rsid w:val="4F976C0B"/>
    <w:rsid w:val="523F5138"/>
    <w:rsid w:val="538D47D7"/>
    <w:rsid w:val="538E105C"/>
    <w:rsid w:val="53BF69FD"/>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EC3623-3362-4B10-AE71-1C0BF83972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975</Words>
  <Characters>5564</Characters>
  <Lines>46</Lines>
  <Paragraphs>13</Paragraphs>
  <TotalTime>5</TotalTime>
  <ScaleCrop>false</ScaleCrop>
  <LinksUpToDate>false</LinksUpToDate>
  <CharactersWithSpaces>6526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2024-11-18T08:22:00Z</dcterms:created>
  <dc:creator>李航 null</dc:creator>
  <cp:lastModifiedBy>lenovo</cp:lastModifiedBy>
  <cp:lastPrinted>2022-10-11T01:13:00Z</cp:lastPrinted>
  <dcterms:modified xsi:type="dcterms:W3CDTF">2024-11-21T07:28:50Z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