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宋体" w:eastAsia="宋体" w:cs="宋体" w:hint="eastAsia"/>
          <w:kern w:val="0"/>
          <w:sz w:val="32"/>
          <w:szCs w:val="32"/>
          <w:lang w:val="zh-CN"/>
        </w:rPr>
        <w:t>附件</w:t>
      </w:r>
      <w:r>
        <w:rPr>
          <w:rFonts w:ascii="Times New Roman" w:eastAsia="宋体" w:hAnsi="Times New Roman" w:cs="Times New Roman"/>
          <w:kern w:val="0"/>
          <w:sz w:val="32"/>
          <w:szCs w:val="32"/>
        </w:rPr>
        <w:t>1</w:t>
      </w: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center"/>
        <w:rPr>
          <w:rFonts w:ascii="Times New Roman" w:eastAsia="宋体" w:hAnsi="Times New Roman" w:cs="Times New Roman"/>
          <w:kern w:val="0"/>
          <w:sz w:val="44"/>
          <w:szCs w:val="44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rPr>
          <w:rFonts w:ascii="Times New Roman" w:eastAsia="宋体" w:hAnsi="Times New Roman" w:cs="Times New Roman"/>
          <w:kern w:val="0"/>
          <w:sz w:val="44"/>
          <w:szCs w:val="44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center"/>
        <w:rPr>
          <w:rFonts w:ascii="Times New Roman" w:eastAsia="宋体" w:hAnsi="Times New Roman" w:cs="Times New Roman"/>
          <w:kern w:val="0"/>
          <w:sz w:val="44"/>
          <w:szCs w:val="44"/>
        </w:rPr>
      </w:pPr>
      <w:r>
        <w:rPr>
          <w:rFonts w:ascii="Times New Roman" w:eastAsia="宋体" w:hAnsi="Times New Roman" w:cs="Times New Roman"/>
          <w:kern w:val="0"/>
          <w:sz w:val="44"/>
          <w:szCs w:val="44"/>
        </w:rPr>
        <w:t>2023</w:t>
      </w:r>
      <w:r>
        <w:rPr>
          <w:rFonts w:ascii="宋体" w:eastAsia="宋体" w:hAnsi="Times New Roman" w:cs="宋体" w:hint="eastAsia"/>
          <w:kern w:val="0"/>
          <w:sz w:val="44"/>
          <w:szCs w:val="44"/>
          <w:lang w:val="zh-CN"/>
        </w:rPr>
        <w:t>年度部门整体支出绩效自评报告</w:t>
      </w: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center"/>
        <w:rPr>
          <w:rFonts w:ascii="Times New Roman" w:eastAsia="宋体" w:hAnsi="Times New Roman" w:cs="Times New Roman"/>
          <w:kern w:val="0"/>
          <w:sz w:val="36"/>
          <w:szCs w:val="36"/>
        </w:rPr>
      </w:pPr>
      <w:r>
        <w:rPr>
          <w:rFonts w:ascii="宋体" w:eastAsia="宋体" w:hAnsi="Times New Roman" w:cs="宋体" w:hint="eastAsia"/>
          <w:kern w:val="0"/>
          <w:sz w:val="36"/>
          <w:szCs w:val="36"/>
          <w:lang w:val="zh-CN"/>
        </w:rPr>
        <w:t>单位名称（盖章）</w:t>
      </w: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60" w:lineRule="atLeast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40" w:lineRule="atLeast"/>
        <w:ind w:firstLine="640"/>
        <w:jc w:val="left"/>
        <w:rPr>
          <w:rFonts w:ascii="Times New Roman" w:eastAsia="宋体" w:hAnsi="Times New Roman" w:cs="Times New Roman" w:hint="eastAsia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lastRenderedPageBreak/>
        <w:t>一、预算单位基本情况</w:t>
      </w:r>
    </w:p>
    <w:p w:rsidR="008124FA" w:rsidRDefault="008124FA" w:rsidP="008124FA">
      <w:pPr>
        <w:spacing w:line="540" w:lineRule="exact"/>
        <w:ind w:firstLineChars="200" w:firstLine="640"/>
        <w:jc w:val="left"/>
        <w:rPr>
          <w:rFonts w:ascii="仿宋_GB2312" w:eastAsia="仿宋_GB2312" w:hAnsi="仿宋_GB2312" w:cs="Times New Roman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Times New Roman"/>
          <w:bCs/>
          <w:kern w:val="0"/>
          <w:sz w:val="32"/>
          <w:szCs w:val="32"/>
        </w:rPr>
        <w:t>（一）人员编制情况。</w:t>
      </w:r>
    </w:p>
    <w:p w:rsidR="008124FA" w:rsidRDefault="008124FA" w:rsidP="008124FA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我单位共有内设股室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个及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8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个街道司法所，分别为：</w:t>
      </w:r>
      <w:r>
        <w:rPr>
          <w:rFonts w:ascii="Times New Roman" w:eastAsia="仿宋_GB2312" w:hAnsi="Times New Roman"/>
          <w:bCs/>
          <w:sz w:val="32"/>
          <w:szCs w:val="32"/>
        </w:rPr>
        <w:t>办公室、</w:t>
      </w:r>
      <w:r>
        <w:rPr>
          <w:rFonts w:ascii="仿宋_GB2312" w:eastAsia="仿宋_GB2312" w:hAnsi="仿宋_GB2312" w:cs="仿宋_GB2312"/>
          <w:bCs/>
          <w:sz w:val="32"/>
          <w:szCs w:val="32"/>
        </w:rPr>
        <w:t>法制股、社区矫正与公共法律服务管理股(石峰区社区矫正管理局）、人民参与和促进法治股、行政复议办公室；响石岭街道司法所、铜塘湾街道司法所、田心街道司法所、清水塘街道司法所、井龙街道司法所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、云田镇司法所、学林街道司法所、龙头铺镇司法所</w:t>
      </w:r>
      <w:r>
        <w:rPr>
          <w:rFonts w:ascii="仿宋_GB2312" w:eastAsia="仿宋_GB2312" w:hAnsi="仿宋_GB2312" w:cs="仿宋_GB2312"/>
          <w:bCs/>
          <w:sz w:val="32"/>
          <w:szCs w:val="32"/>
        </w:rPr>
        <w:t>。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  <w:t>本部门202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  <w:t>年共有行政编制2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  <w:t>名。实有人数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23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  <w:t>人，其中：在职人员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23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  <w:t>人，退休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  <w:t>人。</w:t>
      </w:r>
    </w:p>
    <w:p w:rsidR="008124FA" w:rsidRDefault="008124FA" w:rsidP="008124FA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  <w:t>（二）同级财政保障机制。我单位公用经费、各项业务经费均纳入年初预算安排。</w:t>
      </w:r>
    </w:p>
    <w:p w:rsidR="008124FA" w:rsidRDefault="008124FA" w:rsidP="008124FA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  <w:t>（三）同级财政经费保障情况。202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  <w:t>年区财政预算为</w:t>
      </w: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  <w:shd w:val="clear" w:color="auto" w:fill="FFFFFF"/>
        </w:rPr>
        <w:t>524.31</w:t>
      </w:r>
      <w:r>
        <w:rPr>
          <w:rFonts w:ascii="仿宋_GB2312" w:eastAsia="仿宋_GB2312" w:hAnsi="仿宋_GB2312" w:cs="仿宋_GB2312"/>
          <w:bCs/>
          <w:color w:val="000000"/>
          <w:sz w:val="32"/>
          <w:szCs w:val="32"/>
          <w:shd w:val="clear" w:color="auto" w:fill="FFFFFF"/>
        </w:rPr>
        <w:t>万元，并足额保障到位。</w:t>
      </w:r>
    </w:p>
    <w:p w:rsidR="008124FA" w:rsidRDefault="0047721E" w:rsidP="0047721E">
      <w:pPr>
        <w:tabs>
          <w:tab w:val="left" w:pos="7560"/>
        </w:tabs>
        <w:autoSpaceDE w:val="0"/>
        <w:autoSpaceDN w:val="0"/>
        <w:adjustRightInd w:val="0"/>
        <w:spacing w:line="540" w:lineRule="atLeast"/>
        <w:ind w:firstLine="640"/>
        <w:jc w:val="left"/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</w:pPr>
      <w:r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t>二、预算收支出情况</w:t>
      </w: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kern w:val="0"/>
          <w:sz w:val="32"/>
          <w:szCs w:val="32"/>
        </w:rPr>
        <w:t>2023</w:t>
      </w:r>
      <w:r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t>年预算收入</w:t>
      </w:r>
      <w:r w:rsidR="008124FA">
        <w:rPr>
          <w:rFonts w:ascii="Times New Roman" w:eastAsia="宋体" w:hAnsi="Times New Roman" w:cs="Times New Roman" w:hint="eastAsia"/>
          <w:kern w:val="0"/>
          <w:sz w:val="32"/>
          <w:szCs w:val="32"/>
        </w:rPr>
        <w:t>524.31</w:t>
      </w:r>
      <w:r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t>万元，其中年初预算</w:t>
      </w:r>
      <w:r w:rsidR="008124FA">
        <w:rPr>
          <w:rFonts w:ascii="Times New Roman" w:eastAsia="宋体" w:hAnsi="Times New Roman" w:cs="Times New Roman" w:hint="eastAsia"/>
          <w:kern w:val="0"/>
          <w:sz w:val="32"/>
          <w:szCs w:val="32"/>
        </w:rPr>
        <w:t>524.31</w:t>
      </w:r>
      <w:r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t>万元，调整追加（减）</w:t>
      </w:r>
      <w:r w:rsidR="008124FA">
        <w:rPr>
          <w:rFonts w:ascii="Times New Roman" w:eastAsia="宋体" w:hAnsi="Times New Roman" w:cs="Times New Roman" w:hint="eastAsia"/>
          <w:kern w:val="0"/>
          <w:sz w:val="32"/>
          <w:szCs w:val="32"/>
        </w:rPr>
        <w:t>0</w:t>
      </w:r>
      <w:r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t>万元。其他资金来源</w:t>
      </w:r>
      <w:r w:rsidR="008124FA">
        <w:rPr>
          <w:rFonts w:ascii="Times New Roman" w:eastAsia="宋体" w:hAnsi="Times New Roman" w:cs="Times New Roman" w:hint="eastAsia"/>
          <w:kern w:val="0"/>
          <w:sz w:val="32"/>
          <w:szCs w:val="32"/>
        </w:rPr>
        <w:t>0</w:t>
      </w:r>
      <w:r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t>万元。</w:t>
      </w: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kern w:val="0"/>
          <w:sz w:val="32"/>
          <w:szCs w:val="32"/>
        </w:rPr>
        <w:t>2023</w:t>
      </w:r>
      <w:r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t>年支出</w:t>
      </w:r>
      <w:r w:rsidR="008124FA">
        <w:rPr>
          <w:rFonts w:ascii="Times New Roman" w:eastAsia="宋体" w:hAnsi="Times New Roman" w:cs="Times New Roman" w:hint="eastAsia"/>
          <w:kern w:val="0"/>
          <w:sz w:val="32"/>
          <w:szCs w:val="32"/>
        </w:rPr>
        <w:t>524.31</w:t>
      </w:r>
      <w:r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t>万元，其中基本支出</w:t>
      </w:r>
      <w:r w:rsidR="008124FA">
        <w:rPr>
          <w:rFonts w:ascii="Times New Roman" w:eastAsia="宋体" w:hAnsi="Times New Roman" w:cs="Times New Roman" w:hint="eastAsia"/>
          <w:kern w:val="0"/>
          <w:sz w:val="32"/>
          <w:szCs w:val="32"/>
        </w:rPr>
        <w:t>402.31</w:t>
      </w:r>
      <w:r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t>万元，项目支出</w:t>
      </w:r>
      <w:r w:rsidR="008124FA">
        <w:rPr>
          <w:rFonts w:ascii="Times New Roman" w:eastAsia="宋体" w:hAnsi="Times New Roman" w:cs="Times New Roman" w:hint="eastAsia"/>
          <w:kern w:val="0"/>
          <w:sz w:val="32"/>
          <w:szCs w:val="32"/>
        </w:rPr>
        <w:t>122</w:t>
      </w:r>
      <w:r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t>万元，结余结转</w:t>
      </w:r>
      <w:r w:rsidR="008124FA">
        <w:rPr>
          <w:rFonts w:ascii="Times New Roman" w:eastAsia="宋体" w:hAnsi="Times New Roman" w:cs="Times New Roman" w:hint="eastAsia"/>
          <w:kern w:val="0"/>
          <w:sz w:val="32"/>
          <w:szCs w:val="32"/>
        </w:rPr>
        <w:t>0</w:t>
      </w:r>
      <w:r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t>万元。</w:t>
      </w:r>
    </w:p>
    <w:p w:rsidR="008124FA" w:rsidRDefault="0047721E" w:rsidP="0047721E">
      <w:pPr>
        <w:tabs>
          <w:tab w:val="left" w:pos="7560"/>
        </w:tabs>
        <w:autoSpaceDE w:val="0"/>
        <w:autoSpaceDN w:val="0"/>
        <w:adjustRightInd w:val="0"/>
        <w:spacing w:line="540" w:lineRule="atLeast"/>
        <w:ind w:firstLine="640"/>
        <w:jc w:val="left"/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</w:pPr>
      <w:r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t>三、资金使用及绩效情况</w:t>
      </w: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40" w:lineRule="atLeast"/>
        <w:ind w:firstLine="640"/>
        <w:jc w:val="left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>
        <w:rPr>
          <w:rFonts w:ascii="宋体" w:eastAsia="宋体" w:hAnsi="Times New Roman" w:cs="宋体" w:hint="eastAsia"/>
          <w:b/>
          <w:bCs/>
          <w:kern w:val="0"/>
          <w:sz w:val="32"/>
          <w:szCs w:val="32"/>
          <w:lang w:val="zh-CN"/>
        </w:rPr>
        <w:t>（一）整体支出绩效情况</w:t>
      </w:r>
    </w:p>
    <w:p w:rsidR="008124FA" w:rsidRDefault="008124FA" w:rsidP="008124FA">
      <w:pPr>
        <w:tabs>
          <w:tab w:val="left" w:pos="7560"/>
        </w:tabs>
        <w:snapToGrid w:val="0"/>
        <w:spacing w:line="560" w:lineRule="exact"/>
        <w:jc w:val="left"/>
        <w:rPr>
          <w:rFonts w:ascii="仿宋_GB2312;仿宋" w:eastAsia="仿宋_GB2312;仿宋" w:hAnsi="仿宋_GB2312;仿宋"/>
          <w:color w:val="000000"/>
          <w:sz w:val="32"/>
          <w:szCs w:val="32"/>
        </w:rPr>
      </w:pPr>
      <w:r>
        <w:rPr>
          <w:rFonts w:ascii="仿宋_GB2312;仿宋" w:eastAsia="仿宋_GB2312;仿宋" w:hAnsi="仿宋_GB2312;仿宋"/>
          <w:b/>
          <w:color w:val="000000"/>
          <w:sz w:val="32"/>
          <w:szCs w:val="32"/>
        </w:rPr>
        <w:t>1.基本支出：</w:t>
      </w:r>
      <w:r>
        <w:rPr>
          <w:rFonts w:ascii="仿宋_GB2312;仿宋" w:eastAsia="仿宋_GB2312;仿宋" w:hAnsi="仿宋_GB2312;仿宋"/>
          <w:color w:val="000000"/>
          <w:sz w:val="32"/>
          <w:szCs w:val="32"/>
        </w:rPr>
        <w:t>2023年年初预算数为</w:t>
      </w:r>
      <w:r>
        <w:rPr>
          <w:rFonts w:ascii="仿宋_GB2312;仿宋" w:eastAsia="仿宋_GB2312;仿宋" w:hAnsi="仿宋_GB2312;仿宋" w:hint="eastAsia"/>
          <w:color w:val="000000"/>
          <w:sz w:val="32"/>
          <w:szCs w:val="32"/>
        </w:rPr>
        <w:t>524.31</w:t>
      </w:r>
      <w:r>
        <w:rPr>
          <w:rFonts w:ascii="仿宋_GB2312;仿宋" w:eastAsia="仿宋_GB2312;仿宋" w:hAnsi="仿宋_GB2312;仿宋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</w:t>
      </w:r>
      <w:r>
        <w:rPr>
          <w:rFonts w:ascii="仿宋_GB2312;仿宋" w:eastAsia="仿宋_GB2312;仿宋" w:hAnsi="仿宋_GB2312;仿宋"/>
          <w:color w:val="000000"/>
          <w:sz w:val="32"/>
          <w:szCs w:val="32"/>
        </w:rPr>
        <w:lastRenderedPageBreak/>
        <w:t>务性商品和服务支出。其中包括工资福利支出344.10万元、一般商品和服务支出50.15万元、对个人和家庭的补助8.06万元等。</w:t>
      </w:r>
    </w:p>
    <w:p w:rsidR="008124FA" w:rsidRDefault="008124FA" w:rsidP="008124FA">
      <w:pPr>
        <w:tabs>
          <w:tab w:val="left" w:pos="7560"/>
        </w:tabs>
        <w:autoSpaceDE w:val="0"/>
        <w:autoSpaceDN w:val="0"/>
        <w:adjustRightInd w:val="0"/>
        <w:spacing w:line="540" w:lineRule="atLeast"/>
        <w:ind w:firstLine="640"/>
        <w:jc w:val="left"/>
        <w:rPr>
          <w:rFonts w:ascii="Times New Roman" w:eastAsia="宋体" w:hAnsi="Times New Roman" w:cs="Times New Roman"/>
          <w:b/>
          <w:bCs/>
          <w:kern w:val="0"/>
          <w:sz w:val="32"/>
          <w:szCs w:val="32"/>
        </w:rPr>
      </w:pPr>
      <w:r>
        <w:rPr>
          <w:rFonts w:ascii="宋体" w:eastAsia="宋体" w:hAnsi="Times New Roman" w:cs="宋体" w:hint="eastAsia"/>
          <w:b/>
          <w:bCs/>
          <w:kern w:val="0"/>
          <w:sz w:val="32"/>
          <w:szCs w:val="32"/>
          <w:lang w:val="zh-CN"/>
        </w:rPr>
        <w:t>（二）项目支出绩效情况</w:t>
      </w:r>
    </w:p>
    <w:p w:rsidR="008124FA" w:rsidRDefault="008124FA" w:rsidP="008124FA">
      <w:pPr>
        <w:tabs>
          <w:tab w:val="left" w:pos="7560"/>
        </w:tabs>
        <w:snapToGrid w:val="0"/>
        <w:spacing w:line="560" w:lineRule="exact"/>
        <w:ind w:firstLineChars="200" w:firstLine="640"/>
        <w:jc w:val="left"/>
        <w:rPr>
          <w:rFonts w:ascii="仿宋_GB2312;仿宋" w:eastAsia="仿宋_GB2312;仿宋" w:hAnsi="仿宋_GB2312;仿宋"/>
          <w:color w:val="000000"/>
          <w:sz w:val="32"/>
          <w:szCs w:val="32"/>
        </w:rPr>
      </w:pPr>
      <w:r>
        <w:rPr>
          <w:rFonts w:ascii="仿宋_GB2312;仿宋" w:eastAsia="仿宋_GB2312;仿宋" w:hAnsi="仿宋_GB2312;仿宋"/>
          <w:color w:val="000000"/>
          <w:sz w:val="32"/>
          <w:szCs w:val="32"/>
        </w:rPr>
        <w:t>2023年年初预算数为122万元，是指单位为完成特定行政工作任务或事业发展目标而发生的支出，包括有关事业发展专项、基本建设支出、资本性支出等。其中：</w:t>
      </w:r>
    </w:p>
    <w:p w:rsidR="008124FA" w:rsidRDefault="008124FA" w:rsidP="008124FA">
      <w:pPr>
        <w:tabs>
          <w:tab w:val="left" w:pos="7560"/>
        </w:tabs>
        <w:snapToGrid w:val="0"/>
        <w:spacing w:line="560" w:lineRule="exact"/>
        <w:jc w:val="left"/>
        <w:rPr>
          <w:rFonts w:ascii="仿宋_GB2312;仿宋" w:eastAsia="仿宋_GB2312;仿宋" w:hAnsi="仿宋_GB2312;仿宋"/>
          <w:color w:val="C00000"/>
          <w:sz w:val="32"/>
          <w:szCs w:val="32"/>
        </w:rPr>
      </w:pPr>
      <w:r>
        <w:rPr>
          <w:rFonts w:ascii="仿宋_GB2312;仿宋" w:eastAsia="仿宋_GB2312;仿宋" w:hAnsi="仿宋_GB2312;仿宋"/>
          <w:color w:val="C00000"/>
          <w:sz w:val="32"/>
          <w:szCs w:val="32"/>
        </w:rPr>
        <w:t>（1）矛盾调解专项经费90万元。主要用于化解全区基层矛盾纠纷，做到事结案了，息访息诉。</w:t>
      </w:r>
    </w:p>
    <w:p w:rsidR="008124FA" w:rsidRDefault="008124FA" w:rsidP="008124FA">
      <w:pPr>
        <w:tabs>
          <w:tab w:val="left" w:pos="7560"/>
        </w:tabs>
        <w:snapToGrid w:val="0"/>
        <w:spacing w:line="560" w:lineRule="exact"/>
        <w:jc w:val="left"/>
        <w:rPr>
          <w:rFonts w:ascii="仿宋_GB2312;仿宋" w:eastAsia="仿宋_GB2312;仿宋" w:hAnsi="仿宋_GB2312;仿宋"/>
          <w:color w:val="C00000"/>
          <w:sz w:val="32"/>
          <w:szCs w:val="32"/>
        </w:rPr>
      </w:pPr>
      <w:r>
        <w:rPr>
          <w:rFonts w:ascii="仿宋_GB2312;仿宋" w:eastAsia="仿宋_GB2312;仿宋" w:hAnsi="仿宋_GB2312;仿宋"/>
          <w:color w:val="C00000"/>
          <w:sz w:val="32"/>
          <w:szCs w:val="32"/>
        </w:rPr>
        <w:t>（2）物业管理专项经费</w:t>
      </w:r>
      <w:r>
        <w:rPr>
          <w:rFonts w:ascii="仿宋_GB2312;仿宋" w:eastAsia="仿宋_GB2312;仿宋" w:hAnsi="仿宋_GB2312;仿宋" w:cs="Times New Roman"/>
          <w:color w:val="C00000"/>
          <w:sz w:val="32"/>
          <w:szCs w:val="32"/>
        </w:rPr>
        <w:t>5</w:t>
      </w:r>
      <w:r>
        <w:rPr>
          <w:rFonts w:ascii="仿宋_GB2312;仿宋" w:eastAsia="仿宋_GB2312;仿宋" w:hAnsi="仿宋_GB2312;仿宋"/>
          <w:color w:val="C00000"/>
          <w:sz w:val="32"/>
          <w:szCs w:val="32"/>
        </w:rPr>
        <w:t>万元。主要用于局机关物业管理相关费用。</w:t>
      </w:r>
    </w:p>
    <w:p w:rsidR="008124FA" w:rsidRDefault="008124FA" w:rsidP="008124FA">
      <w:pPr>
        <w:tabs>
          <w:tab w:val="left" w:pos="7560"/>
        </w:tabs>
        <w:snapToGrid w:val="0"/>
        <w:spacing w:line="560" w:lineRule="exact"/>
        <w:jc w:val="left"/>
        <w:rPr>
          <w:rFonts w:ascii="仿宋_GB2312;仿宋" w:eastAsia="仿宋_GB2312;仿宋" w:hAnsi="仿宋_GB2312;仿宋"/>
          <w:color w:val="C00000"/>
          <w:sz w:val="32"/>
          <w:szCs w:val="32"/>
        </w:rPr>
      </w:pPr>
      <w:r>
        <w:rPr>
          <w:rFonts w:ascii="仿宋_GB2312;仿宋" w:eastAsia="仿宋_GB2312;仿宋" w:hAnsi="仿宋_GB2312;仿宋"/>
          <w:color w:val="C00000"/>
          <w:sz w:val="32"/>
          <w:szCs w:val="32"/>
        </w:rPr>
        <w:t>（3）依法治区专项经费4.5万元。主要用于承办年度相关依法治区工作会议、工作督导等工作费用。</w:t>
      </w:r>
    </w:p>
    <w:p w:rsidR="008124FA" w:rsidRDefault="008124FA" w:rsidP="008124FA">
      <w:pPr>
        <w:tabs>
          <w:tab w:val="left" w:pos="7560"/>
        </w:tabs>
        <w:snapToGrid w:val="0"/>
        <w:spacing w:line="560" w:lineRule="exact"/>
        <w:jc w:val="left"/>
        <w:rPr>
          <w:rFonts w:ascii="仿宋_GB2312;仿宋" w:eastAsia="仿宋_GB2312;仿宋" w:hAnsi="仿宋_GB2312;仿宋"/>
          <w:color w:val="C00000"/>
          <w:sz w:val="32"/>
          <w:szCs w:val="32"/>
        </w:rPr>
      </w:pPr>
      <w:r>
        <w:rPr>
          <w:rFonts w:ascii="仿宋_GB2312;仿宋" w:eastAsia="仿宋_GB2312;仿宋" w:hAnsi="仿宋_GB2312;仿宋"/>
          <w:color w:val="C00000"/>
          <w:sz w:val="32"/>
          <w:szCs w:val="32"/>
        </w:rPr>
        <w:t>（4）业务性专项经费22.5万元。主要用于社区矫正、法律援助、法治宣传、人民调解、法律顾问等工作费用。</w:t>
      </w: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宋体" w:eastAsia="宋体" w:hAnsi="Calibri" w:cs="宋体" w:hint="eastAsia"/>
          <w:kern w:val="0"/>
          <w:sz w:val="32"/>
          <w:szCs w:val="32"/>
          <w:lang w:val="zh-CN"/>
        </w:rPr>
        <w:t>四、绩效管理存在的问题及下一步改进措施</w:t>
      </w:r>
    </w:p>
    <w:p w:rsidR="008124FA" w:rsidRDefault="008124FA" w:rsidP="008124FA">
      <w:pPr>
        <w:tabs>
          <w:tab w:val="left" w:pos="7560"/>
        </w:tabs>
        <w:snapToGrid w:val="0"/>
        <w:spacing w:line="560" w:lineRule="exact"/>
        <w:ind w:firstLineChars="200" w:firstLine="640"/>
        <w:jc w:val="left"/>
      </w:pPr>
      <w:r>
        <w:rPr>
          <w:rFonts w:ascii="仿宋_GB2312;仿宋" w:eastAsia="仿宋_GB2312;仿宋" w:hAnsi="仿宋_GB2312;仿宋"/>
          <w:color w:val="000000"/>
          <w:sz w:val="32"/>
          <w:szCs w:val="32"/>
        </w:rPr>
        <w:t>2023年度本单位年初预算数为524.31万元，比上年增加119.14万元，主要原因是</w:t>
      </w:r>
      <w:r>
        <w:rPr>
          <w:rFonts w:ascii="仿宋_GB2312;仿宋" w:eastAsia="仿宋_GB2312;仿宋" w:hAnsi="仿宋_GB2312;仿宋"/>
          <w:color w:val="C00000"/>
          <w:sz w:val="32"/>
          <w:szCs w:val="32"/>
        </w:rPr>
        <w:t>人员增加、经开区预算等。</w:t>
      </w:r>
    </w:p>
    <w:p w:rsidR="0047721E" w:rsidRDefault="0047721E" w:rsidP="0047721E">
      <w:pPr>
        <w:numPr>
          <w:ilvl w:val="0"/>
          <w:numId w:val="2"/>
        </w:numPr>
        <w:tabs>
          <w:tab w:val="left" w:pos="7560"/>
        </w:tabs>
        <w:autoSpaceDE w:val="0"/>
        <w:autoSpaceDN w:val="0"/>
        <w:adjustRightIn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t>其他需要说明的情况</w:t>
      </w: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t>无其他需要说明的情况</w:t>
      </w:r>
      <w:r w:rsidR="008124FA">
        <w:rPr>
          <w:rFonts w:ascii="宋体" w:eastAsia="宋体" w:hAnsi="Times New Roman" w:cs="宋体" w:hint="eastAsia"/>
          <w:kern w:val="0"/>
          <w:sz w:val="32"/>
          <w:szCs w:val="32"/>
          <w:lang w:val="zh-CN"/>
        </w:rPr>
        <w:t>。</w:t>
      </w:r>
    </w:p>
    <w:p w:rsidR="0047721E" w:rsidRDefault="0047721E" w:rsidP="0047721E">
      <w:pPr>
        <w:tabs>
          <w:tab w:val="left" w:pos="7560"/>
        </w:tabs>
        <w:autoSpaceDE w:val="0"/>
        <w:autoSpaceDN w:val="0"/>
        <w:adjustRightInd w:val="0"/>
        <w:spacing w:line="540" w:lineRule="atLeast"/>
        <w:ind w:firstLine="640"/>
        <w:jc w:val="left"/>
        <w:rPr>
          <w:rFonts w:ascii="Times New Roman" w:eastAsia="宋体" w:hAnsi="Times New Roman" w:cs="Times New Roman"/>
          <w:kern w:val="0"/>
          <w:sz w:val="32"/>
          <w:szCs w:val="32"/>
        </w:rPr>
      </w:pPr>
      <w:r>
        <w:rPr>
          <w:rFonts w:ascii="Times New Roman" w:eastAsia="宋体" w:hAnsi="Times New Roman" w:cs="Times New Roman"/>
          <w:kern w:val="0"/>
          <w:sz w:val="32"/>
          <w:szCs w:val="32"/>
        </w:rPr>
        <w:t xml:space="preserve">  </w:t>
      </w:r>
    </w:p>
    <w:p w:rsidR="0047721E" w:rsidRDefault="0047721E" w:rsidP="0047721E">
      <w:pPr>
        <w:autoSpaceDE w:val="0"/>
        <w:autoSpaceDN w:val="0"/>
        <w:adjustRightInd w:val="0"/>
        <w:rPr>
          <w:rFonts w:ascii="Calibri" w:eastAsia="宋体" w:hAnsi="Calibri" w:cs="Calibri"/>
          <w:kern w:val="0"/>
          <w:szCs w:val="21"/>
        </w:rPr>
      </w:pPr>
    </w:p>
    <w:p w:rsidR="00BB7A0D" w:rsidRDefault="008124FA"/>
    <w:sectPr w:rsidR="00BB7A0D" w:rsidSect="00E2524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;仿宋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824984"/>
    <w:lvl w:ilvl="0">
      <w:numFmt w:val="bullet"/>
      <w:lvlText w:val="*"/>
      <w:lvlJc w:val="left"/>
    </w:lvl>
  </w:abstractNum>
  <w:abstractNum w:abstractNumId="1">
    <w:nsid w:val="60446297"/>
    <w:multiLevelType w:val="singleLevel"/>
    <w:tmpl w:val="07968A4E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721E"/>
    <w:rsid w:val="000B1A2D"/>
    <w:rsid w:val="00216F00"/>
    <w:rsid w:val="0047721E"/>
    <w:rsid w:val="00811538"/>
    <w:rsid w:val="00812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2024-09-26T07:05:00Z</dcterms:created>
  <dcterms:modified xsi:type="dcterms:W3CDTF">2024-09-26T07:38:00Z</dcterms:modified>
</cp:coreProperties>
</file>