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jc w:val="both"/>
        <w:rPr>
          <w:rFonts w:ascii="Times New Roman" w:hAnsi="Times New Roman" w:cs="Times New Roman"/>
          <w:sz w:val="56"/>
          <w:szCs w:val="56"/>
        </w:rPr>
      </w:pPr>
    </w:p>
    <w:p>
      <w:pPr>
        <w:pStyle w:val="20"/>
        <w:jc w:val="both"/>
        <w:rPr>
          <w:rFonts w:ascii="Times New Roman" w:hAnsi="Times New Roman" w:cs="Times New Roman"/>
          <w:sz w:val="56"/>
          <w:szCs w:val="56"/>
        </w:rPr>
      </w:pPr>
    </w:p>
    <w:p>
      <w:pPr>
        <w:pStyle w:val="20"/>
        <w:jc w:val="both"/>
        <w:rPr>
          <w:rFonts w:ascii="Times New Roman" w:hAnsi="Times New Roman" w:cs="Times New Roman"/>
          <w:sz w:val="84"/>
          <w:szCs w:val="84"/>
        </w:rPr>
      </w:pPr>
    </w:p>
    <w:p>
      <w:pPr>
        <w:pStyle w:val="20"/>
        <w:jc w:val="center"/>
        <w:rPr>
          <w:rFonts w:ascii="Times New Roman" w:hAnsi="Times New Roman" w:eastAsia="方正小标宋简体" w:cs="Times New Roman"/>
          <w:sz w:val="76"/>
          <w:szCs w:val="76"/>
        </w:rPr>
      </w:pPr>
    </w:p>
    <w:p>
      <w:pPr>
        <w:pStyle w:val="20"/>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20"/>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中共株洲市石峰区委员会宣传部</w:t>
      </w:r>
      <w:r>
        <w:rPr>
          <w:rFonts w:ascii="Times New Roman" w:hAnsi="Times New Roman" w:eastAsia="方正小标宋简体" w:cs="Times New Roman"/>
          <w:sz w:val="72"/>
          <w:szCs w:val="72"/>
        </w:rPr>
        <w:t>部门决算</w:t>
      </w:r>
    </w:p>
    <w:p>
      <w:pPr>
        <w:pStyle w:val="20"/>
        <w:jc w:val="both"/>
        <w:rPr>
          <w:rFonts w:ascii="Times New Roman" w:hAnsi="Times New Roman" w:cs="Times New Roman"/>
          <w:sz w:val="32"/>
          <w:szCs w:val="32"/>
        </w:rPr>
      </w:pPr>
    </w:p>
    <w:p>
      <w:pPr>
        <w:pStyle w:val="20"/>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20"/>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lang w:eastAsia="zh-CN"/>
        </w:rPr>
        <w:t>中国共产党</w:t>
      </w:r>
      <w:r>
        <w:rPr>
          <w:rFonts w:hint="eastAsia" w:ascii="Times New Roman" w:hAnsi="Times New Roman"/>
          <w:sz w:val="32"/>
          <w:szCs w:val="32"/>
        </w:rPr>
        <w:t>株洲市石峰区委员会宣传部</w:t>
      </w:r>
      <w:r>
        <w:rPr>
          <w:rFonts w:ascii="Times New Roman" w:hAnsi="Times New Roman" w:cs="Times New Roman"/>
          <w:sz w:val="32"/>
          <w:szCs w:val="32"/>
        </w:rPr>
        <w:t>概况</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20"/>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20"/>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20"/>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20"/>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20"/>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20"/>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center"/>
        <w:rPr>
          <w:rFonts w:ascii="Times New Roman" w:hAnsi="Times New Roman" w:eastAsia="方正小标宋简体" w:cs="Times New Roman"/>
          <w:w w:val="90"/>
          <w:sz w:val="76"/>
          <w:szCs w:val="76"/>
        </w:rPr>
      </w:pPr>
    </w:p>
    <w:p>
      <w:pPr>
        <w:pStyle w:val="20"/>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20"/>
        <w:jc w:val="center"/>
        <w:rPr>
          <w:rFonts w:ascii="Times New Roman" w:hAnsi="Times New Roman" w:eastAsia="方正小标宋简体" w:cs="Times New Roman"/>
          <w:sz w:val="76"/>
          <w:szCs w:val="76"/>
        </w:rPr>
      </w:pPr>
    </w:p>
    <w:p>
      <w:pPr>
        <w:pStyle w:val="20"/>
        <w:jc w:val="center"/>
        <w:rPr>
          <w:rFonts w:hint="eastAsia" w:ascii="Times New Roman" w:hAnsi="Times New Roman" w:eastAsia="方正小标宋简体" w:cs="Times New Roman"/>
          <w:w w:val="90"/>
          <w:sz w:val="76"/>
          <w:szCs w:val="76"/>
        </w:rPr>
      </w:pPr>
      <w:r>
        <w:rPr>
          <w:rFonts w:hint="eastAsia" w:ascii="Times New Roman" w:hAnsi="Times New Roman" w:eastAsia="方正小标宋简体" w:cs="Times New Roman"/>
          <w:w w:val="90"/>
          <w:sz w:val="76"/>
          <w:szCs w:val="76"/>
        </w:rPr>
        <w:t>中共株洲市石峰区委员会宣传部</w:t>
      </w:r>
    </w:p>
    <w:p>
      <w:pPr>
        <w:pStyle w:val="20"/>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21"/>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widowControl/>
        <w:spacing w:line="600" w:lineRule="exact"/>
        <w:ind w:firstLine="640" w:firstLineChars="200"/>
        <w:rPr>
          <w:rFonts w:hint="default" w:ascii="仿宋" w:hAnsi="仿宋" w:eastAsia="仿宋" w:cs="黑体"/>
          <w:color w:val="000000"/>
          <w:kern w:val="0"/>
          <w:sz w:val="32"/>
          <w:szCs w:val="32"/>
          <w:lang w:val="en-US" w:eastAsia="zh-CN" w:bidi="ar-SA"/>
        </w:rPr>
      </w:pPr>
      <w:r>
        <w:rPr>
          <w:rFonts w:hint="default" w:ascii="仿宋" w:hAnsi="仿宋" w:eastAsia="仿宋" w:cs="黑体"/>
          <w:color w:val="000000"/>
          <w:kern w:val="0"/>
          <w:sz w:val="32"/>
          <w:szCs w:val="32"/>
          <w:lang w:val="en-US" w:eastAsia="zh-CN" w:bidi="ar-SA"/>
        </w:rPr>
        <w:t>中共株洲市石峰区委员会宣传部（以下简称石峰区宣传部）的主要职责是：</w:t>
      </w:r>
    </w:p>
    <w:p>
      <w:pPr>
        <w:widowControl/>
        <w:spacing w:line="600" w:lineRule="exact"/>
        <w:ind w:firstLine="640" w:firstLineChars="200"/>
        <w:rPr>
          <w:rFonts w:hint="default" w:ascii="仿宋" w:hAnsi="仿宋" w:eastAsia="仿宋" w:cs="黑体"/>
          <w:color w:val="000000"/>
          <w:kern w:val="0"/>
          <w:sz w:val="32"/>
          <w:szCs w:val="32"/>
          <w:lang w:val="en-US" w:eastAsia="zh-CN" w:bidi="ar-SA"/>
        </w:rPr>
      </w:pPr>
      <w:r>
        <w:rPr>
          <w:rFonts w:hint="default" w:ascii="仿宋" w:hAnsi="仿宋" w:eastAsia="仿宋" w:cs="黑体"/>
          <w:color w:val="000000"/>
          <w:kern w:val="0"/>
          <w:sz w:val="32"/>
          <w:szCs w:val="32"/>
          <w:lang w:val="en-US" w:eastAsia="zh-CN" w:bidi="ar-SA"/>
        </w:rPr>
        <w:t>（一）指导全区的理论学习、理论宣传、理论研究工作，做好干部理论教育和党员教育工作。</w:t>
      </w:r>
    </w:p>
    <w:p>
      <w:pPr>
        <w:widowControl/>
        <w:spacing w:line="600" w:lineRule="exact"/>
        <w:ind w:firstLine="640" w:firstLineChars="200"/>
        <w:rPr>
          <w:rFonts w:hint="default" w:ascii="仿宋" w:hAnsi="仿宋" w:eastAsia="仿宋" w:cs="黑体"/>
          <w:color w:val="000000"/>
          <w:kern w:val="0"/>
          <w:sz w:val="32"/>
          <w:szCs w:val="32"/>
          <w:lang w:val="en-US" w:eastAsia="zh-CN" w:bidi="ar-SA"/>
        </w:rPr>
      </w:pPr>
      <w:r>
        <w:rPr>
          <w:rFonts w:hint="default" w:ascii="仿宋" w:hAnsi="仿宋" w:eastAsia="仿宋" w:cs="黑体"/>
          <w:color w:val="000000"/>
          <w:kern w:val="0"/>
          <w:sz w:val="32"/>
          <w:szCs w:val="32"/>
          <w:lang w:val="en-US" w:eastAsia="zh-CN" w:bidi="ar-SA"/>
        </w:rPr>
        <w:t>（二）把握正确的舆论导向，组织协调全区对外宣传和网上宣传工作，完成各项外宣工作和党报党刊发行工作。</w:t>
      </w:r>
    </w:p>
    <w:p>
      <w:pPr>
        <w:widowControl/>
        <w:spacing w:line="600" w:lineRule="exact"/>
        <w:ind w:firstLine="640" w:firstLineChars="200"/>
        <w:rPr>
          <w:rFonts w:hint="default" w:ascii="仿宋" w:hAnsi="仿宋" w:eastAsia="仿宋" w:cs="黑体"/>
          <w:color w:val="000000"/>
          <w:kern w:val="0"/>
          <w:sz w:val="32"/>
          <w:szCs w:val="32"/>
          <w:lang w:val="en-US" w:eastAsia="zh-CN" w:bidi="ar-SA"/>
        </w:rPr>
      </w:pPr>
      <w:r>
        <w:rPr>
          <w:rFonts w:hint="default" w:ascii="仿宋" w:hAnsi="仿宋" w:eastAsia="仿宋" w:cs="黑体"/>
          <w:color w:val="000000"/>
          <w:kern w:val="0"/>
          <w:sz w:val="32"/>
          <w:szCs w:val="32"/>
          <w:lang w:val="en-US" w:eastAsia="zh-CN" w:bidi="ar-SA"/>
        </w:rPr>
        <w:t>（三）研究拟定有关全区精神文明建设的方针、政策，组织开展全区文明创建工作，负责全区文明建设表彰工作。</w:t>
      </w: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tabs>
          <w:tab w:val="left" w:pos="7560"/>
        </w:tabs>
        <w:adjustRightInd w:val="0"/>
        <w:snapToGrid w:val="0"/>
        <w:spacing w:line="560" w:lineRule="exact"/>
        <w:ind w:firstLine="640" w:firstLineChars="200"/>
        <w:rPr>
          <w:rFonts w:hint="default" w:ascii="仿宋" w:hAnsi="仿宋" w:eastAsia="仿宋" w:cs="黑体"/>
          <w:color w:val="000000"/>
          <w:kern w:val="0"/>
          <w:sz w:val="32"/>
          <w:szCs w:val="32"/>
          <w:highlight w:val="yellow"/>
          <w:lang w:val="en-US" w:eastAsia="zh-CN" w:bidi="ar-SA"/>
        </w:rPr>
      </w:pPr>
      <w:r>
        <w:rPr>
          <w:rFonts w:hint="eastAsia" w:ascii="仿宋" w:hAnsi="仿宋" w:eastAsia="仿宋" w:cs="黑体"/>
          <w:color w:val="000000"/>
          <w:kern w:val="0"/>
          <w:sz w:val="32"/>
          <w:szCs w:val="32"/>
          <w:lang w:val="en-US" w:eastAsia="zh-CN" w:bidi="ar-SA"/>
        </w:rPr>
        <w:t>（一）</w:t>
      </w:r>
      <w:r>
        <w:rPr>
          <w:rFonts w:hint="eastAsia" w:ascii="仿宋" w:hAnsi="仿宋" w:eastAsia="仿宋" w:cs="黑体"/>
          <w:color w:val="000000"/>
          <w:kern w:val="0"/>
          <w:sz w:val="32"/>
          <w:szCs w:val="32"/>
          <w:highlight w:val="none"/>
          <w:lang w:val="en-US" w:eastAsia="zh-CN" w:bidi="ar-SA"/>
        </w:rPr>
        <w:t>内设机构设置。中共株洲市石峰区委员会宣传部</w:t>
      </w:r>
      <w:r>
        <w:rPr>
          <w:rFonts w:hint="default" w:ascii="仿宋" w:hAnsi="仿宋" w:eastAsia="仿宋" w:cs="黑体"/>
          <w:color w:val="000000"/>
          <w:kern w:val="0"/>
          <w:sz w:val="32"/>
          <w:szCs w:val="32"/>
          <w:highlight w:val="none"/>
          <w:lang w:val="en-US" w:eastAsia="zh-CN" w:bidi="ar-SA"/>
        </w:rPr>
        <w:t>属于</w:t>
      </w:r>
      <w:r>
        <w:rPr>
          <w:rFonts w:hint="eastAsia" w:ascii="仿宋" w:hAnsi="仿宋" w:eastAsia="仿宋" w:cs="黑体"/>
          <w:color w:val="000000"/>
          <w:kern w:val="0"/>
          <w:sz w:val="32"/>
          <w:szCs w:val="32"/>
          <w:highlight w:val="none"/>
          <w:lang w:val="en-US" w:eastAsia="zh-CN" w:bidi="ar-SA"/>
        </w:rPr>
        <w:t>石峰区</w:t>
      </w:r>
      <w:r>
        <w:rPr>
          <w:rFonts w:hint="default" w:ascii="仿宋" w:hAnsi="仿宋" w:eastAsia="仿宋" w:cs="黑体"/>
          <w:color w:val="000000"/>
          <w:kern w:val="0"/>
          <w:sz w:val="32"/>
          <w:szCs w:val="32"/>
          <w:highlight w:val="none"/>
          <w:lang w:val="en-US" w:eastAsia="zh-CN" w:bidi="ar-SA"/>
        </w:rPr>
        <w:t>一级预算单位，现有预算单位</w:t>
      </w:r>
      <w:r>
        <w:rPr>
          <w:rFonts w:hint="eastAsia" w:ascii="仿宋" w:hAnsi="仿宋" w:eastAsia="仿宋" w:cs="黑体"/>
          <w:color w:val="000000"/>
          <w:kern w:val="0"/>
          <w:sz w:val="32"/>
          <w:szCs w:val="32"/>
          <w:highlight w:val="none"/>
          <w:lang w:val="en-US" w:eastAsia="zh-CN" w:bidi="ar-SA"/>
        </w:rPr>
        <w:t>1</w:t>
      </w:r>
      <w:r>
        <w:rPr>
          <w:rFonts w:hint="default" w:ascii="仿宋" w:hAnsi="仿宋" w:eastAsia="仿宋" w:cs="黑体"/>
          <w:color w:val="000000"/>
          <w:kern w:val="0"/>
          <w:sz w:val="32"/>
          <w:szCs w:val="32"/>
          <w:highlight w:val="none"/>
          <w:lang w:val="en-US" w:eastAsia="zh-CN" w:bidi="ar-SA"/>
        </w:rPr>
        <w:t>个。本部门共有行政编制</w:t>
      </w:r>
      <w:r>
        <w:rPr>
          <w:rFonts w:hint="eastAsia" w:ascii="仿宋" w:hAnsi="仿宋" w:eastAsia="仿宋" w:cs="黑体"/>
          <w:color w:val="000000"/>
          <w:kern w:val="0"/>
          <w:sz w:val="32"/>
          <w:szCs w:val="32"/>
          <w:highlight w:val="none"/>
          <w:lang w:val="en-US" w:eastAsia="zh-CN" w:bidi="ar-SA"/>
        </w:rPr>
        <w:t>5</w:t>
      </w:r>
      <w:r>
        <w:rPr>
          <w:rFonts w:hint="default" w:ascii="仿宋" w:hAnsi="仿宋" w:eastAsia="仿宋" w:cs="黑体"/>
          <w:color w:val="000000"/>
          <w:kern w:val="0"/>
          <w:sz w:val="32"/>
          <w:szCs w:val="32"/>
          <w:highlight w:val="none"/>
          <w:lang w:val="en-US" w:eastAsia="zh-CN" w:bidi="ar-SA"/>
        </w:rPr>
        <w:t>名；事业编</w:t>
      </w:r>
      <w:r>
        <w:rPr>
          <w:rFonts w:hint="eastAsia" w:ascii="仿宋" w:hAnsi="仿宋" w:eastAsia="仿宋" w:cs="黑体"/>
          <w:color w:val="000000"/>
          <w:kern w:val="0"/>
          <w:sz w:val="32"/>
          <w:szCs w:val="32"/>
          <w:highlight w:val="none"/>
          <w:lang w:val="en-US" w:eastAsia="zh-CN" w:bidi="ar-SA"/>
        </w:rPr>
        <w:t>7</w:t>
      </w:r>
      <w:r>
        <w:rPr>
          <w:rFonts w:hint="default" w:ascii="仿宋" w:hAnsi="仿宋" w:eastAsia="仿宋" w:cs="黑体"/>
          <w:color w:val="000000"/>
          <w:kern w:val="0"/>
          <w:sz w:val="32"/>
          <w:szCs w:val="32"/>
          <w:highlight w:val="none"/>
          <w:lang w:val="en-US" w:eastAsia="zh-CN" w:bidi="ar-SA"/>
        </w:rPr>
        <w:t>名。其中：在职人员</w:t>
      </w:r>
      <w:r>
        <w:rPr>
          <w:rFonts w:hint="eastAsia" w:ascii="仿宋" w:hAnsi="仿宋" w:eastAsia="仿宋" w:cs="黑体"/>
          <w:color w:val="000000"/>
          <w:kern w:val="0"/>
          <w:sz w:val="32"/>
          <w:szCs w:val="32"/>
          <w:highlight w:val="none"/>
          <w:lang w:val="en-US" w:eastAsia="zh-CN" w:bidi="ar-SA"/>
        </w:rPr>
        <w:t>12</w:t>
      </w:r>
      <w:r>
        <w:rPr>
          <w:rFonts w:hint="default" w:ascii="仿宋" w:hAnsi="仿宋" w:eastAsia="仿宋" w:cs="黑体"/>
          <w:color w:val="000000"/>
          <w:kern w:val="0"/>
          <w:sz w:val="32"/>
          <w:szCs w:val="32"/>
          <w:highlight w:val="none"/>
          <w:lang w:val="en-US" w:eastAsia="zh-CN" w:bidi="ar-SA"/>
        </w:rPr>
        <w:t>人，离休</w:t>
      </w:r>
      <w:r>
        <w:rPr>
          <w:rFonts w:hint="eastAsia" w:ascii="仿宋" w:hAnsi="仿宋" w:eastAsia="仿宋" w:cs="黑体"/>
          <w:color w:val="000000"/>
          <w:kern w:val="0"/>
          <w:sz w:val="32"/>
          <w:szCs w:val="32"/>
          <w:highlight w:val="none"/>
          <w:lang w:val="en-US" w:eastAsia="zh-CN" w:bidi="ar-SA"/>
        </w:rPr>
        <w:t>0</w:t>
      </w:r>
      <w:r>
        <w:rPr>
          <w:rFonts w:hint="default" w:ascii="仿宋" w:hAnsi="仿宋" w:eastAsia="仿宋" w:cs="黑体"/>
          <w:color w:val="000000"/>
          <w:kern w:val="0"/>
          <w:sz w:val="32"/>
          <w:szCs w:val="32"/>
          <w:highlight w:val="none"/>
          <w:lang w:val="en-US" w:eastAsia="zh-CN" w:bidi="ar-SA"/>
        </w:rPr>
        <w:t>人，退休</w:t>
      </w:r>
      <w:r>
        <w:rPr>
          <w:rFonts w:hint="eastAsia" w:ascii="仿宋" w:hAnsi="仿宋" w:eastAsia="仿宋" w:cs="黑体"/>
          <w:color w:val="000000"/>
          <w:kern w:val="0"/>
          <w:sz w:val="32"/>
          <w:szCs w:val="32"/>
          <w:highlight w:val="none"/>
          <w:lang w:val="en-US" w:eastAsia="zh-CN" w:bidi="ar-SA"/>
        </w:rPr>
        <w:t>3</w:t>
      </w:r>
      <w:r>
        <w:rPr>
          <w:rFonts w:hint="default" w:ascii="仿宋" w:hAnsi="仿宋" w:eastAsia="仿宋" w:cs="黑体"/>
          <w:color w:val="000000"/>
          <w:kern w:val="0"/>
          <w:sz w:val="32"/>
          <w:szCs w:val="32"/>
          <w:highlight w:val="none"/>
          <w:lang w:val="en-US" w:eastAsia="zh-CN" w:bidi="ar-SA"/>
        </w:rPr>
        <w:t>人。内设科室</w:t>
      </w:r>
      <w:r>
        <w:rPr>
          <w:rFonts w:hint="eastAsia" w:ascii="仿宋" w:hAnsi="仿宋" w:eastAsia="仿宋" w:cs="黑体"/>
          <w:color w:val="000000"/>
          <w:kern w:val="0"/>
          <w:sz w:val="32"/>
          <w:szCs w:val="32"/>
          <w:highlight w:val="none"/>
          <w:lang w:val="en-US" w:eastAsia="zh-CN" w:bidi="ar-SA"/>
        </w:rPr>
        <w:t>1个</w:t>
      </w:r>
      <w:r>
        <w:rPr>
          <w:rFonts w:hint="default" w:ascii="仿宋" w:hAnsi="仿宋" w:eastAsia="仿宋" w:cs="黑体"/>
          <w:color w:val="000000"/>
          <w:kern w:val="0"/>
          <w:sz w:val="32"/>
          <w:szCs w:val="32"/>
          <w:highlight w:val="none"/>
          <w:lang w:val="en-US" w:eastAsia="zh-CN" w:bidi="ar-SA"/>
        </w:rPr>
        <w:t>，为</w:t>
      </w:r>
      <w:r>
        <w:rPr>
          <w:rFonts w:hint="eastAsia" w:ascii="仿宋" w:hAnsi="仿宋" w:eastAsia="仿宋" w:cs="黑体"/>
          <w:color w:val="000000"/>
          <w:kern w:val="0"/>
          <w:sz w:val="32"/>
          <w:szCs w:val="32"/>
          <w:highlight w:val="none"/>
          <w:lang w:val="en-US" w:eastAsia="zh-CN" w:bidi="ar-SA"/>
        </w:rPr>
        <w:t>综合办公室，全部</w:t>
      </w:r>
      <w:r>
        <w:rPr>
          <w:rFonts w:hint="default" w:ascii="仿宋" w:hAnsi="仿宋" w:eastAsia="仿宋" w:cs="黑体"/>
          <w:color w:val="000000"/>
          <w:kern w:val="0"/>
          <w:sz w:val="32"/>
          <w:szCs w:val="32"/>
          <w:highlight w:val="none"/>
          <w:lang w:val="en-US" w:eastAsia="zh-CN" w:bidi="ar-SA"/>
        </w:rPr>
        <w:t>纳入本年部门决算编制范围。</w:t>
      </w:r>
    </w:p>
    <w:p>
      <w:pPr>
        <w:tabs>
          <w:tab w:val="left" w:pos="7560"/>
        </w:tabs>
        <w:adjustRightInd w:val="0"/>
        <w:snapToGrid w:val="0"/>
        <w:spacing w:line="560" w:lineRule="exact"/>
        <w:ind w:firstLine="640" w:firstLineChars="200"/>
        <w:rPr>
          <w:rFonts w:hint="default"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（二）决算单位构成。从决算单位构成看，中共株洲市石峰区委员会宣传部2023年部门决算汇总公开单位构成包括：中共株洲市石峰区委员会宣传部本级，我单位</w:t>
      </w:r>
      <w:r>
        <w:rPr>
          <w:rFonts w:hint="default" w:ascii="仿宋" w:hAnsi="仿宋" w:eastAsia="仿宋" w:cs="黑体"/>
          <w:color w:val="000000"/>
          <w:kern w:val="0"/>
          <w:sz w:val="32"/>
          <w:szCs w:val="32"/>
          <w:lang w:val="en-US" w:eastAsia="zh-CN" w:bidi="ar-SA"/>
        </w:rPr>
        <w:t>没有其他二级决算单位。</w:t>
      </w: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hint="eastAsia" w:ascii="Times New Roman" w:hAnsi="Times New Roman" w:eastAsia="黑体" w:cs="Times New Roman"/>
          <w:sz w:val="84"/>
          <w:szCs w:val="84"/>
          <w:lang w:eastAsia="zh-CN"/>
        </w:rPr>
      </w:pPr>
    </w:p>
    <w:p>
      <w:pPr>
        <w:pStyle w:val="20"/>
        <w:jc w:val="both"/>
        <w:rPr>
          <w:rFonts w:hint="eastAsia" w:ascii="Times New Roman" w:hAnsi="Times New Roman" w:eastAsia="黑体" w:cs="Times New Roman"/>
          <w:sz w:val="84"/>
          <w:szCs w:val="84"/>
          <w:lang w:eastAsia="zh-CN"/>
        </w:rPr>
      </w:pPr>
    </w:p>
    <w:p>
      <w:pPr>
        <w:pStyle w:val="20"/>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20"/>
        <w:jc w:val="center"/>
        <w:rPr>
          <w:rFonts w:ascii="Times New Roman" w:hAnsi="Times New Roman" w:eastAsia="方正小标宋简体" w:cs="Times New Roman"/>
          <w:sz w:val="76"/>
          <w:szCs w:val="76"/>
        </w:rPr>
      </w:pPr>
    </w:p>
    <w:p>
      <w:pPr>
        <w:pStyle w:val="20"/>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20"/>
        <w:jc w:val="center"/>
        <w:rPr>
          <w:rFonts w:ascii="Times New Roman" w:hAnsi="Times New Roman" w:eastAsia="方正小标宋简体" w:cs="Times New Roman"/>
          <w:sz w:val="76"/>
          <w:szCs w:val="76"/>
        </w:rPr>
      </w:pPr>
    </w:p>
    <w:p>
      <w:pPr>
        <w:pStyle w:val="20"/>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20"/>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20"/>
        <w:ind w:firstLine="640" w:firstLineChars="200"/>
        <w:rPr>
          <w:rFonts w:hint="default" w:ascii="Times New Roman" w:hAnsi="Times New Roman" w:eastAsia="黑体" w:cs="Times New Roman"/>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年度收、支总计</w:t>
      </w:r>
      <w:r>
        <w:rPr>
          <w:rFonts w:hint="eastAsia" w:ascii="仿宋" w:hAnsi="仿宋" w:eastAsia="仿宋"/>
          <w:sz w:val="32"/>
          <w:szCs w:val="32"/>
          <w:lang w:val="en-US" w:eastAsia="zh-CN"/>
        </w:rPr>
        <w:t>464.59</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38.86</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9.13</w:t>
      </w:r>
      <w:r>
        <w:rPr>
          <w:rFonts w:hint="eastAsia" w:ascii="仿宋" w:hAnsi="仿宋" w:eastAsia="仿宋"/>
          <w:sz w:val="32"/>
          <w:szCs w:val="32"/>
        </w:rPr>
        <w:t>%，主要是因为</w:t>
      </w:r>
      <w:r>
        <w:rPr>
          <w:rFonts w:hint="eastAsia" w:ascii="仿宋" w:hAnsi="仿宋" w:eastAsia="仿宋"/>
          <w:sz w:val="32"/>
          <w:szCs w:val="32"/>
          <w:lang w:eastAsia="zh-CN"/>
        </w:rPr>
        <w:t>新增人员经费及运行经费。</w:t>
      </w:r>
    </w:p>
    <w:p>
      <w:pPr>
        <w:pStyle w:val="20"/>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pPr>
        <w:pStyle w:val="20"/>
        <w:ind w:firstLine="640" w:firstLineChars="200"/>
        <w:rPr>
          <w:rFonts w:hint="default" w:ascii="Times New Roman" w:hAnsi="Times New Roman" w:eastAsia="黑体" w:cs="Times New Roman"/>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年度收入合计</w:t>
      </w:r>
      <w:r>
        <w:rPr>
          <w:rFonts w:hint="eastAsia" w:ascii="仿宋" w:hAnsi="仿宋" w:eastAsia="仿宋"/>
          <w:sz w:val="32"/>
          <w:szCs w:val="32"/>
          <w:lang w:val="en-US" w:eastAsia="zh-CN"/>
        </w:rPr>
        <w:t>464.59</w:t>
      </w:r>
      <w:r>
        <w:rPr>
          <w:rFonts w:hint="eastAsia" w:ascii="仿宋" w:hAnsi="仿宋" w:eastAsia="仿宋"/>
          <w:sz w:val="32"/>
          <w:szCs w:val="32"/>
        </w:rPr>
        <w:t>万元，其中：财政拨款收入</w:t>
      </w:r>
      <w:r>
        <w:rPr>
          <w:rFonts w:hint="eastAsia" w:ascii="仿宋" w:hAnsi="仿宋" w:eastAsia="仿宋"/>
          <w:sz w:val="32"/>
          <w:szCs w:val="32"/>
          <w:lang w:val="en-US" w:eastAsia="zh-CN"/>
        </w:rPr>
        <w:t>458.04</w:t>
      </w:r>
      <w:r>
        <w:rPr>
          <w:rFonts w:hint="eastAsia" w:ascii="仿宋" w:hAnsi="仿宋" w:eastAsia="仿宋"/>
          <w:sz w:val="32"/>
          <w:szCs w:val="32"/>
        </w:rPr>
        <w:t>万元，占</w:t>
      </w:r>
      <w:r>
        <w:rPr>
          <w:rFonts w:hint="eastAsia" w:ascii="仿宋" w:hAnsi="仿宋" w:eastAsia="仿宋"/>
          <w:sz w:val="32"/>
          <w:szCs w:val="32"/>
          <w:lang w:val="en-US" w:eastAsia="zh-CN"/>
        </w:rPr>
        <w:t>98.59</w:t>
      </w:r>
      <w:r>
        <w:rPr>
          <w:rFonts w:hint="eastAsia" w:ascii="仿宋" w:hAnsi="仿宋" w:eastAsia="仿宋"/>
          <w:sz w:val="32"/>
          <w:szCs w:val="32"/>
        </w:rPr>
        <w:t>%；上级补助收入0万元，占0</w:t>
      </w:r>
      <w:r>
        <w:rPr>
          <w:rFonts w:hint="eastAsia" w:ascii="仿宋" w:hAnsi="仿宋" w:eastAsia="仿宋"/>
          <w:sz w:val="32"/>
          <w:szCs w:val="32"/>
          <w:lang w:val="en-US" w:eastAsia="zh-CN"/>
        </w:rPr>
        <w:t>.0</w:t>
      </w:r>
      <w:r>
        <w:rPr>
          <w:rFonts w:hint="eastAsia" w:ascii="仿宋" w:hAnsi="仿宋" w:eastAsia="仿宋"/>
          <w:sz w:val="32"/>
          <w:szCs w:val="32"/>
        </w:rPr>
        <w:t>%；事业收入0万元，占0</w:t>
      </w:r>
      <w:r>
        <w:rPr>
          <w:rFonts w:hint="eastAsia" w:ascii="仿宋" w:hAnsi="仿宋" w:eastAsia="仿宋"/>
          <w:sz w:val="32"/>
          <w:szCs w:val="32"/>
          <w:lang w:val="en-US" w:eastAsia="zh-CN"/>
        </w:rPr>
        <w:t>.0</w:t>
      </w:r>
      <w:r>
        <w:rPr>
          <w:rFonts w:hint="eastAsia" w:ascii="仿宋" w:hAnsi="仿宋" w:eastAsia="仿宋"/>
          <w:sz w:val="32"/>
          <w:szCs w:val="32"/>
        </w:rPr>
        <w:t>%；经营收入0万元，占</w:t>
      </w:r>
      <w:r>
        <w:rPr>
          <w:rFonts w:hint="eastAsia" w:ascii="仿宋" w:hAnsi="仿宋" w:eastAsia="仿宋"/>
          <w:sz w:val="32"/>
          <w:szCs w:val="32"/>
          <w:lang w:val="en-US" w:eastAsia="zh-CN"/>
        </w:rPr>
        <w:t>0.0</w:t>
      </w:r>
      <w:r>
        <w:rPr>
          <w:rFonts w:hint="eastAsia" w:ascii="仿宋" w:hAnsi="仿宋" w:eastAsia="仿宋"/>
          <w:sz w:val="32"/>
          <w:szCs w:val="32"/>
        </w:rPr>
        <w:t>%；附属单位上缴收入0万元，占0</w:t>
      </w:r>
      <w:r>
        <w:rPr>
          <w:rFonts w:hint="eastAsia" w:ascii="仿宋" w:hAnsi="仿宋" w:eastAsia="仿宋"/>
          <w:sz w:val="32"/>
          <w:szCs w:val="32"/>
          <w:lang w:val="en-US" w:eastAsia="zh-CN"/>
        </w:rPr>
        <w:t>.0</w:t>
      </w:r>
      <w:r>
        <w:rPr>
          <w:rFonts w:hint="eastAsia" w:ascii="仿宋" w:hAnsi="仿宋" w:eastAsia="仿宋"/>
          <w:sz w:val="32"/>
          <w:szCs w:val="32"/>
        </w:rPr>
        <w:t>%；其他收入</w:t>
      </w:r>
      <w:r>
        <w:rPr>
          <w:rFonts w:hint="eastAsia" w:ascii="仿宋" w:hAnsi="仿宋" w:eastAsia="仿宋"/>
          <w:sz w:val="32"/>
          <w:szCs w:val="32"/>
          <w:lang w:val="en-US" w:eastAsia="zh-CN"/>
        </w:rPr>
        <w:t>6.55</w:t>
      </w:r>
      <w:r>
        <w:rPr>
          <w:rFonts w:hint="eastAsia" w:ascii="仿宋" w:hAnsi="仿宋" w:eastAsia="仿宋"/>
          <w:sz w:val="32"/>
          <w:szCs w:val="32"/>
        </w:rPr>
        <w:t>万元，占</w:t>
      </w:r>
      <w:r>
        <w:rPr>
          <w:rFonts w:hint="eastAsia" w:ascii="仿宋" w:hAnsi="仿宋" w:eastAsia="仿宋"/>
          <w:sz w:val="32"/>
          <w:szCs w:val="32"/>
          <w:lang w:val="en-US" w:eastAsia="zh-CN"/>
        </w:rPr>
        <w:t>1.41</w:t>
      </w:r>
      <w:r>
        <w:rPr>
          <w:rFonts w:hint="eastAsia" w:ascii="仿宋" w:hAnsi="仿宋" w:eastAsia="仿宋"/>
          <w:sz w:val="32"/>
          <w:szCs w:val="32"/>
        </w:rPr>
        <w:t>%。</w:t>
      </w:r>
    </w:p>
    <w:p>
      <w:pPr>
        <w:pStyle w:val="20"/>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pPr>
        <w:pStyle w:val="20"/>
        <w:ind w:firstLine="320" w:firstLineChars="100"/>
        <w:rPr>
          <w:rFonts w:hint="default"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年度支出合计</w:t>
      </w:r>
      <w:r>
        <w:rPr>
          <w:rFonts w:hint="eastAsia" w:ascii="仿宋" w:hAnsi="仿宋" w:eastAsia="仿宋"/>
          <w:sz w:val="32"/>
          <w:szCs w:val="32"/>
          <w:lang w:val="en-US" w:eastAsia="zh-CN"/>
        </w:rPr>
        <w:t>464.59</w:t>
      </w:r>
      <w:r>
        <w:rPr>
          <w:rFonts w:hint="eastAsia" w:ascii="仿宋" w:hAnsi="仿宋" w:eastAsia="仿宋"/>
          <w:sz w:val="32"/>
          <w:szCs w:val="32"/>
        </w:rPr>
        <w:t>万元，其中：基本支出</w:t>
      </w:r>
      <w:r>
        <w:rPr>
          <w:rFonts w:hint="eastAsia" w:ascii="仿宋" w:hAnsi="仿宋" w:eastAsia="仿宋"/>
          <w:sz w:val="32"/>
          <w:szCs w:val="32"/>
          <w:lang w:val="en-US" w:eastAsia="zh-CN"/>
        </w:rPr>
        <w:t>252.35</w:t>
      </w:r>
      <w:r>
        <w:rPr>
          <w:rFonts w:hint="eastAsia" w:ascii="仿宋" w:hAnsi="仿宋" w:eastAsia="仿宋"/>
          <w:sz w:val="32"/>
          <w:szCs w:val="32"/>
        </w:rPr>
        <w:t>万元，占</w:t>
      </w:r>
      <w:r>
        <w:rPr>
          <w:rFonts w:hint="eastAsia" w:ascii="仿宋" w:hAnsi="仿宋" w:eastAsia="仿宋"/>
          <w:sz w:val="32"/>
          <w:szCs w:val="32"/>
          <w:lang w:val="en-US" w:eastAsia="zh-CN"/>
        </w:rPr>
        <w:t>54.32</w:t>
      </w:r>
      <w:r>
        <w:rPr>
          <w:rFonts w:hint="eastAsia" w:ascii="仿宋" w:hAnsi="仿宋" w:eastAsia="仿宋"/>
          <w:sz w:val="32"/>
          <w:szCs w:val="32"/>
        </w:rPr>
        <w:t>%；项目支出</w:t>
      </w:r>
      <w:r>
        <w:rPr>
          <w:rFonts w:hint="eastAsia" w:ascii="仿宋" w:hAnsi="仿宋" w:eastAsia="仿宋"/>
          <w:sz w:val="32"/>
          <w:szCs w:val="32"/>
          <w:lang w:val="en-US" w:eastAsia="zh-CN"/>
        </w:rPr>
        <w:t>212.24</w:t>
      </w:r>
      <w:r>
        <w:rPr>
          <w:rFonts w:hint="eastAsia" w:ascii="仿宋" w:hAnsi="仿宋" w:eastAsia="仿宋"/>
          <w:sz w:val="32"/>
          <w:szCs w:val="32"/>
        </w:rPr>
        <w:t>万元，占</w:t>
      </w:r>
      <w:r>
        <w:rPr>
          <w:rFonts w:hint="eastAsia" w:ascii="仿宋" w:hAnsi="仿宋" w:eastAsia="仿宋"/>
          <w:sz w:val="32"/>
          <w:szCs w:val="32"/>
          <w:lang w:val="en-US" w:eastAsia="zh-CN"/>
        </w:rPr>
        <w:t>45.68</w:t>
      </w:r>
      <w:r>
        <w:rPr>
          <w:rFonts w:hint="eastAsia" w:ascii="仿宋" w:hAnsi="仿宋" w:eastAsia="仿宋"/>
          <w:sz w:val="32"/>
          <w:szCs w:val="32"/>
        </w:rPr>
        <w:t>%；上缴上级支出0万元，占0</w:t>
      </w:r>
      <w:r>
        <w:rPr>
          <w:rFonts w:hint="eastAsia" w:ascii="仿宋" w:hAnsi="仿宋" w:eastAsia="仿宋"/>
          <w:sz w:val="32"/>
          <w:szCs w:val="32"/>
          <w:lang w:val="en-US" w:eastAsia="zh-CN"/>
        </w:rPr>
        <w:t>.0</w:t>
      </w:r>
      <w:r>
        <w:rPr>
          <w:rFonts w:hint="eastAsia" w:ascii="仿宋" w:hAnsi="仿宋" w:eastAsia="仿宋"/>
          <w:sz w:val="32"/>
          <w:szCs w:val="32"/>
        </w:rPr>
        <w:t>%；经营支出0万元，占0</w:t>
      </w:r>
      <w:r>
        <w:rPr>
          <w:rFonts w:hint="eastAsia" w:ascii="仿宋" w:hAnsi="仿宋" w:eastAsia="仿宋"/>
          <w:sz w:val="32"/>
          <w:szCs w:val="32"/>
          <w:lang w:val="en-US" w:eastAsia="zh-CN"/>
        </w:rPr>
        <w:t>.0</w:t>
      </w:r>
      <w:r>
        <w:rPr>
          <w:rFonts w:hint="eastAsia" w:ascii="仿宋" w:hAnsi="仿宋" w:eastAsia="仿宋"/>
          <w:sz w:val="32"/>
          <w:szCs w:val="32"/>
        </w:rPr>
        <w:t>%；对附属单位补助支出0万元，占0</w:t>
      </w:r>
      <w:r>
        <w:rPr>
          <w:rFonts w:hint="eastAsia" w:ascii="仿宋" w:hAnsi="仿宋" w:eastAsia="仿宋"/>
          <w:sz w:val="32"/>
          <w:szCs w:val="32"/>
          <w:lang w:val="en-US" w:eastAsia="zh-CN"/>
        </w:rPr>
        <w:t>.0</w:t>
      </w:r>
      <w:r>
        <w:rPr>
          <w:rFonts w:hint="eastAsia" w:ascii="仿宋" w:hAnsi="仿宋" w:eastAsia="仿宋"/>
          <w:sz w:val="32"/>
          <w:szCs w:val="32"/>
        </w:rPr>
        <w:t>%。</w:t>
      </w:r>
    </w:p>
    <w:p>
      <w:pPr>
        <w:pStyle w:val="20"/>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pStyle w:val="20"/>
        <w:numPr>
          <w:ilvl w:val="0"/>
          <w:numId w:val="0"/>
        </w:numPr>
        <w:spacing w:line="240" w:lineRule="auto"/>
        <w:ind w:left="0" w:leftChars="0"/>
        <w:jc w:val="both"/>
        <w:rPr>
          <w:rFonts w:hint="eastAsia" w:ascii="Times New Roman" w:hAnsi="Times New Roman" w:eastAsia="黑体" w:cs="Times New Roman"/>
          <w:sz w:val="32"/>
          <w:szCs w:val="32"/>
          <w:lang w:val="en-US" w:eastAsia="zh-CN"/>
        </w:rPr>
      </w:pPr>
      <w:r>
        <w:rPr>
          <w:rFonts w:hint="eastAsia" w:ascii="Times New Roman" w:hAnsi="Times New Roman" w:cs="Times New Roman"/>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年度财政拨款收、支总计</w:t>
      </w:r>
      <w:r>
        <w:rPr>
          <w:rFonts w:hint="eastAsia" w:ascii="仿宋" w:hAnsi="仿宋" w:eastAsia="仿宋"/>
          <w:sz w:val="32"/>
          <w:szCs w:val="32"/>
          <w:lang w:val="en-US" w:eastAsia="zh-CN"/>
        </w:rPr>
        <w:t>458.04</w:t>
      </w:r>
      <w:r>
        <w:rPr>
          <w:rFonts w:hint="eastAsia" w:ascii="仿宋" w:hAnsi="仿宋" w:eastAsia="仿宋"/>
          <w:sz w:val="32"/>
          <w:szCs w:val="32"/>
        </w:rPr>
        <w:t>万元，与上年相比</w:t>
      </w:r>
      <w:r>
        <w:rPr>
          <w:rFonts w:hint="eastAsia" w:ascii="仿宋" w:hAnsi="仿宋" w:eastAsia="仿宋"/>
          <w:sz w:val="32"/>
          <w:szCs w:val="32"/>
          <w:lang w:eastAsia="zh-CN"/>
        </w:rPr>
        <w:t>增加</w:t>
      </w:r>
      <w:r>
        <w:rPr>
          <w:rFonts w:hint="eastAsia" w:ascii="仿宋" w:hAnsi="仿宋" w:eastAsia="仿宋"/>
          <w:sz w:val="32"/>
          <w:szCs w:val="32"/>
          <w:lang w:val="en-US" w:eastAsia="zh-CN"/>
        </w:rPr>
        <w:t>39.89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9.54</w:t>
      </w:r>
      <w:r>
        <w:rPr>
          <w:rFonts w:hint="eastAsia" w:ascii="仿宋" w:hAnsi="仿宋" w:eastAsia="仿宋"/>
          <w:sz w:val="32"/>
          <w:szCs w:val="32"/>
        </w:rPr>
        <w:t>%，主要是因为</w:t>
      </w:r>
      <w:r>
        <w:rPr>
          <w:rFonts w:hint="eastAsia" w:ascii="仿宋" w:hAnsi="仿宋" w:eastAsia="仿宋"/>
          <w:sz w:val="32"/>
          <w:szCs w:val="32"/>
          <w:lang w:eastAsia="zh-CN"/>
        </w:rPr>
        <w:t>新增人员经费及运行经费。</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10"/>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pStyle w:val="20"/>
        <w:numPr>
          <w:ilvl w:val="0"/>
          <w:numId w:val="0"/>
        </w:numPr>
        <w:spacing w:line="570" w:lineRule="exact"/>
        <w:ind w:firstLine="640" w:firstLineChars="200"/>
        <w:jc w:val="both"/>
        <w:rPr>
          <w:rFonts w:ascii="Times New Roman" w:hAnsi="Times New Roman" w:eastAsia="楷体_GB2312" w:cs="Times New Roman"/>
          <w:b/>
          <w:color w:val="000000"/>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442.04</w:t>
      </w:r>
      <w:r>
        <w:rPr>
          <w:rFonts w:hint="eastAsia" w:ascii="仿宋" w:hAnsi="仿宋" w:eastAsia="仿宋"/>
          <w:sz w:val="32"/>
          <w:szCs w:val="32"/>
        </w:rPr>
        <w:t>万元，占本年支出合计的</w:t>
      </w:r>
      <w:r>
        <w:rPr>
          <w:rFonts w:hint="eastAsia" w:ascii="仿宋" w:hAnsi="仿宋" w:eastAsia="仿宋"/>
          <w:sz w:val="32"/>
          <w:szCs w:val="32"/>
          <w:lang w:val="en-US" w:eastAsia="zh-CN"/>
        </w:rPr>
        <w:t>95.15</w:t>
      </w:r>
      <w:r>
        <w:rPr>
          <w:rFonts w:hint="eastAsia" w:ascii="仿宋" w:hAnsi="仿宋" w:eastAsia="仿宋"/>
          <w:sz w:val="32"/>
          <w:szCs w:val="32"/>
        </w:rPr>
        <w:t>%，与上年相比，财政拨款支出</w:t>
      </w:r>
      <w:r>
        <w:rPr>
          <w:rFonts w:hint="eastAsia" w:ascii="仿宋" w:hAnsi="仿宋" w:eastAsia="仿宋"/>
          <w:sz w:val="32"/>
          <w:szCs w:val="32"/>
          <w:lang w:eastAsia="zh-CN"/>
        </w:rPr>
        <w:t>增加</w:t>
      </w:r>
      <w:r>
        <w:rPr>
          <w:rFonts w:hint="eastAsia" w:ascii="仿宋" w:hAnsi="仿宋" w:eastAsia="仿宋"/>
          <w:sz w:val="32"/>
          <w:szCs w:val="32"/>
          <w:lang w:val="en-US" w:eastAsia="zh-CN"/>
        </w:rPr>
        <w:t>24.89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5.97</w:t>
      </w:r>
      <w:r>
        <w:rPr>
          <w:rFonts w:hint="eastAsia" w:ascii="仿宋" w:hAnsi="仿宋" w:eastAsia="仿宋"/>
          <w:sz w:val="32"/>
          <w:szCs w:val="32"/>
        </w:rPr>
        <w:t>%，主要是因为</w:t>
      </w:r>
      <w:r>
        <w:rPr>
          <w:rFonts w:hint="eastAsia" w:ascii="仿宋" w:hAnsi="仿宋" w:eastAsia="仿宋"/>
          <w:sz w:val="32"/>
          <w:szCs w:val="32"/>
          <w:lang w:eastAsia="zh-CN"/>
        </w:rPr>
        <w:t>新增人员经费。</w:t>
      </w:r>
    </w:p>
    <w:p>
      <w:pPr>
        <w:pStyle w:val="10"/>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p>
    <w:p>
      <w:pPr>
        <w:pStyle w:val="10"/>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pPr>
        <w:pStyle w:val="20"/>
        <w:ind w:firstLine="640" w:firstLineChars="200"/>
        <w:rPr>
          <w:rFonts w:hint="default" w:ascii="Times New Roman" w:hAnsi="Times New Roman" w:eastAsia="楷体_GB2312" w:cs="Times New Roman"/>
          <w:b/>
          <w:color w:val="000000"/>
          <w:kern w:val="0"/>
          <w:sz w:val="32"/>
          <w:szCs w:val="32"/>
          <w:lang w:val="en-US" w:eastAsia="zh-CN"/>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w:t>
      </w:r>
      <w:r>
        <w:rPr>
          <w:rFonts w:hint="eastAsia" w:ascii="仿宋" w:hAnsi="仿宋" w:eastAsia="仿宋"/>
          <w:sz w:val="32"/>
          <w:szCs w:val="32"/>
          <w:lang w:val="en-US" w:eastAsia="zh-CN"/>
        </w:rPr>
        <w:t>442.04</w:t>
      </w:r>
      <w:r>
        <w:rPr>
          <w:rFonts w:hint="eastAsia" w:ascii="仿宋" w:hAnsi="仿宋" w:eastAsia="仿宋"/>
          <w:sz w:val="32"/>
          <w:szCs w:val="32"/>
        </w:rPr>
        <w:t>万元，主要用于以下方面：一般公共服务（类）支出</w:t>
      </w:r>
      <w:r>
        <w:rPr>
          <w:rFonts w:hint="eastAsia" w:ascii="仿宋" w:hAnsi="仿宋" w:eastAsia="仿宋"/>
          <w:sz w:val="32"/>
          <w:szCs w:val="32"/>
          <w:lang w:val="en-US" w:eastAsia="zh-CN"/>
        </w:rPr>
        <w:t>403.95</w:t>
      </w:r>
      <w:r>
        <w:rPr>
          <w:rFonts w:hint="eastAsia" w:ascii="仿宋" w:hAnsi="仿宋" w:eastAsia="仿宋"/>
          <w:sz w:val="32"/>
          <w:szCs w:val="32"/>
        </w:rPr>
        <w:t>万元，占</w:t>
      </w:r>
      <w:r>
        <w:rPr>
          <w:rFonts w:hint="eastAsia" w:ascii="仿宋" w:hAnsi="仿宋" w:eastAsia="仿宋"/>
          <w:sz w:val="32"/>
          <w:szCs w:val="32"/>
          <w:lang w:val="en-US" w:eastAsia="zh-CN"/>
        </w:rPr>
        <w:t>91.38</w:t>
      </w:r>
      <w:r>
        <w:rPr>
          <w:rFonts w:hint="eastAsia" w:ascii="仿宋" w:hAnsi="仿宋" w:eastAsia="仿宋"/>
          <w:sz w:val="32"/>
          <w:szCs w:val="32"/>
        </w:rPr>
        <w:t>%</w:t>
      </w:r>
      <w:r>
        <w:rPr>
          <w:rFonts w:hint="eastAsia" w:ascii="仿宋" w:hAnsi="仿宋" w:eastAsia="仿宋"/>
          <w:sz w:val="32"/>
          <w:szCs w:val="32"/>
          <w:lang w:eastAsia="zh-CN"/>
        </w:rPr>
        <w:t>；文化旅游体育与传媒（类）支出</w:t>
      </w:r>
      <w:r>
        <w:rPr>
          <w:rFonts w:hint="eastAsia" w:ascii="仿宋" w:hAnsi="仿宋" w:eastAsia="仿宋"/>
          <w:sz w:val="32"/>
          <w:szCs w:val="32"/>
          <w:lang w:val="en-US" w:eastAsia="zh-CN"/>
        </w:rPr>
        <w:t>38.09</w:t>
      </w:r>
      <w:r>
        <w:rPr>
          <w:rFonts w:hint="eastAsia" w:ascii="仿宋" w:hAnsi="仿宋" w:eastAsia="仿宋"/>
          <w:sz w:val="32"/>
          <w:szCs w:val="32"/>
        </w:rPr>
        <w:t>万元，占</w:t>
      </w:r>
      <w:r>
        <w:rPr>
          <w:rFonts w:hint="eastAsia" w:ascii="仿宋" w:hAnsi="仿宋" w:eastAsia="仿宋"/>
          <w:sz w:val="32"/>
          <w:szCs w:val="32"/>
          <w:lang w:val="en-US" w:eastAsia="zh-CN"/>
        </w:rPr>
        <w:t>8.62</w:t>
      </w:r>
      <w:r>
        <w:rPr>
          <w:rFonts w:hint="eastAsia" w:ascii="仿宋" w:hAnsi="仿宋" w:eastAsia="仿宋"/>
          <w:sz w:val="32"/>
          <w:szCs w:val="32"/>
        </w:rPr>
        <w:t>%</w:t>
      </w:r>
      <w:r>
        <w:rPr>
          <w:rFonts w:hint="eastAsia" w:ascii="仿宋" w:hAnsi="仿宋" w:eastAsia="仿宋"/>
          <w:sz w:val="32"/>
          <w:szCs w:val="32"/>
          <w:lang w:eastAsia="zh-CN"/>
        </w:rPr>
        <w:t>。</w:t>
      </w:r>
    </w:p>
    <w:p>
      <w:pPr>
        <w:pStyle w:val="10"/>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pStyle w:val="20"/>
        <w:ind w:firstLine="640" w:firstLineChars="200"/>
        <w:rPr>
          <w:rFonts w:hint="eastAsia" w:ascii="仿宋" w:hAnsi="仿宋" w:eastAsia="仿宋"/>
          <w:sz w:val="32"/>
          <w:szCs w:val="32"/>
        </w:rPr>
      </w:pPr>
      <w:r>
        <w:rPr>
          <w:rFonts w:hint="eastAsia" w:ascii="Times New Roman" w:hAnsi="Times New Roman" w:eastAsia="楷体_GB2312" w:cs="Times New Roman"/>
          <w:b/>
          <w:color w:val="000000"/>
          <w:kern w:val="0"/>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年度财政拨款支出年初预算数为</w:t>
      </w:r>
      <w:r>
        <w:rPr>
          <w:rFonts w:hint="eastAsia" w:ascii="仿宋" w:hAnsi="仿宋" w:eastAsia="仿宋"/>
          <w:sz w:val="32"/>
          <w:szCs w:val="32"/>
          <w:lang w:val="en-US" w:eastAsia="zh-CN"/>
        </w:rPr>
        <w:t>326.42</w:t>
      </w:r>
      <w:r>
        <w:rPr>
          <w:rFonts w:hint="eastAsia" w:ascii="仿宋" w:hAnsi="仿宋" w:eastAsia="仿宋"/>
          <w:sz w:val="32"/>
          <w:szCs w:val="32"/>
        </w:rPr>
        <w:t>万元，支出决算数为</w:t>
      </w:r>
      <w:r>
        <w:rPr>
          <w:rFonts w:hint="eastAsia" w:ascii="仿宋" w:hAnsi="仿宋" w:eastAsia="仿宋"/>
          <w:sz w:val="32"/>
          <w:szCs w:val="32"/>
          <w:lang w:val="en-US" w:eastAsia="zh-CN"/>
        </w:rPr>
        <w:t>442.04</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%，其中：</w:t>
      </w:r>
    </w:p>
    <w:p>
      <w:pPr>
        <w:pStyle w:val="20"/>
        <w:ind w:firstLine="640" w:firstLineChars="200"/>
        <w:rPr>
          <w:rFonts w:hint="eastAsia" w:ascii="仿宋" w:hAnsi="仿宋" w:eastAsia="仿宋"/>
          <w:sz w:val="32"/>
          <w:szCs w:val="32"/>
        </w:rPr>
      </w:pPr>
      <w:r>
        <w:rPr>
          <w:rFonts w:hint="eastAsia" w:ascii="仿宋" w:hAnsi="仿宋" w:eastAsia="仿宋"/>
          <w:sz w:val="32"/>
          <w:szCs w:val="32"/>
        </w:rPr>
        <w:t>1、一般公共服务支出（类）宣传事务（款）行政运行（项）。</w:t>
      </w:r>
    </w:p>
    <w:p>
      <w:pPr>
        <w:pStyle w:val="20"/>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231.42</w:t>
      </w:r>
      <w:r>
        <w:rPr>
          <w:rFonts w:hint="eastAsia" w:ascii="仿宋" w:hAnsi="仿宋" w:eastAsia="仿宋"/>
          <w:sz w:val="32"/>
          <w:szCs w:val="32"/>
        </w:rPr>
        <w:t>万元，支出决算为</w:t>
      </w:r>
      <w:r>
        <w:rPr>
          <w:rFonts w:hint="eastAsia" w:ascii="仿宋" w:hAnsi="仿宋" w:eastAsia="仿宋"/>
          <w:sz w:val="32"/>
          <w:szCs w:val="32"/>
          <w:lang w:val="en-US" w:eastAsia="zh-CN"/>
        </w:rPr>
        <w:t>245.8</w:t>
      </w:r>
      <w:r>
        <w:rPr>
          <w:rFonts w:hint="eastAsia" w:ascii="仿宋" w:hAnsi="仿宋" w:eastAsia="仿宋"/>
          <w:sz w:val="32"/>
          <w:szCs w:val="32"/>
        </w:rPr>
        <w:t>万元，完成年初预算的</w:t>
      </w:r>
      <w:r>
        <w:rPr>
          <w:rFonts w:hint="eastAsia" w:ascii="仿宋" w:hAnsi="仿宋" w:eastAsia="仿宋"/>
          <w:sz w:val="32"/>
          <w:szCs w:val="32"/>
          <w:lang w:val="en-US" w:eastAsia="zh-CN"/>
        </w:rPr>
        <w:t>100.0</w:t>
      </w:r>
      <w:r>
        <w:rPr>
          <w:rFonts w:hint="eastAsia" w:ascii="仿宋" w:hAnsi="仿宋" w:eastAsia="仿宋"/>
          <w:sz w:val="32"/>
          <w:szCs w:val="32"/>
        </w:rPr>
        <w:t>%，决算数</w:t>
      </w:r>
      <w:r>
        <w:rPr>
          <w:rFonts w:hint="eastAsia" w:ascii="仿宋" w:hAnsi="仿宋" w:eastAsia="仿宋"/>
          <w:sz w:val="32"/>
          <w:szCs w:val="32"/>
          <w:lang w:eastAsia="zh-CN"/>
        </w:rPr>
        <w:t>大</w:t>
      </w:r>
      <w:r>
        <w:rPr>
          <w:rFonts w:hint="eastAsia" w:ascii="仿宋" w:hAnsi="仿宋" w:eastAsia="仿宋"/>
          <w:sz w:val="32"/>
          <w:szCs w:val="32"/>
        </w:rPr>
        <w:t>于年初预算数的主要原因是</w:t>
      </w:r>
      <w:r>
        <w:rPr>
          <w:rFonts w:hint="eastAsia" w:ascii="仿宋" w:hAnsi="仿宋" w:eastAsia="仿宋"/>
          <w:sz w:val="32"/>
          <w:szCs w:val="32"/>
          <w:lang w:eastAsia="zh-CN"/>
        </w:rPr>
        <w:t>新增人员经费及运行经费。</w:t>
      </w:r>
    </w:p>
    <w:p>
      <w:pPr>
        <w:pStyle w:val="20"/>
        <w:ind w:firstLine="640" w:firstLineChars="200"/>
        <w:rPr>
          <w:rFonts w:hint="eastAsia" w:ascii="仿宋" w:hAnsi="仿宋" w:eastAsia="仿宋"/>
          <w:sz w:val="32"/>
          <w:szCs w:val="32"/>
        </w:rPr>
      </w:pPr>
      <w:r>
        <w:rPr>
          <w:rFonts w:hint="eastAsia" w:ascii="仿宋" w:hAnsi="仿宋" w:eastAsia="仿宋"/>
          <w:sz w:val="32"/>
          <w:szCs w:val="32"/>
        </w:rPr>
        <w:t>2、一般公共服务支出（类）宣传事务（款）一般行政管理事务（项）。</w:t>
      </w:r>
    </w:p>
    <w:p>
      <w:pPr>
        <w:pStyle w:val="20"/>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7.03</w:t>
      </w:r>
      <w:r>
        <w:rPr>
          <w:rFonts w:hint="eastAsia" w:ascii="仿宋" w:hAnsi="仿宋" w:eastAsia="仿宋"/>
          <w:sz w:val="32"/>
          <w:szCs w:val="32"/>
        </w:rPr>
        <w:t>万元，完成年初预算的</w:t>
      </w:r>
      <w:r>
        <w:rPr>
          <w:rFonts w:hint="eastAsia" w:ascii="仿宋" w:hAnsi="仿宋" w:eastAsia="仿宋"/>
          <w:sz w:val="32"/>
          <w:szCs w:val="32"/>
          <w:lang w:val="en-US" w:eastAsia="zh-CN"/>
        </w:rPr>
        <w:t>100.0</w:t>
      </w:r>
      <w:r>
        <w:rPr>
          <w:rFonts w:hint="eastAsia" w:ascii="仿宋" w:hAnsi="仿宋" w:eastAsia="仿宋"/>
          <w:sz w:val="32"/>
          <w:szCs w:val="32"/>
        </w:rPr>
        <w:t>%，决算数</w:t>
      </w:r>
      <w:r>
        <w:rPr>
          <w:rFonts w:hint="eastAsia" w:ascii="仿宋" w:hAnsi="仿宋" w:eastAsia="仿宋"/>
          <w:sz w:val="32"/>
          <w:szCs w:val="32"/>
          <w:lang w:eastAsia="zh-CN"/>
        </w:rPr>
        <w:t>大</w:t>
      </w:r>
      <w:r>
        <w:rPr>
          <w:rFonts w:hint="eastAsia" w:ascii="仿宋" w:hAnsi="仿宋" w:eastAsia="仿宋"/>
          <w:sz w:val="32"/>
          <w:szCs w:val="32"/>
        </w:rPr>
        <w:t>于年初预算数的主要原因是</w:t>
      </w:r>
      <w:r>
        <w:rPr>
          <w:rFonts w:hint="eastAsia" w:ascii="仿宋" w:hAnsi="仿宋" w:eastAsia="仿宋"/>
          <w:sz w:val="32"/>
          <w:szCs w:val="32"/>
          <w:lang w:eastAsia="zh-CN"/>
        </w:rPr>
        <w:t>新增项目支出。</w:t>
      </w:r>
    </w:p>
    <w:p>
      <w:pPr>
        <w:pStyle w:val="20"/>
        <w:ind w:firstLine="640" w:firstLineChars="200"/>
        <w:rPr>
          <w:rFonts w:hint="eastAsia" w:ascii="仿宋" w:hAnsi="仿宋" w:eastAsia="仿宋"/>
          <w:sz w:val="32"/>
          <w:szCs w:val="32"/>
        </w:rPr>
      </w:pPr>
      <w:r>
        <w:rPr>
          <w:rFonts w:hint="eastAsia" w:ascii="仿宋" w:hAnsi="仿宋" w:eastAsia="仿宋"/>
          <w:sz w:val="32"/>
          <w:szCs w:val="32"/>
        </w:rPr>
        <w:t>3、一般公共服务支出（类）宣传事务（款）宣传管理（项）。</w:t>
      </w:r>
    </w:p>
    <w:p>
      <w:pPr>
        <w:pStyle w:val="20"/>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10.75</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20"/>
        <w:ind w:firstLine="640" w:firstLineChars="200"/>
        <w:rPr>
          <w:rFonts w:hint="eastAsia" w:ascii="仿宋" w:hAnsi="仿宋" w:eastAsia="仿宋"/>
          <w:sz w:val="32"/>
          <w:szCs w:val="32"/>
        </w:rPr>
      </w:pPr>
      <w:r>
        <w:rPr>
          <w:rFonts w:hint="eastAsia" w:ascii="仿宋" w:hAnsi="仿宋" w:eastAsia="仿宋"/>
          <w:sz w:val="32"/>
          <w:szCs w:val="32"/>
        </w:rPr>
        <w:t>4、一般公共服务支出（类）宣传事务（款）其他宣传事务支出（项）。</w:t>
      </w:r>
    </w:p>
    <w:p>
      <w:pPr>
        <w:pStyle w:val="20"/>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95</w:t>
      </w:r>
      <w:r>
        <w:rPr>
          <w:rFonts w:hint="eastAsia" w:ascii="仿宋" w:hAnsi="仿宋" w:eastAsia="仿宋"/>
          <w:sz w:val="32"/>
          <w:szCs w:val="32"/>
        </w:rPr>
        <w:t>万元，支出决算为</w:t>
      </w:r>
      <w:r>
        <w:rPr>
          <w:rFonts w:hint="eastAsia" w:ascii="仿宋" w:hAnsi="仿宋" w:eastAsia="仿宋"/>
          <w:sz w:val="32"/>
          <w:szCs w:val="32"/>
          <w:lang w:val="en-US" w:eastAsia="zh-CN"/>
        </w:rPr>
        <w:t>140.38</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20"/>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、文化旅游体育与传媒支出（类）文化和旅游（款）其他文化和旅游支出（项）。</w:t>
      </w:r>
    </w:p>
    <w:p>
      <w:pPr>
        <w:pStyle w:val="20"/>
        <w:ind w:firstLine="640" w:firstLineChars="200"/>
        <w:rPr>
          <w:rFonts w:hint="eastAsia" w:ascii="仿宋" w:hAnsi="仿宋" w:eastAsia="仿宋"/>
          <w:sz w:val="32"/>
          <w:szCs w:val="32"/>
          <w:lang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19.67</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20"/>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、文化旅游体育与传媒支出（类）其他文化旅游体育与传媒支出（款）其他文化旅游体育与传媒支出（项）。</w:t>
      </w:r>
    </w:p>
    <w:p>
      <w:pPr>
        <w:pStyle w:val="20"/>
        <w:ind w:firstLine="640" w:firstLineChars="200"/>
        <w:rPr>
          <w:rFonts w:hint="default" w:ascii="Times New Roman" w:hAnsi="Times New Roman" w:eastAsia="楷体_GB2312" w:cs="Times New Roman"/>
          <w:b/>
          <w:color w:val="000000"/>
          <w:kern w:val="0"/>
          <w:sz w:val="32"/>
          <w:szCs w:val="32"/>
          <w:lang w:val="en-US" w:eastAsia="zh-CN"/>
        </w:rPr>
      </w:pPr>
      <w:r>
        <w:rPr>
          <w:rFonts w:hint="eastAsia" w:ascii="仿宋" w:hAnsi="仿宋" w:eastAsia="仿宋"/>
          <w:sz w:val="32"/>
          <w:szCs w:val="32"/>
        </w:rPr>
        <w:t>年初预算为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18.41</w:t>
      </w:r>
      <w:r>
        <w:rPr>
          <w:rFonts w:hint="eastAsia" w:ascii="仿宋" w:hAnsi="仿宋" w:eastAsia="仿宋"/>
          <w:sz w:val="32"/>
          <w:szCs w:val="32"/>
        </w:rPr>
        <w:t>万元，完成年初预算的100</w:t>
      </w:r>
      <w:r>
        <w:rPr>
          <w:rFonts w:hint="eastAsia" w:ascii="仿宋" w:hAnsi="仿宋" w:eastAsia="仿宋"/>
          <w:sz w:val="32"/>
          <w:szCs w:val="32"/>
          <w:lang w:val="en-US" w:eastAsia="zh-CN"/>
        </w:rPr>
        <w:t>.0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新增项目支出。</w:t>
      </w:r>
    </w:p>
    <w:p>
      <w:pPr>
        <w:pStyle w:val="10"/>
        <w:numPr>
          <w:ilvl w:val="0"/>
          <w:numId w:val="2"/>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一般公共预算财政拨款基本支出决算情况说明</w:t>
      </w:r>
    </w:p>
    <w:p>
      <w:pPr>
        <w:pStyle w:val="20"/>
        <w:ind w:firstLine="640" w:firstLineChars="200"/>
        <w:rPr>
          <w:rFonts w:ascii="Times New Roman" w:hAnsi="Times New Roman" w:eastAsia="黑体" w:cs="Times New Roman"/>
          <w:color w:val="000000"/>
          <w:kern w:val="0"/>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年度财政拨款基本支出</w:t>
      </w:r>
      <w:r>
        <w:rPr>
          <w:rFonts w:hint="eastAsia" w:ascii="仿宋" w:hAnsi="仿宋" w:eastAsia="仿宋"/>
          <w:sz w:val="32"/>
          <w:szCs w:val="32"/>
          <w:lang w:val="en-US" w:eastAsia="zh-CN"/>
        </w:rPr>
        <w:t>245.8</w:t>
      </w:r>
      <w:r>
        <w:rPr>
          <w:rFonts w:hint="eastAsia" w:ascii="仿宋" w:hAnsi="仿宋" w:eastAsia="仿宋"/>
          <w:sz w:val="32"/>
          <w:szCs w:val="32"/>
        </w:rPr>
        <w:t>万元，其中：人员经费</w:t>
      </w:r>
      <w:r>
        <w:rPr>
          <w:rFonts w:hint="eastAsia" w:ascii="仿宋" w:hAnsi="仿宋" w:eastAsia="仿宋"/>
          <w:sz w:val="32"/>
          <w:szCs w:val="32"/>
          <w:lang w:val="en-US" w:eastAsia="zh-CN"/>
        </w:rPr>
        <w:t>181.43</w:t>
      </w:r>
      <w:r>
        <w:rPr>
          <w:rFonts w:hint="eastAsia" w:ascii="仿宋" w:hAnsi="仿宋" w:eastAsia="仿宋"/>
          <w:sz w:val="32"/>
          <w:szCs w:val="32"/>
        </w:rPr>
        <w:t>万元，占基本支出的</w:t>
      </w:r>
      <w:r>
        <w:rPr>
          <w:rFonts w:hint="eastAsia" w:ascii="仿宋" w:hAnsi="仿宋" w:eastAsia="仿宋"/>
          <w:sz w:val="32"/>
          <w:szCs w:val="32"/>
          <w:lang w:val="en-US" w:eastAsia="zh-CN"/>
        </w:rPr>
        <w:t>73.81</w:t>
      </w:r>
      <w:r>
        <w:rPr>
          <w:rFonts w:hint="eastAsia" w:ascii="仿宋" w:hAnsi="仿宋" w:eastAsia="仿宋"/>
          <w:sz w:val="32"/>
          <w:szCs w:val="32"/>
        </w:rPr>
        <w:t>%,主要包括基本工资、津贴补贴、奖金、伙食补助费、养老保险、医疗保险、住房公积金、对个人和家庭的补助；公用经费</w:t>
      </w:r>
      <w:r>
        <w:rPr>
          <w:rFonts w:hint="eastAsia" w:ascii="仿宋" w:hAnsi="仿宋" w:eastAsia="仿宋"/>
          <w:sz w:val="32"/>
          <w:szCs w:val="32"/>
          <w:lang w:val="en-US" w:eastAsia="zh-CN"/>
        </w:rPr>
        <w:t>64.37</w:t>
      </w:r>
      <w:r>
        <w:rPr>
          <w:rFonts w:hint="eastAsia" w:ascii="仿宋" w:hAnsi="仿宋" w:eastAsia="仿宋"/>
          <w:sz w:val="32"/>
          <w:szCs w:val="32"/>
        </w:rPr>
        <w:t>万元，占基本支出的</w:t>
      </w:r>
      <w:r>
        <w:rPr>
          <w:rFonts w:hint="eastAsia" w:ascii="仿宋" w:hAnsi="仿宋" w:eastAsia="仿宋"/>
          <w:sz w:val="32"/>
          <w:szCs w:val="32"/>
          <w:lang w:val="en-US" w:eastAsia="zh-CN"/>
        </w:rPr>
        <w:t>26.19</w:t>
      </w:r>
      <w:r>
        <w:rPr>
          <w:rFonts w:hint="eastAsia" w:ascii="仿宋" w:hAnsi="仿宋" w:eastAsia="仿宋"/>
          <w:sz w:val="32"/>
          <w:szCs w:val="32"/>
        </w:rPr>
        <w:t>%，主要包括办公费、印刷费、邮电费、差旅费、培训费、专用材料费、其他交通费用。</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10"/>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20"/>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万元，决算数等于预算数,其中：</w:t>
      </w:r>
    </w:p>
    <w:p>
      <w:pPr>
        <w:pStyle w:val="20"/>
        <w:ind w:firstLine="800" w:firstLineChars="25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万元，决算数等于预算数。与上年相比</w:t>
      </w:r>
      <w:r>
        <w:rPr>
          <w:rFonts w:hint="eastAsia" w:ascii="Times New Roman" w:hAnsi="Times New Roman" w:eastAsia="仿宋" w:cs="Times New Roman"/>
          <w:sz w:val="32"/>
          <w:szCs w:val="32"/>
          <w:lang w:eastAsia="zh-CN"/>
        </w:rPr>
        <w:t>持平。</w:t>
      </w:r>
    </w:p>
    <w:p>
      <w:pPr>
        <w:pStyle w:val="20"/>
        <w:ind w:firstLine="800" w:firstLineChars="25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万元，决算数等于预算数。与上年相比</w:t>
      </w:r>
      <w:r>
        <w:rPr>
          <w:rFonts w:hint="eastAsia" w:ascii="Times New Roman" w:hAnsi="Times New Roman" w:eastAsia="仿宋" w:cs="Times New Roman"/>
          <w:sz w:val="32"/>
          <w:szCs w:val="32"/>
          <w:lang w:eastAsia="zh-CN"/>
        </w:rPr>
        <w:t>持平。</w:t>
      </w:r>
    </w:p>
    <w:p>
      <w:pPr>
        <w:pStyle w:val="20"/>
        <w:ind w:firstLine="800" w:firstLineChars="25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公务用车购置费支出预算为0万元，支出决算为0万元，决算数等于预算数。与上年相比</w:t>
      </w:r>
      <w:r>
        <w:rPr>
          <w:rFonts w:hint="eastAsia" w:ascii="Times New Roman" w:hAnsi="Times New Roman" w:eastAsia="仿宋" w:cs="Times New Roman"/>
          <w:sz w:val="32"/>
          <w:szCs w:val="32"/>
          <w:lang w:eastAsia="zh-CN"/>
        </w:rPr>
        <w:t>持平。</w:t>
      </w:r>
    </w:p>
    <w:p>
      <w:pPr>
        <w:pStyle w:val="20"/>
        <w:ind w:firstLine="800" w:firstLineChars="250"/>
        <w:rPr>
          <w:rFonts w:hint="eastAsia" w:ascii="Times New Roman" w:hAnsi="Times New Roman" w:eastAsia="仿宋" w:cs="Times New Roman"/>
          <w:sz w:val="32"/>
          <w:szCs w:val="32"/>
          <w:lang w:eastAsia="zh-CN"/>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万元，决算数等于预算数。与上年相比</w:t>
      </w:r>
      <w:r>
        <w:rPr>
          <w:rFonts w:hint="eastAsia" w:ascii="Times New Roman" w:hAnsi="Times New Roman" w:eastAsia="仿宋" w:cs="Times New Roman"/>
          <w:sz w:val="32"/>
          <w:szCs w:val="32"/>
          <w:lang w:eastAsia="zh-CN"/>
        </w:rPr>
        <w:t>持平。</w:t>
      </w:r>
    </w:p>
    <w:p>
      <w:pPr>
        <w:pStyle w:val="20"/>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20"/>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lang w:val="en-US" w:eastAsia="zh-CN"/>
        </w:rPr>
        <w:t>0.0</w:t>
      </w:r>
      <w:r>
        <w:rPr>
          <w:rFonts w:ascii="Times New Roman" w:hAnsi="Times New Roman" w:eastAsia="仿宋" w:cs="Times New Roman"/>
          <w:sz w:val="32"/>
          <w:szCs w:val="32"/>
        </w:rPr>
        <w:t>%。其中：</w:t>
      </w:r>
    </w:p>
    <w:p>
      <w:pPr>
        <w:pStyle w:val="20"/>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万元。    </w:t>
      </w:r>
    </w:p>
    <w:p>
      <w:pPr>
        <w:pStyle w:val="20"/>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10"/>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pStyle w:val="20"/>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2023年度政府性基金预算财政拨款收入16万元；年初结转和结余0万元；支出16万元，其中基本支出0万元，项目支出16万元；年末结转和结余0万元。具体情况如下：</w:t>
      </w:r>
    </w:p>
    <w:p>
      <w:pPr>
        <w:pStyle w:val="20"/>
        <w:ind w:firstLine="640" w:firstLineChars="200"/>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1、文化旅游体育与传媒支出（类）国家电影事业发展专项资金安排的支出（款）其他国家电影事业发展专项资金支出（项）。</w:t>
      </w:r>
    </w:p>
    <w:p>
      <w:pPr>
        <w:pStyle w:val="10"/>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lang w:val="en-US" w:eastAsia="zh-CN" w:bidi="ar-SA"/>
        </w:rPr>
        <w:t>年初预算为0万元，支出决算为16万元，完成年初预算的100.0%，决算数大于年初预算数的主要原因是：新增项目支出。</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10"/>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10"/>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pStyle w:val="10"/>
        <w:numPr>
          <w:ilvl w:val="0"/>
          <w:numId w:val="0"/>
        </w:numPr>
        <w:autoSpaceDE w:val="0"/>
        <w:autoSpaceDN w:val="0"/>
        <w:adjustRightInd w:val="0"/>
        <w:spacing w:line="570" w:lineRule="exact"/>
        <w:rPr>
          <w:rFonts w:hint="default" w:ascii="Times New Roman" w:hAnsi="Times New Roman" w:eastAsia="黑体" w:cs="Times New Roman"/>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 xml:space="preserve"> 本部门2023年度机关运行经费支出64.37万元，比年初预算数增加34.72万元，增加117.1%。主要原因是新增人员。</w:t>
      </w:r>
    </w:p>
    <w:p>
      <w:pPr>
        <w:pStyle w:val="10"/>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pPr>
        <w:pStyle w:val="20"/>
        <w:ind w:firstLine="640" w:firstLineChars="200"/>
        <w:rPr>
          <w:rFonts w:hint="default" w:ascii="Times New Roman" w:hAnsi="Times New Roman" w:eastAsia="黑体" w:cs="Times New Roman"/>
          <w:color w:val="000000"/>
          <w:kern w:val="0"/>
          <w:sz w:val="32"/>
          <w:szCs w:val="32"/>
          <w:highlight w:val="none"/>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仿宋" w:hAnsi="仿宋" w:eastAsia="仿宋" w:cs="仿宋"/>
          <w:color w:val="000000"/>
          <w:kern w:val="0"/>
          <w:sz w:val="32"/>
          <w:szCs w:val="32"/>
          <w:lang w:val="en-US" w:eastAsia="zh-CN" w:bidi="ar-SA"/>
        </w:rPr>
        <w:t>2023年本部门开支会议费0万元；</w:t>
      </w:r>
      <w:r>
        <w:rPr>
          <w:rFonts w:hint="eastAsia" w:ascii="仿宋" w:hAnsi="仿宋" w:eastAsia="仿宋" w:cs="仿宋"/>
          <w:color w:val="000000"/>
          <w:kern w:val="0"/>
          <w:sz w:val="32"/>
          <w:szCs w:val="32"/>
          <w:highlight w:val="none"/>
          <w:lang w:val="en-US" w:eastAsia="zh-CN" w:bidi="ar-SA"/>
        </w:rPr>
        <w:t>开支培训费1.24万元，用于开展创文工作培训，覆盖各镇街、社区（村）约100余人。</w:t>
      </w:r>
    </w:p>
    <w:p>
      <w:pPr>
        <w:pStyle w:val="10"/>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pPr>
        <w:pStyle w:val="20"/>
        <w:ind w:firstLine="640" w:firstLineChars="200"/>
        <w:rPr>
          <w:rFonts w:hint="eastAsia" w:ascii="Times New Roman" w:hAnsi="Times New Roman" w:eastAsia="黑体" w:cs="Times New Roman"/>
          <w:color w:val="000000"/>
          <w:kern w:val="0"/>
          <w:sz w:val="32"/>
          <w:szCs w:val="32"/>
          <w:lang w:val="en-US" w:eastAsia="zh-CN"/>
        </w:rPr>
      </w:pPr>
      <w:r>
        <w:rPr>
          <w:rFonts w:hint="eastAsia" w:ascii="仿宋" w:hAnsi="仿宋" w:eastAsia="仿宋" w:cs="黑体"/>
          <w:color w:val="000000"/>
          <w:kern w:val="0"/>
          <w:sz w:val="32"/>
          <w:szCs w:val="32"/>
          <w:lang w:val="en-US" w:eastAsia="zh-CN" w:bidi="ar-SA"/>
        </w:rPr>
        <w:t>本部门2023年度政府采购支出总额0万元，其中：政府采购货物支出0 万元、政府采购工程支出0 万元、政府采购服务支出0万元。授予中小企业合同金额0万元，占政府采购支出总额的0.0%，其中：授予小微企业合同金额0万元，占授予中小企业合同金额的0.0%；货物采购授予中小企业合同金额占货物支出金额的0.0%，工程采购授予中小企业合同金额占工程支出金额的0.0%，服务采购授予中小企业合同金额占服务支出金额的0.0%。</w:t>
      </w:r>
    </w:p>
    <w:p>
      <w:pPr>
        <w:pStyle w:val="10"/>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pPr>
        <w:pStyle w:val="20"/>
        <w:rPr>
          <w:rFonts w:hint="default" w:ascii="Times New Roman" w:hAnsi="Times New Roman" w:eastAsia="黑体" w:cs="Times New Roman"/>
          <w:color w:val="000000"/>
          <w:kern w:val="0"/>
          <w:sz w:val="32"/>
          <w:szCs w:val="32"/>
          <w:lang w:val="en-US" w:eastAsia="zh-CN"/>
        </w:rPr>
      </w:pPr>
      <w:r>
        <w:rPr>
          <w:rFonts w:hint="eastAsia" w:ascii="Times New Roman" w:hAnsi="Times New Roman" w:eastAsia="黑体" w:cs="Times New Roman"/>
          <w:color w:val="000000"/>
          <w:kern w:val="0"/>
          <w:sz w:val="32"/>
          <w:szCs w:val="32"/>
          <w:lang w:val="en-US" w:eastAsia="zh-CN"/>
        </w:rPr>
        <w:t xml:space="preserve">  </w:t>
      </w:r>
      <w:r>
        <w:rPr>
          <w:rFonts w:hint="eastAsia" w:ascii="Times New Roman" w:hAnsi="Times New Roman" w:cs="Times New Roman"/>
          <w:color w:val="000000"/>
          <w:kern w:val="0"/>
          <w:sz w:val="32"/>
          <w:szCs w:val="32"/>
          <w:lang w:val="en-US" w:eastAsia="zh-CN"/>
        </w:rPr>
        <w:t xml:space="preserve"> </w:t>
      </w:r>
      <w:r>
        <w:rPr>
          <w:rFonts w:hint="eastAsia" w:ascii="仿宋" w:hAnsi="仿宋" w:eastAsia="仿宋" w:cs="黑体"/>
          <w:color w:val="000000"/>
          <w:kern w:val="0"/>
          <w:sz w:val="32"/>
          <w:szCs w:val="32"/>
          <w:lang w:val="en-US" w:eastAsia="zh-CN" w:bidi="ar-SA"/>
        </w:rPr>
        <w:t>截至2023年12月31日，部门（单位）共有车辆0辆，其中，主要领导干部用车0辆，机要通信用车0辆、应急保障用车0辆、执法执勤用车0辆、特种专业技术用车0辆、其他用车0辆；单位价值50万元以上通用设备0台（套）；单位价值100.0万元以上专用设备0台（套）。</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10"/>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根据预算绩效管理要求，我部门组织对2023年度一般公共预算项目支出全面开展绩效自评，其中，一级项目5个，二级项目0个，共涉及资金</w:t>
      </w:r>
      <w:r>
        <w:rPr>
          <w:rFonts w:hint="eastAsia" w:ascii="仿宋_GB2312" w:eastAsia="仿宋_GB2312"/>
          <w:sz w:val="32"/>
          <w:szCs w:val="32"/>
          <w:lang w:val="en-US" w:eastAsia="zh-CN"/>
        </w:rPr>
        <w:t>196.24</w:t>
      </w:r>
      <w:r>
        <w:rPr>
          <w:rFonts w:hint="eastAsia" w:ascii="仿宋" w:hAnsi="仿宋" w:eastAsia="仿宋" w:cs="黑体"/>
          <w:color w:val="000000"/>
          <w:kern w:val="0"/>
          <w:sz w:val="32"/>
          <w:szCs w:val="32"/>
          <w:lang w:val="en-US" w:eastAsia="zh-CN" w:bidi="ar-SA"/>
        </w:rPr>
        <w:t>万元，占一般公共预算项目支出总额的100.0%。对政府性基金预算项目支出开展绩效自评，放入了一般公共预算项目支出中开展绩效自评，共计涉及资金16万元，占政府性基金预算项目支出总额的100.0%。因本单位没有国有资本经营预算项目支出，没有组织对2023年度国有资本经营预算项目支出开展绩效自评。</w:t>
      </w:r>
    </w:p>
    <w:p>
      <w:pPr>
        <w:autoSpaceDE w:val="0"/>
        <w:autoSpaceDN w:val="0"/>
        <w:adjustRightInd w:val="0"/>
        <w:ind w:firstLine="640" w:firstLineChars="200"/>
        <w:jc w:val="left"/>
        <w:rPr>
          <w:rFonts w:hint="eastAsia" w:ascii="Times New Roman" w:hAnsi="Times New Roman" w:eastAsia="楷体_GB2312" w:cs="楷体_GB2312"/>
          <w:b/>
          <w:color w:val="000000"/>
          <w:kern w:val="0"/>
          <w:sz w:val="32"/>
          <w:szCs w:val="32"/>
        </w:rPr>
      </w:pPr>
      <w:r>
        <w:rPr>
          <w:rFonts w:hint="eastAsia" w:ascii="仿宋" w:hAnsi="仿宋" w:eastAsia="仿宋" w:cs="黑体"/>
          <w:color w:val="000000"/>
          <w:kern w:val="0"/>
          <w:sz w:val="32"/>
          <w:szCs w:val="32"/>
          <w:lang w:val="en-US" w:eastAsia="zh-CN" w:bidi="ar-SA"/>
        </w:rPr>
        <w:t>组织对“</w:t>
      </w:r>
      <w:r>
        <w:rPr>
          <w:rFonts w:hint="eastAsia" w:ascii="Times New Roman" w:hAnsi="Times New Roman" w:eastAsia="仿宋_GB2312" w:cs="Times New Roman"/>
          <w:color w:val="auto"/>
          <w:sz w:val="32"/>
          <w:szCs w:val="32"/>
          <w:lang w:eastAsia="zh-CN"/>
        </w:rPr>
        <w:t>融媒体中心专项经费</w:t>
      </w:r>
      <w:r>
        <w:rPr>
          <w:rFonts w:hint="eastAsia" w:ascii="仿宋" w:hAnsi="仿宋" w:eastAsia="仿宋" w:cs="黑体"/>
          <w:color w:val="000000"/>
          <w:kern w:val="0"/>
          <w:sz w:val="32"/>
          <w:szCs w:val="32"/>
          <w:lang w:val="en-US" w:eastAsia="zh-CN" w:bidi="ar-SA"/>
        </w:rPr>
        <w:t>”、</w:t>
      </w:r>
      <w:r>
        <w:rPr>
          <w:rFonts w:hint="default" w:ascii="Times New Roman" w:hAnsi="Times New Roman" w:eastAsia="仿宋_GB2312" w:cs="Times New Roman"/>
          <w:color w:val="auto"/>
          <w:sz w:val="32"/>
          <w:szCs w:val="32"/>
        </w:rPr>
        <w:t>“</w:t>
      </w:r>
      <w:r>
        <w:rPr>
          <w:rFonts w:hint="eastAsia" w:ascii="仿宋" w:hAnsi="仿宋" w:eastAsia="仿宋" w:cs="仿宋"/>
          <w:color w:val="auto"/>
          <w:sz w:val="32"/>
          <w:szCs w:val="32"/>
          <w:lang w:eastAsia="zh-CN"/>
        </w:rPr>
        <w:t>文明经费</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仿宋" w:hAnsi="仿宋" w:eastAsia="仿宋" w:cs="仿宋"/>
          <w:color w:val="auto"/>
          <w:sz w:val="32"/>
          <w:szCs w:val="32"/>
        </w:rPr>
        <w:t>秋瑾故居修复提质工程经费</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eastAsia" w:ascii="仿宋" w:hAnsi="仿宋" w:eastAsia="仿宋" w:cs="仿宋"/>
          <w:color w:val="auto"/>
          <w:sz w:val="32"/>
          <w:szCs w:val="32"/>
          <w:lang w:eastAsia="zh-CN"/>
        </w:rPr>
        <w:t>意识形态工作专项经费</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hint="eastAsia" w:ascii="仿宋" w:hAnsi="仿宋" w:eastAsia="仿宋" w:cs="仿宋"/>
          <w:color w:val="auto"/>
          <w:sz w:val="32"/>
          <w:szCs w:val="32"/>
        </w:rPr>
        <w:t>“2023年区直部门代理记账服务费”</w:t>
      </w:r>
      <w:r>
        <w:rPr>
          <w:rFonts w:hint="eastAsia" w:ascii="仿宋" w:hAnsi="仿宋" w:eastAsia="仿宋" w:cs="黑体"/>
          <w:color w:val="000000"/>
          <w:kern w:val="0"/>
          <w:sz w:val="32"/>
          <w:szCs w:val="32"/>
          <w:lang w:val="en-US" w:eastAsia="zh-CN" w:bidi="ar-SA"/>
        </w:rPr>
        <w:t>5个项目开展了</w:t>
      </w:r>
      <w:r>
        <w:rPr>
          <w:rFonts w:hint="eastAsia" w:ascii="仿宋_GB2312" w:hAnsi="仿宋" w:eastAsia="仿宋_GB2312"/>
          <w:sz w:val="32"/>
          <w:szCs w:val="32"/>
          <w:lang w:val="en-US" w:eastAsia="zh-CN"/>
        </w:rPr>
        <w:t>部门</w:t>
      </w:r>
      <w:r>
        <w:rPr>
          <w:rFonts w:hint="eastAsia" w:ascii="仿宋" w:hAnsi="仿宋" w:eastAsia="仿宋" w:cs="黑体"/>
          <w:color w:val="000000"/>
          <w:kern w:val="0"/>
          <w:sz w:val="32"/>
          <w:szCs w:val="32"/>
          <w:lang w:val="en-US" w:eastAsia="zh-CN" w:bidi="ar-SA"/>
        </w:rPr>
        <w:t>评价，涉及一般公共预算支出196.24万元，政府性基金预算支出16万元，国有资本经营预算支出0万元。</w:t>
      </w:r>
    </w:p>
    <w:p>
      <w:pPr>
        <w:pStyle w:val="10"/>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autoSpaceDE w:val="0"/>
        <w:autoSpaceDN w:val="0"/>
        <w:adjustRightInd w:val="0"/>
        <w:ind w:firstLine="640" w:firstLineChars="200"/>
        <w:jc w:val="left"/>
        <w:rPr>
          <w:rFonts w:hint="eastAsia" w:ascii="仿宋" w:hAnsi="仿宋" w:eastAsia="仿宋" w:cs="黑体"/>
          <w:color w:val="000000"/>
          <w:kern w:val="0"/>
          <w:sz w:val="32"/>
          <w:szCs w:val="32"/>
          <w:lang w:val="en-US" w:eastAsia="zh-CN" w:bidi="ar-SA"/>
        </w:rPr>
      </w:pPr>
      <w:r>
        <w:rPr>
          <w:rFonts w:hint="eastAsia" w:ascii="仿宋" w:hAnsi="仿宋" w:eastAsia="仿宋" w:cs="黑体"/>
          <w:color w:val="000000"/>
          <w:kern w:val="0"/>
          <w:sz w:val="32"/>
          <w:szCs w:val="32"/>
          <w:lang w:val="en-US" w:eastAsia="zh-CN" w:bidi="ar-SA"/>
        </w:rPr>
        <w:t>部门评价项目数量5个，将5个项目部门评价报告向社会公开。</w:t>
      </w:r>
    </w:p>
    <w:p>
      <w:pPr>
        <w:spacing w:line="580" w:lineRule="exact"/>
        <w:ind w:firstLine="640" w:firstLineChars="200"/>
        <w:rPr>
          <w:rFonts w:hint="eastAsia" w:ascii="仿宋" w:hAnsi="仿宋" w:eastAsia="仿宋" w:cs="黑体"/>
          <w:color w:val="000000"/>
          <w:kern w:val="0"/>
          <w:sz w:val="32"/>
          <w:szCs w:val="32"/>
          <w:lang w:val="en-US" w:eastAsia="zh-CN" w:bidi="ar-SA"/>
        </w:rPr>
      </w:pPr>
      <w:r>
        <w:rPr>
          <w:rFonts w:hint="eastAsia" w:ascii="Times New Roman" w:hAnsi="Times New Roman" w:eastAsia="仿宋_GB2312" w:cs="Times New Roman"/>
          <w:color w:val="auto"/>
          <w:sz w:val="32"/>
          <w:szCs w:val="32"/>
          <w:lang w:eastAsia="zh-CN"/>
        </w:rPr>
        <w:t>融媒体</w:t>
      </w:r>
      <w:r>
        <w:rPr>
          <w:rFonts w:hint="eastAsia" w:ascii="仿宋_GB2312" w:hAnsi="仿宋" w:eastAsia="仿宋_GB2312"/>
          <w:sz w:val="32"/>
          <w:szCs w:val="32"/>
          <w:lang w:eastAsia="zh-CN"/>
        </w:rPr>
        <w:t>中心专项经费</w:t>
      </w:r>
      <w:r>
        <w:rPr>
          <w:rFonts w:hint="eastAsia" w:ascii="仿宋_GB2312" w:hAnsi="仿宋" w:eastAsia="仿宋_GB2312"/>
          <w:sz w:val="32"/>
          <w:szCs w:val="32"/>
          <w:lang w:val="en-US" w:eastAsia="zh-CN"/>
        </w:rPr>
        <w:t>绩效自评综述：根据年初设定的绩效目标，项目绩效自评得分为99.92分。项目全年预算数为38.72万元，执行数为38.57万元，完成预算的99.61%。项目绩效目标</w:t>
      </w:r>
      <w:r>
        <w:rPr>
          <w:rFonts w:hint="eastAsia" w:ascii="仿宋" w:hAnsi="仿宋" w:eastAsia="仿宋" w:cs="黑体"/>
          <w:color w:val="000000"/>
          <w:kern w:val="0"/>
          <w:sz w:val="32"/>
          <w:szCs w:val="32"/>
          <w:lang w:val="en-US" w:eastAsia="zh-CN" w:bidi="ar-SA"/>
        </w:rPr>
        <w:t>完成情况：</w:t>
      </w:r>
      <w:r>
        <w:rPr>
          <w:rFonts w:hint="eastAsia" w:ascii="仿宋" w:hAnsi="仿宋" w:eastAsia="仿宋" w:cs="仿宋"/>
          <w:color w:val="auto"/>
          <w:sz w:val="32"/>
          <w:szCs w:val="32"/>
        </w:rPr>
        <w:t>主要用于</w:t>
      </w:r>
      <w:r>
        <w:rPr>
          <w:rFonts w:hint="eastAsia" w:ascii="仿宋" w:hAnsi="仿宋" w:eastAsia="仿宋" w:cs="仿宋"/>
          <w:sz w:val="32"/>
          <w:szCs w:val="32"/>
          <w:lang w:eastAsia="zh-CN"/>
        </w:rPr>
        <w:t>维持融媒体中心的运转。</w:t>
      </w:r>
      <w:r>
        <w:rPr>
          <w:rFonts w:hint="eastAsia" w:ascii="仿宋" w:hAnsi="仿宋" w:eastAsia="仿宋" w:cs="仿宋"/>
          <w:sz w:val="32"/>
          <w:szCs w:val="32"/>
        </w:rPr>
        <w:t>广泛宣传我区在经济、政治、文化、社会、生态等各方面取得的成就，加强队伍建设。</w:t>
      </w:r>
      <w:r>
        <w:rPr>
          <w:rFonts w:hint="eastAsia" w:ascii="仿宋" w:hAnsi="仿宋" w:eastAsia="仿宋" w:cs="黑体"/>
          <w:color w:val="000000"/>
          <w:kern w:val="0"/>
          <w:sz w:val="32"/>
          <w:szCs w:val="32"/>
          <w:lang w:val="en-US" w:eastAsia="zh-CN" w:bidi="ar-SA"/>
        </w:rPr>
        <w:t>发现的主要问题及原因：无。下一步改进措施：无。</w:t>
      </w:r>
    </w:p>
    <w:p>
      <w:pPr>
        <w:keepNext w:val="0"/>
        <w:keepLines w:val="0"/>
        <w:pageBreakBefore w:val="0"/>
        <w:widowControl w:val="0"/>
        <w:kinsoku/>
        <w:wordWrap/>
        <w:overflowPunct/>
        <w:topLinePunct w:val="0"/>
        <w:autoSpaceDE/>
        <w:autoSpaceDN/>
        <w:bidi w:val="0"/>
        <w:spacing w:line="560" w:lineRule="exact"/>
        <w:ind w:firstLine="627" w:firstLineChars="196"/>
        <w:textAlignment w:val="auto"/>
        <w:rPr>
          <w:rFonts w:hint="eastAsia" w:ascii="仿宋" w:hAnsi="仿宋" w:eastAsia="仿宋" w:cs="黑体"/>
          <w:color w:val="000000"/>
          <w:kern w:val="0"/>
          <w:sz w:val="32"/>
          <w:szCs w:val="32"/>
          <w:lang w:val="en-US" w:eastAsia="zh-CN" w:bidi="ar-SA"/>
        </w:rPr>
      </w:pPr>
      <w:r>
        <w:rPr>
          <w:rFonts w:hint="eastAsia" w:ascii="Times New Roman" w:hAnsi="Times New Roman" w:eastAsia="仿宋_GB2312" w:cs="Times New Roman"/>
          <w:color w:val="auto"/>
          <w:sz w:val="32"/>
          <w:szCs w:val="32"/>
          <w:highlight w:val="none"/>
          <w:lang w:eastAsia="zh-CN"/>
        </w:rPr>
        <w:t>意识形态工作专项经费</w:t>
      </w:r>
      <w:r>
        <w:rPr>
          <w:rFonts w:hint="eastAsia" w:ascii="仿宋" w:hAnsi="仿宋" w:eastAsia="仿宋" w:cs="黑体"/>
          <w:color w:val="000000"/>
          <w:kern w:val="0"/>
          <w:sz w:val="32"/>
          <w:szCs w:val="32"/>
          <w:lang w:val="en-US" w:eastAsia="zh-CN" w:bidi="ar-SA"/>
        </w:rPr>
        <w:t>绩效自评综述：根据年初设定的绩效目标，项目绩效自评得分</w:t>
      </w:r>
      <w:r>
        <w:rPr>
          <w:rFonts w:hint="eastAsia" w:ascii="仿宋_GB2312" w:hAnsi="仿宋" w:eastAsia="仿宋_GB2312"/>
          <w:sz w:val="32"/>
          <w:szCs w:val="32"/>
          <w:lang w:val="en-US" w:eastAsia="zh-CN"/>
        </w:rPr>
        <w:t>为91.24分。项目全年预算数为126.32万元，执行数为71.03万元，完成预算的56.23%。</w:t>
      </w:r>
      <w:r>
        <w:rPr>
          <w:rFonts w:hint="eastAsia" w:ascii="仿宋" w:hAnsi="仿宋" w:eastAsia="仿宋" w:cs="黑体"/>
          <w:color w:val="000000"/>
          <w:kern w:val="0"/>
          <w:sz w:val="32"/>
          <w:szCs w:val="32"/>
          <w:lang w:val="en-US" w:eastAsia="zh-CN" w:bidi="ar-SA"/>
        </w:rPr>
        <w:t>项目绩效目标完成情况：</w:t>
      </w:r>
      <w:r>
        <w:rPr>
          <w:rFonts w:hint="default" w:ascii="Times New Roman" w:hAnsi="Times New Roman" w:eastAsia="仿宋_GB2312" w:cs="Times New Roman"/>
          <w:color w:val="auto"/>
          <w:sz w:val="32"/>
          <w:szCs w:val="32"/>
        </w:rPr>
        <w:t>主要用于</w:t>
      </w:r>
      <w:r>
        <w:rPr>
          <w:rFonts w:hint="eastAsia" w:ascii="Times New Roman" w:hAnsi="Times New Roman" w:eastAsia="仿宋_GB2312" w:cs="Times New Roman"/>
          <w:color w:val="auto"/>
          <w:sz w:val="32"/>
          <w:szCs w:val="32"/>
        </w:rPr>
        <w:t>深入学习宣传贯彻习近平新时代中国特色社会主义思想</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牢牢守好意识形态主阵地</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持续加强党对意识形态工作的全面领导</w:t>
      </w:r>
      <w:r>
        <w:rPr>
          <w:rFonts w:hint="eastAsia" w:ascii="Times New Roman" w:hAnsi="Times New Roman" w:eastAsia="仿宋_GB2312" w:cs="Times New Roman"/>
          <w:color w:val="auto"/>
          <w:sz w:val="32"/>
          <w:szCs w:val="32"/>
          <w:lang w:eastAsia="zh-CN"/>
        </w:rPr>
        <w:t>。</w:t>
      </w:r>
      <w:r>
        <w:rPr>
          <w:rFonts w:hint="eastAsia" w:ascii="仿宋" w:hAnsi="仿宋" w:eastAsia="仿宋" w:cs="黑体"/>
          <w:color w:val="000000"/>
          <w:kern w:val="0"/>
          <w:sz w:val="32"/>
          <w:szCs w:val="32"/>
          <w:lang w:val="en-US" w:eastAsia="zh-CN" w:bidi="ar-SA"/>
        </w:rPr>
        <w:t>发现的主要问题及原因：资金执行率偏点。下一步改进措施：加大资金支付力度。</w:t>
      </w:r>
    </w:p>
    <w:p>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960" w:firstLineChars="300"/>
        <w:jc w:val="left"/>
        <w:textAlignment w:val="auto"/>
        <w:rPr>
          <w:rFonts w:hint="eastAsia" w:ascii="仿宋" w:hAnsi="仿宋" w:eastAsia="仿宋" w:cs="黑体"/>
          <w:color w:val="000000"/>
          <w:kern w:val="0"/>
          <w:sz w:val="32"/>
          <w:szCs w:val="32"/>
          <w:lang w:val="en-US" w:eastAsia="zh-CN" w:bidi="ar-SA"/>
        </w:rPr>
      </w:pPr>
      <w:r>
        <w:rPr>
          <w:rFonts w:hint="default" w:ascii="Times New Roman" w:hAnsi="Times New Roman" w:eastAsia="仿宋_GB2312" w:cs="Times New Roman"/>
          <w:color w:val="auto"/>
          <w:sz w:val="32"/>
          <w:szCs w:val="32"/>
        </w:rPr>
        <w:t>秋瑾故居修复提质工程经费</w:t>
      </w:r>
      <w:r>
        <w:rPr>
          <w:rFonts w:hint="eastAsia" w:ascii="仿宋" w:hAnsi="仿宋" w:eastAsia="仿宋" w:cs="黑体"/>
          <w:color w:val="000000"/>
          <w:kern w:val="0"/>
          <w:sz w:val="32"/>
          <w:szCs w:val="32"/>
          <w:lang w:val="en-US" w:eastAsia="zh-CN" w:bidi="ar-SA"/>
        </w:rPr>
        <w:t>绩效自评综述：根据年初设定的绩效目标，项目绩效自评得分为97.3分。</w:t>
      </w:r>
      <w:r>
        <w:rPr>
          <w:rFonts w:hint="eastAsia" w:ascii="Times New Roman" w:hAnsi="Times New Roman" w:eastAsia="仿宋_GB2312" w:cs="Times New Roman"/>
          <w:color w:val="auto"/>
          <w:sz w:val="32"/>
          <w:szCs w:val="32"/>
          <w:lang w:val="en-US" w:eastAsia="zh-CN"/>
        </w:rPr>
        <w:t>项目全年预算数为22.74万元，执行数为19.68万元，完成预算的86.54%。项目绩效</w:t>
      </w:r>
      <w:r>
        <w:rPr>
          <w:rFonts w:hint="eastAsia" w:ascii="仿宋" w:hAnsi="仿宋" w:eastAsia="仿宋" w:cs="黑体"/>
          <w:color w:val="000000"/>
          <w:kern w:val="0"/>
          <w:sz w:val="32"/>
          <w:szCs w:val="32"/>
          <w:lang w:val="en-US" w:eastAsia="zh-CN" w:bidi="ar-SA"/>
        </w:rPr>
        <w:t>目标完成情况：</w:t>
      </w:r>
      <w:r>
        <w:rPr>
          <w:rFonts w:hint="eastAsia" w:ascii="仿宋" w:hAnsi="仿宋" w:eastAsia="仿宋" w:cs="仿宋"/>
          <w:color w:val="auto"/>
          <w:sz w:val="32"/>
          <w:szCs w:val="32"/>
        </w:rPr>
        <w:t>主要用于秋瑾故居</w:t>
      </w:r>
      <w:r>
        <w:rPr>
          <w:rFonts w:hint="eastAsia" w:ascii="仿宋" w:hAnsi="仿宋" w:eastAsia="仿宋" w:cs="仿宋"/>
          <w:color w:val="auto"/>
          <w:sz w:val="32"/>
          <w:szCs w:val="32"/>
          <w:lang w:eastAsia="zh-CN"/>
        </w:rPr>
        <w:t>进行修复。</w:t>
      </w:r>
      <w:r>
        <w:rPr>
          <w:rFonts w:hint="eastAsia" w:ascii="仿宋" w:hAnsi="仿宋" w:eastAsia="仿宋" w:cs="黑体"/>
          <w:color w:val="000000"/>
          <w:kern w:val="0"/>
          <w:sz w:val="32"/>
          <w:szCs w:val="32"/>
          <w:lang w:val="en-US" w:eastAsia="zh-CN" w:bidi="ar-SA"/>
        </w:rPr>
        <w:t>发现的主要问题及原因：无。下一步改进措施：无。</w:t>
      </w:r>
    </w:p>
    <w:p>
      <w:pPr>
        <w:tabs>
          <w:tab w:val="left" w:pos="7560"/>
        </w:tabs>
        <w:adjustRightInd w:val="0"/>
        <w:snapToGrid w:val="0"/>
        <w:spacing w:line="540" w:lineRule="exact"/>
        <w:ind w:firstLine="420" w:firstLineChars="200"/>
        <w:jc w:val="left"/>
        <w:rPr>
          <w:rFonts w:hint="eastAsia" w:ascii="仿宋" w:hAnsi="仿宋" w:eastAsia="仿宋" w:cs="黑体"/>
          <w:color w:val="000000"/>
          <w:kern w:val="0"/>
          <w:sz w:val="32"/>
          <w:szCs w:val="32"/>
          <w:lang w:val="en-US" w:eastAsia="zh-CN" w:bidi="ar-SA"/>
        </w:rPr>
      </w:pPr>
      <w:r>
        <w:rPr>
          <w:rFonts w:hint="eastAsia"/>
          <w:lang w:val="en-US" w:eastAsia="zh-CN"/>
        </w:rPr>
        <w:t xml:space="preserve">    </w:t>
      </w:r>
      <w:r>
        <w:rPr>
          <w:rFonts w:hint="eastAsia" w:ascii="仿宋" w:hAnsi="仿宋" w:eastAsia="仿宋" w:cs="仿宋"/>
          <w:color w:val="auto"/>
          <w:sz w:val="32"/>
          <w:szCs w:val="32"/>
        </w:rPr>
        <w:t>2023年区直部门代理记账服务费</w:t>
      </w:r>
      <w:r>
        <w:rPr>
          <w:rFonts w:hint="eastAsia" w:ascii="仿宋" w:hAnsi="仿宋" w:eastAsia="仿宋" w:cs="黑体"/>
          <w:color w:val="000000"/>
          <w:kern w:val="0"/>
          <w:sz w:val="32"/>
          <w:szCs w:val="32"/>
          <w:lang w:val="en-US" w:eastAsia="zh-CN" w:bidi="ar-SA"/>
        </w:rPr>
        <w:t>绩效自评综述：根据年初设定的绩效目标，项目绩效自评得分为100分。项目全年预算数为0.48万元，执行数为0.48万元，完成预算的100%。项目绩效目标完成情况：</w:t>
      </w:r>
      <w:r>
        <w:rPr>
          <w:rFonts w:hint="default" w:ascii="仿宋" w:hAnsi="仿宋" w:eastAsia="仿宋" w:cs="黑体"/>
          <w:color w:val="000000"/>
          <w:kern w:val="0"/>
          <w:sz w:val="32"/>
          <w:szCs w:val="32"/>
          <w:lang w:val="en-US" w:eastAsia="zh-CN" w:bidi="ar-SA"/>
        </w:rPr>
        <w:t>主要用于</w:t>
      </w:r>
      <w:r>
        <w:rPr>
          <w:rFonts w:hint="eastAsia" w:ascii="仿宋" w:hAnsi="仿宋" w:eastAsia="仿宋" w:cs="黑体"/>
          <w:color w:val="000000"/>
          <w:kern w:val="0"/>
          <w:sz w:val="32"/>
          <w:szCs w:val="32"/>
          <w:lang w:val="en-US" w:eastAsia="zh-CN" w:bidi="ar-SA"/>
        </w:rPr>
        <w:t>发放代理记账人员记账服务费。发现的主要问题及原因：无。下一步改进措施：无。</w:t>
      </w:r>
    </w:p>
    <w:p>
      <w:pPr>
        <w:tabs>
          <w:tab w:val="left" w:pos="7560"/>
        </w:tabs>
        <w:adjustRightInd w:val="0"/>
        <w:snapToGrid w:val="0"/>
        <w:spacing w:line="540" w:lineRule="exact"/>
        <w:ind w:firstLine="640" w:firstLineChars="200"/>
        <w:jc w:val="left"/>
        <w:rPr>
          <w:rFonts w:hint="default" w:ascii="Times New Roman" w:hAnsi="Times New Roman" w:eastAsia="楷体_GB2312" w:cs="Times New Roman"/>
          <w:b/>
          <w:color w:val="000000"/>
          <w:kern w:val="0"/>
          <w:sz w:val="32"/>
          <w:szCs w:val="32"/>
          <w:lang w:val="en-US" w:eastAsia="zh-CN"/>
        </w:rPr>
      </w:pPr>
      <w:r>
        <w:rPr>
          <w:rFonts w:hint="eastAsia" w:ascii="仿宋" w:hAnsi="仿宋" w:eastAsia="仿宋" w:cs="仿宋"/>
          <w:color w:val="auto"/>
          <w:sz w:val="32"/>
          <w:szCs w:val="32"/>
          <w:lang w:eastAsia="zh-CN"/>
        </w:rPr>
        <w:t>文明经费</w:t>
      </w:r>
      <w:r>
        <w:rPr>
          <w:rFonts w:hint="eastAsia" w:ascii="仿宋" w:hAnsi="仿宋" w:eastAsia="仿宋" w:cs="黑体"/>
          <w:color w:val="000000"/>
          <w:kern w:val="0"/>
          <w:sz w:val="32"/>
          <w:szCs w:val="32"/>
          <w:lang w:val="en-US" w:eastAsia="zh-CN" w:bidi="ar-SA"/>
        </w:rPr>
        <w:t>绩效自评综述：根据年初设定的绩效目标，项目绩效自评得分为93.46分。项目全年预算数为122.51万元，执行数为82.48万元，完成预算的67.33%。项目绩效目标完成情况：</w:t>
      </w:r>
      <w:r>
        <w:rPr>
          <w:rFonts w:hint="eastAsia" w:ascii="仿宋" w:hAnsi="仿宋" w:eastAsia="仿宋" w:cs="仿宋"/>
          <w:color w:val="000000"/>
          <w:sz w:val="32"/>
          <w:szCs w:val="32"/>
        </w:rPr>
        <w:t>主要用于文明建设和文明创建</w:t>
      </w:r>
      <w:r>
        <w:rPr>
          <w:rFonts w:hint="eastAsia" w:ascii="仿宋" w:hAnsi="仿宋" w:eastAsia="仿宋" w:cs="仿宋"/>
          <w:color w:val="000000"/>
          <w:sz w:val="32"/>
          <w:szCs w:val="32"/>
          <w:lang w:eastAsia="zh-CN"/>
        </w:rPr>
        <w:t>工作相关业务支出。</w:t>
      </w:r>
      <w:r>
        <w:rPr>
          <w:rFonts w:hint="eastAsia" w:ascii="仿宋" w:hAnsi="仿宋" w:eastAsia="仿宋" w:cs="仿宋"/>
          <w:sz w:val="32"/>
          <w:szCs w:val="32"/>
          <w:lang w:val="en-US" w:eastAsia="zh-CN"/>
        </w:rPr>
        <w:t xml:space="preserve"> </w:t>
      </w:r>
      <w:r>
        <w:rPr>
          <w:rFonts w:hint="eastAsia" w:ascii="仿宋" w:hAnsi="仿宋" w:eastAsia="仿宋" w:cs="黑体"/>
          <w:color w:val="000000"/>
          <w:kern w:val="0"/>
          <w:sz w:val="32"/>
          <w:szCs w:val="32"/>
          <w:lang w:val="en-US" w:eastAsia="zh-CN" w:bidi="ar-SA"/>
        </w:rPr>
        <w:t>发现的主要问题及原因：资金执行率偏点。下一步改进措施：加大资金支付力度。</w:t>
      </w:r>
    </w:p>
    <w:p>
      <w:pPr>
        <w:pStyle w:val="10"/>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20"/>
        <w:jc w:val="center"/>
        <w:rPr>
          <w:rFonts w:ascii="Times New Roman" w:hAnsi="Times New Roman" w:eastAsia="方正小标宋简体" w:cs="Times New Roman"/>
          <w:sz w:val="76"/>
          <w:szCs w:val="76"/>
        </w:rPr>
      </w:pPr>
    </w:p>
    <w:p>
      <w:pPr>
        <w:pStyle w:val="20"/>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pStyle w:val="20"/>
        <w:jc w:val="both"/>
        <w:rPr>
          <w:rFonts w:hint="eastAsia" w:ascii="Times New Roman" w:hAnsi="Times New Roman" w:cs="Times New Roman"/>
          <w:sz w:val="72"/>
          <w:szCs w:val="72"/>
        </w:rPr>
      </w:pPr>
    </w:p>
    <w:p>
      <w:pPr>
        <w:pStyle w:val="20"/>
        <w:jc w:val="both"/>
        <w:rPr>
          <w:rFonts w:ascii="Times New Roman" w:hAnsi="Times New Roman" w:cs="Times New Roman"/>
          <w:sz w:val="84"/>
          <w:szCs w:val="84"/>
        </w:rPr>
      </w:pPr>
    </w:p>
    <w:p>
      <w:pPr>
        <w:pStyle w:val="20"/>
        <w:jc w:val="both"/>
        <w:rPr>
          <w:rFonts w:ascii="Times New Roman" w:hAnsi="Times New Roman" w:cs="Times New Roman"/>
          <w:sz w:val="84"/>
          <w:szCs w:val="84"/>
        </w:rPr>
      </w:pPr>
    </w:p>
    <w:p>
      <w:pPr>
        <w:pStyle w:val="20"/>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20"/>
        <w:jc w:val="center"/>
        <w:rPr>
          <w:rFonts w:ascii="Times New Roman" w:hAnsi="Times New Roman" w:eastAsia="方正小标宋简体" w:cs="Times New Roman"/>
          <w:sz w:val="56"/>
          <w:szCs w:val="56"/>
        </w:rPr>
      </w:pPr>
    </w:p>
    <w:p>
      <w:pPr>
        <w:pStyle w:val="20"/>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 xml:space="preserve">附  </w:t>
      </w:r>
      <w:bookmarkStart w:id="0" w:name="_GoBack"/>
      <w:bookmarkEnd w:id="0"/>
      <w:r>
        <w:rPr>
          <w:rFonts w:ascii="Times New Roman" w:hAnsi="Times New Roman" w:eastAsia="方正小标宋简体" w:cs="Times New Roman"/>
          <w:sz w:val="56"/>
          <w:szCs w:val="56"/>
        </w:rPr>
        <w:t>件</w:t>
      </w:r>
    </w:p>
    <w:p>
      <w:pPr>
        <w:pStyle w:val="20"/>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20"/>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20"/>
        <w:spacing w:line="596" w:lineRule="exact"/>
        <w:jc w:val="center"/>
        <w:rPr>
          <w:rFonts w:hint="eastAsia" w:ascii="Times New Roman" w:hAnsi="Times New Roman" w:eastAsia="方正小标宋简体" w:cs="Times New Roman"/>
          <w:sz w:val="32"/>
          <w:szCs w:val="32"/>
          <w:lang w:eastAsia="zh-CN"/>
        </w:rPr>
      </w:pPr>
    </w:p>
    <w:p>
      <w:pPr>
        <w:pStyle w:val="20"/>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A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8"/>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8"/>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75CB3A"/>
    <w:multiLevelType w:val="singleLevel"/>
    <w:tmpl w:val="A075CB3A"/>
    <w:lvl w:ilvl="0" w:tentative="0">
      <w:start w:val="10"/>
      <w:numFmt w:val="chineseCounting"/>
      <w:suff w:val="nothing"/>
      <w:lvlText w:val="%1、"/>
      <w:lvlJc w:val="left"/>
      <w:rPr>
        <w:rFonts w:hint="eastAsia"/>
      </w:rPr>
    </w:lvl>
  </w:abstractNum>
  <w:abstractNum w:abstractNumId="1">
    <w:nsid w:val="FECC562C"/>
    <w:multiLevelType w:val="singleLevel"/>
    <w:tmpl w:val="FECC562C"/>
    <w:lvl w:ilvl="0" w:tentative="0">
      <w:start w:val="2"/>
      <w:numFmt w:val="chineseCounting"/>
      <w:suff w:val="nothing"/>
      <w:lvlText w:val="（%1）"/>
      <w:lvlJc w:val="left"/>
      <w:rPr>
        <w:rFonts w:hint="eastAsia"/>
      </w:rPr>
    </w:lvl>
  </w:abstractNum>
  <w:abstractNum w:abstractNumId="2">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7E26B6B"/>
    <w:multiLevelType w:val="singleLevel"/>
    <w:tmpl w:val="27E26B6B"/>
    <w:lvl w:ilvl="0" w:tentative="0">
      <w:start w:val="1"/>
      <w:numFmt w:val="chineseCounting"/>
      <w:suff w:val="nothing"/>
      <w:lvlText w:val="%1、"/>
      <w:lvlJc w:val="left"/>
      <w:rPr>
        <w:rFonts w:hint="eastAsia"/>
      </w:rPr>
    </w:lvl>
  </w:abstractNum>
  <w:abstractNum w:abstractNumId="4">
    <w:nsid w:val="28AFE496"/>
    <w:multiLevelType w:val="singleLevel"/>
    <w:tmpl w:val="28AFE496"/>
    <w:lvl w:ilvl="0" w:tentative="0">
      <w:start w:val="2"/>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5N2ZmOTYyYjI4MDhhN2ZkMjhkZGU0ZDI5ZTdkOWM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5DA16C7"/>
    <w:rsid w:val="06915006"/>
    <w:rsid w:val="0751274D"/>
    <w:rsid w:val="07634BF4"/>
    <w:rsid w:val="07A77932"/>
    <w:rsid w:val="08F14AE1"/>
    <w:rsid w:val="09161AC6"/>
    <w:rsid w:val="0B567F72"/>
    <w:rsid w:val="0C7C6B53"/>
    <w:rsid w:val="0D3F15F5"/>
    <w:rsid w:val="0EF6245F"/>
    <w:rsid w:val="11E43B98"/>
    <w:rsid w:val="13692089"/>
    <w:rsid w:val="13736122"/>
    <w:rsid w:val="18985D2F"/>
    <w:rsid w:val="18FA38C9"/>
    <w:rsid w:val="1B323160"/>
    <w:rsid w:val="1B714E5F"/>
    <w:rsid w:val="1E532BCB"/>
    <w:rsid w:val="1EBE63A2"/>
    <w:rsid w:val="1F041D62"/>
    <w:rsid w:val="1F6317DE"/>
    <w:rsid w:val="1F745786"/>
    <w:rsid w:val="21B1218A"/>
    <w:rsid w:val="238B2E7B"/>
    <w:rsid w:val="2AD95BF4"/>
    <w:rsid w:val="2ED9DCF0"/>
    <w:rsid w:val="2F101369"/>
    <w:rsid w:val="321612FC"/>
    <w:rsid w:val="32B56379"/>
    <w:rsid w:val="36DE1334"/>
    <w:rsid w:val="38090922"/>
    <w:rsid w:val="38D75D21"/>
    <w:rsid w:val="395219B1"/>
    <w:rsid w:val="46BE0A2A"/>
    <w:rsid w:val="472236C4"/>
    <w:rsid w:val="47867568"/>
    <w:rsid w:val="47C05439"/>
    <w:rsid w:val="4B1C68ED"/>
    <w:rsid w:val="4B8003CD"/>
    <w:rsid w:val="4F7F87CF"/>
    <w:rsid w:val="4F976C0B"/>
    <w:rsid w:val="523F5138"/>
    <w:rsid w:val="538D47D7"/>
    <w:rsid w:val="538E105C"/>
    <w:rsid w:val="53BF69FD"/>
    <w:rsid w:val="591A5257"/>
    <w:rsid w:val="5D2E7409"/>
    <w:rsid w:val="60841B7E"/>
    <w:rsid w:val="635D15B9"/>
    <w:rsid w:val="64714AD2"/>
    <w:rsid w:val="64857E64"/>
    <w:rsid w:val="65362C0A"/>
    <w:rsid w:val="65965345"/>
    <w:rsid w:val="65F04BE5"/>
    <w:rsid w:val="6A484E25"/>
    <w:rsid w:val="6E0F6D2F"/>
    <w:rsid w:val="6EAE4254"/>
    <w:rsid w:val="74205B29"/>
    <w:rsid w:val="75F714AD"/>
    <w:rsid w:val="78081C98"/>
    <w:rsid w:val="7DC2177C"/>
    <w:rsid w:val="7EAA7C1A"/>
    <w:rsid w:val="9FB73C57"/>
    <w:rsid w:val="DDF806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正文文字"/>
    <w:basedOn w:val="3"/>
    <w:next w:val="1"/>
    <w:qFormat/>
    <w:uiPriority w:val="99"/>
    <w:pPr>
      <w:spacing w:before="100" w:beforeAutospacing="1" w:after="120"/>
    </w:pPr>
  </w:style>
  <w:style w:type="paragraph" w:customStyle="1" w:styleId="3">
    <w:name w:val="正文1"/>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annotation text"/>
    <w:basedOn w:val="1"/>
    <w:link w:val="15"/>
    <w:semiHidden/>
    <w:qFormat/>
    <w:uiPriority w:val="99"/>
    <w:pPr>
      <w:jc w:val="left"/>
    </w:pPr>
  </w:style>
  <w:style w:type="paragraph" w:styleId="5">
    <w:name w:val="Body Text"/>
    <w:basedOn w:val="1"/>
    <w:link w:val="16"/>
    <w:qFormat/>
    <w:uiPriority w:val="99"/>
    <w:pPr>
      <w:spacing w:before="100" w:beforeAutospacing="1" w:after="120"/>
    </w:pPr>
    <w:rPr>
      <w:rFonts w:ascii="Times New Roman" w:hAnsi="Times New Roman" w:cs="Times New Roman"/>
    </w:rPr>
  </w:style>
  <w:style w:type="paragraph" w:styleId="6">
    <w:name w:val="Body Text Indent"/>
    <w:basedOn w:val="1"/>
    <w:unhideWhenUsed/>
    <w:qFormat/>
    <w:uiPriority w:val="99"/>
    <w:pPr>
      <w:spacing w:after="120"/>
      <w:ind w:left="420" w:leftChars="200"/>
    </w:pPr>
  </w:style>
  <w:style w:type="paragraph" w:styleId="7">
    <w:name w:val="Balloon Text"/>
    <w:basedOn w:val="1"/>
    <w:link w:val="17"/>
    <w:semiHidden/>
    <w:qFormat/>
    <w:uiPriority w:val="99"/>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2"/>
    <w:basedOn w:val="6"/>
    <w:next w:val="1"/>
    <w:qFormat/>
    <w:uiPriority w:val="0"/>
    <w:pPr>
      <w:widowControl w:val="0"/>
      <w:adjustRightInd/>
      <w:snapToGrid/>
      <w:spacing w:after="0" w:line="600" w:lineRule="exact"/>
      <w:ind w:left="0" w:leftChars="0"/>
      <w:jc w:val="both"/>
    </w:pPr>
    <w:rPr>
      <w:rFonts w:ascii="Times New Roman" w:hAnsi="Times New Roman" w:eastAsia="宋体" w:cs="Times New Roman"/>
      <w:kern w:val="2"/>
      <w:sz w:val="21"/>
      <w:szCs w:val="24"/>
    </w:rPr>
  </w:style>
  <w:style w:type="character" w:styleId="14">
    <w:name w:val="annotation reference"/>
    <w:basedOn w:val="13"/>
    <w:semiHidden/>
    <w:qFormat/>
    <w:uiPriority w:val="99"/>
    <w:rPr>
      <w:sz w:val="21"/>
      <w:szCs w:val="21"/>
    </w:rPr>
  </w:style>
  <w:style w:type="character" w:customStyle="1" w:styleId="15">
    <w:name w:val="批注文字 Char"/>
    <w:basedOn w:val="13"/>
    <w:link w:val="4"/>
    <w:semiHidden/>
    <w:qFormat/>
    <w:locked/>
    <w:uiPriority w:val="99"/>
    <w:rPr>
      <w:rFonts w:ascii="Calibri" w:hAnsi="Calibri" w:cs="Calibri"/>
      <w:sz w:val="21"/>
      <w:szCs w:val="21"/>
    </w:rPr>
  </w:style>
  <w:style w:type="character" w:customStyle="1" w:styleId="16">
    <w:name w:val="正文文本 Char"/>
    <w:basedOn w:val="13"/>
    <w:link w:val="5"/>
    <w:qFormat/>
    <w:locked/>
    <w:uiPriority w:val="99"/>
    <w:rPr>
      <w:rFonts w:eastAsia="宋体"/>
      <w:kern w:val="2"/>
      <w:sz w:val="21"/>
      <w:szCs w:val="21"/>
      <w:lang w:val="en-US" w:eastAsia="zh-CN"/>
    </w:rPr>
  </w:style>
  <w:style w:type="character" w:customStyle="1" w:styleId="17">
    <w:name w:val="批注框文本 Char"/>
    <w:basedOn w:val="13"/>
    <w:link w:val="7"/>
    <w:semiHidden/>
    <w:qFormat/>
    <w:locked/>
    <w:uiPriority w:val="99"/>
    <w:rPr>
      <w:sz w:val="18"/>
      <w:szCs w:val="18"/>
    </w:rPr>
  </w:style>
  <w:style w:type="character" w:customStyle="1" w:styleId="18">
    <w:name w:val="页脚 Char"/>
    <w:basedOn w:val="13"/>
    <w:link w:val="8"/>
    <w:qFormat/>
    <w:locked/>
    <w:uiPriority w:val="99"/>
    <w:rPr>
      <w:sz w:val="18"/>
      <w:szCs w:val="18"/>
    </w:rPr>
  </w:style>
  <w:style w:type="character" w:customStyle="1" w:styleId="19">
    <w:name w:val="页眉 Char"/>
    <w:basedOn w:val="13"/>
    <w:link w:val="9"/>
    <w:qFormat/>
    <w:locked/>
    <w:uiPriority w:val="99"/>
    <w:rPr>
      <w:sz w:val="18"/>
      <w:szCs w:val="18"/>
    </w:rPr>
  </w:style>
  <w:style w:type="paragraph" w:customStyle="1" w:styleId="2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1">
    <w:name w:val="List Paragraph"/>
    <w:basedOn w:val="1"/>
    <w:qFormat/>
    <w:uiPriority w:val="99"/>
    <w:pPr>
      <w:ind w:firstLine="420" w:firstLineChars="200"/>
    </w:pPr>
  </w:style>
  <w:style w:type="paragraph" w:customStyle="1" w:styleId="22">
    <w:name w:val="msonormal"/>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5022</Words>
  <Characters>5492</Characters>
  <Lines>56</Lines>
  <Paragraphs>15</Paragraphs>
  <TotalTime>77</TotalTime>
  <ScaleCrop>false</ScaleCrop>
  <LinksUpToDate>false</LinksUpToDate>
  <CharactersWithSpaces>5530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2020-07-03T10:32:00Z</dcterms:created>
  <dc:creator>李航 null</dc:creator>
  <cp:lastModifiedBy>lenovo</cp:lastModifiedBy>
  <cp:lastPrinted>2022-10-12T09:13:00Z</cp:lastPrinted>
  <dcterms:modified xsi:type="dcterms:W3CDTF">2024-11-21T03:52:34Z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D5AABCCCD1FB406CB3573171425540DE</vt:lpwstr>
  </property>
</Properties>
</file>