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09D7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附件1</w:t>
      </w:r>
    </w:p>
    <w:p w14:paraId="534C30A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6E1C3F5F">
      <w:pPr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sz w:val="48"/>
          <w:szCs w:val="44"/>
        </w:rPr>
      </w:pPr>
      <w:r>
        <w:rPr>
          <w:rFonts w:hint="eastAsia" w:ascii="Times New Roman" w:hAnsi="Times New Roman" w:eastAsia="方正小标宋简体" w:cs="Times New Roman"/>
          <w:sz w:val="48"/>
          <w:szCs w:val="44"/>
        </w:rPr>
        <w:t>2023年度部门（单位）整体支出</w:t>
      </w:r>
    </w:p>
    <w:p w14:paraId="59125833">
      <w:pPr>
        <w:snapToGrid w:val="0"/>
        <w:spacing w:line="560" w:lineRule="exact"/>
        <w:jc w:val="center"/>
        <w:rPr>
          <w:rFonts w:hint="eastAsia" w:ascii="Times New Roman" w:hAnsi="Times New Roman" w:eastAsia="方正大标宋简体" w:cs="Times New Roman"/>
          <w:sz w:val="48"/>
          <w:szCs w:val="52"/>
        </w:rPr>
      </w:pPr>
      <w:r>
        <w:rPr>
          <w:rFonts w:hint="eastAsia" w:ascii="Times New Roman" w:hAnsi="Times New Roman" w:eastAsia="方正小标宋简体" w:cs="Times New Roman"/>
          <w:sz w:val="48"/>
          <w:szCs w:val="44"/>
        </w:rPr>
        <w:t>绩效自评报告</w:t>
      </w:r>
    </w:p>
    <w:p w14:paraId="4390D2F9">
      <w:pPr>
        <w:spacing w:line="600" w:lineRule="exact"/>
        <w:ind w:firstLine="3520" w:firstLineChars="11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C416F9A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55AB336B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6C2214F6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275F9168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484E9374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0E603F7E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53B8906D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04157F4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156177C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B6AF72C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99D07C6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F11FC36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CC50F16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A88D174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03A8B0D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9CD7A03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674C3A0">
      <w:pPr>
        <w:spacing w:line="600" w:lineRule="exact"/>
        <w:ind w:firstLine="0" w:firstLineChars="0"/>
        <w:jc w:val="center"/>
        <w:rPr>
          <w:rFonts w:hint="eastAsia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株洲市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芦淞区大京风景</w:t>
      </w:r>
    </w:p>
    <w:p w14:paraId="2CDF095B">
      <w:pPr>
        <w:spacing w:line="600" w:lineRule="exact"/>
        <w:ind w:firstLine="0" w:firstLineChars="0"/>
        <w:jc w:val="center"/>
        <w:rPr>
          <w:rFonts w:hint="eastAsia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名胜区管理中心（盖章）</w:t>
      </w:r>
    </w:p>
    <w:p w14:paraId="7CBCE547">
      <w:pPr>
        <w:spacing w:line="600" w:lineRule="exact"/>
        <w:ind w:firstLine="0" w:firstLineChars="0"/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1C3E443C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3157ADC9">
      <w:pPr>
        <w:ind w:firstLine="2880" w:firstLineChars="9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4B3A4EA4">
      <w:pPr>
        <w:ind w:firstLine="2880" w:firstLineChars="9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6FDF9E74">
      <w:pPr>
        <w:ind w:firstLine="2880" w:firstLineChars="9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7D15FD82">
      <w:pPr>
        <w:adjustRightInd/>
        <w:snapToGrid/>
        <w:spacing w:line="240" w:lineRule="auto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br w:type="page"/>
      </w:r>
    </w:p>
    <w:p w14:paraId="69D93CFC">
      <w:pPr>
        <w:jc w:val="center"/>
        <w:rPr>
          <w:rFonts w:hint="eastAsia" w:ascii="Times New Roman" w:hAnsi="Times New Roman" w:eastAsia="方正小标宋简体" w:cs="Times New Roman"/>
          <w:b w:val="0"/>
          <w:bCs w:val="0"/>
          <w:sz w:val="40"/>
          <w:szCs w:val="32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32"/>
        </w:rPr>
        <w:t>2023年度株洲市芦淞区</w:t>
      </w: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32"/>
          <w:lang w:eastAsia="zh-CN"/>
        </w:rPr>
        <w:t>大京风景名胜区管理中心</w:t>
      </w: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32"/>
        </w:rPr>
        <w:t>整体支出绩效自评报告</w:t>
      </w:r>
    </w:p>
    <w:p w14:paraId="2205B871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458CC68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5EDD6F0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</w:rPr>
        <w:t>部门（单位）基本情况</w:t>
      </w:r>
    </w:p>
    <w:p w14:paraId="4E65D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主要职能。</w:t>
      </w:r>
    </w:p>
    <w:p w14:paraId="3D13F68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贯彻执行党和国家的路线、方针、政策以及风景名胜区保护和管理的相关法律、法规，研究制定和组织实施风景区的各项管理制度和措施。</w:t>
      </w:r>
    </w:p>
    <w:p w14:paraId="70C6338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组织编制管理范围内自然资源和旅游资源保护、开发、利用、管理的中长期发展规划和年度计划，并组织实施。</w:t>
      </w:r>
    </w:p>
    <w:p w14:paraId="1C3F62F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协同有关部门，负责景区内自然资源、旅游资源的开发、建设、利用、保护和经营管理工作。</w:t>
      </w:r>
    </w:p>
    <w:p w14:paraId="3A53F8B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组织宣传环境保护和生态文化知识；协同有关部门做好景区内植树造林、林木林地、野生动植物、生态环境以及附属人文景观资源的保护等工作。</w:t>
      </w:r>
    </w:p>
    <w:p w14:paraId="28D1F30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协同有关部门，承担景区内大京湖的管理和保护工作。</w:t>
      </w:r>
    </w:p>
    <w:p w14:paraId="3E884E8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承办区委、区政府和上级业务主管部门交办的其他事项。</w:t>
      </w:r>
    </w:p>
    <w:p w14:paraId="7A7AF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（二）机构情况</w:t>
      </w:r>
    </w:p>
    <w:p w14:paraId="74BCD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内设科室3个，分别为：办公室、景区管理股、开发建设股。</w:t>
      </w:r>
    </w:p>
    <w:p w14:paraId="51B51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（三）人员情况</w:t>
      </w:r>
    </w:p>
    <w:p w14:paraId="4D61F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2023年本单位共有编制人数7人。</w:t>
      </w:r>
    </w:p>
    <w:p w14:paraId="1058CF6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二、一般公共预算支出情况</w:t>
      </w:r>
    </w:p>
    <w:p w14:paraId="400CCE5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（一）基本支出情况</w:t>
      </w:r>
    </w:p>
    <w:p w14:paraId="7C02B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2023年预算资金93.45万元。</w:t>
      </w:r>
    </w:p>
    <w:p w14:paraId="15C4C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2023年度单位一般公共预算财政拨款收入134.98万元。</w:t>
      </w:r>
    </w:p>
    <w:p w14:paraId="11C1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2023年度单位一般公共预算财政拨款支出134.98万元，其中：项目支出21.75万元，基本支出113.23万元，其中：人员经费102.55万元，公用经费10.68万元。</w:t>
      </w:r>
    </w:p>
    <w:p w14:paraId="11D7B177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项目支出情况</w:t>
      </w:r>
    </w:p>
    <w:p w14:paraId="3C511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1.3A级旅游景区复核项目支出6.33万元；2.物管费项目支出9.75万元；3.疫情防控经费0.50万元；4.免费开放2.50万元；5.大京提质与旅游服务设施提升2.67万元。</w:t>
      </w:r>
    </w:p>
    <w:p w14:paraId="1E4A3541">
      <w:pPr>
        <w:pStyle w:val="13"/>
        <w:numPr>
          <w:ilvl w:val="0"/>
          <w:numId w:val="0"/>
        </w:numPr>
        <w:spacing w:line="560" w:lineRule="exact"/>
        <w:ind w:left="0" w:leftChars="0" w:firstLine="640" w:firstLineChars="2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</w:rPr>
        <w:t>政府性基金预算支出情况</w:t>
      </w:r>
    </w:p>
    <w:p w14:paraId="49224468">
      <w:pPr>
        <w:pStyle w:val="13"/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无。</w:t>
      </w:r>
    </w:p>
    <w:p w14:paraId="67483124">
      <w:pPr>
        <w:pStyle w:val="13"/>
        <w:numPr>
          <w:ilvl w:val="0"/>
          <w:numId w:val="0"/>
        </w:numPr>
        <w:spacing w:line="560" w:lineRule="exact"/>
        <w:ind w:left="0" w:leftChars="0" w:firstLine="640" w:firstLineChars="2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 w:cs="Times New Roman"/>
          <w:sz w:val="32"/>
          <w:szCs w:val="32"/>
        </w:rPr>
        <w:t>国有资本经营预算支出情况</w:t>
      </w:r>
    </w:p>
    <w:p w14:paraId="70B14866">
      <w:pPr>
        <w:pStyle w:val="13"/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无。</w:t>
      </w:r>
    </w:p>
    <w:p w14:paraId="21169BB1">
      <w:pPr>
        <w:pStyle w:val="13"/>
        <w:numPr>
          <w:ilvl w:val="0"/>
          <w:numId w:val="0"/>
        </w:numPr>
        <w:spacing w:line="560" w:lineRule="exact"/>
        <w:ind w:left="0" w:leftChars="0" w:firstLine="640" w:firstLineChars="2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黑体" w:cs="Times New Roman"/>
          <w:sz w:val="32"/>
          <w:szCs w:val="32"/>
        </w:rPr>
        <w:t>社会保险基金预算支出情况</w:t>
      </w:r>
    </w:p>
    <w:p w14:paraId="3503877D">
      <w:pPr>
        <w:pStyle w:val="13"/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无。</w:t>
      </w:r>
    </w:p>
    <w:p w14:paraId="5613EF3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六、资金使用及绩效情况（包含单位管理的公共专项）</w:t>
      </w:r>
    </w:p>
    <w:p w14:paraId="6696B71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（一）整体支出绩效情况</w:t>
      </w:r>
    </w:p>
    <w:p w14:paraId="7E86A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一方面，加大对景区的巡查力度，扎实开展防火巡林、生态资源巡查制度，张贴宣传标语、横幅60余条，切实加强森林防火知识和生态环境保护的宣传，定期开展生态资源保护巡查31次，有效的维护了景区的自然风貌和生态环境。加强自保地全面监督问题整改销号，根据自然保护地全面监督变化图斑线索清单，景区共7处问题点，管理中心迅速落实责任，协同区林业局、白关镇督促其停工并整改，现已基本整改完成。另一方面，坚持旅游企业安全生产工作常态化，严格落实“一岗双责”，组织了1次特种设备安全教育培训，开展了6次景区酒店、寺庙、游船公司的安全检查，并督促整改落实。坚决抓好防溺水工作，新悬挂防溺水横幅30余条，增设防溺水宣传栏5个，组织党员干部开展重点时段、重点水域防溺水巡查，劝阻游客私自下水游泳，对于不听劝告的学生游客或带学生下水的家长，及时录制视频并发送给有关部门。</w:t>
      </w:r>
    </w:p>
    <w:p w14:paraId="0E52554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（二）项目支出绩效情况</w:t>
      </w:r>
    </w:p>
    <w:p w14:paraId="47C81301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本部门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年年初预算专项资金共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2个，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体情况如下：</w:t>
      </w:r>
    </w:p>
    <w:p w14:paraId="6D277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一是国家3A级景区复核，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预算支出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年中执行调增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.27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实际支出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11.13万元，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0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.64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实际支出11.13万元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，其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中财政资金6.33万元，其他资金4.80万元，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该专项资金支出完善景区设施，通过3A景区复核，吸引更多游客参观，吸引投资。二是物管费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10.4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年中执行调减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0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.65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实际支出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9.75万元，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；该专项资金支出确保单位人员正常就餐。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专项资金支出为了确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保在职人员的正常办公，生活秩序，做好2023年的大京风景名胜区管理中心食堂就餐，3A级旅游景区复核和省级风景名胜区检查等工作。</w:t>
      </w:r>
    </w:p>
    <w:p w14:paraId="00C3FBC4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实际支出中以下项目未做年初预算，具体情况如下：</w:t>
      </w:r>
    </w:p>
    <w:p w14:paraId="4F1B5CDE">
      <w:pPr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疫情防控经费0.50万元，资金来源为2020年度新冠肺炎疫情防控工作补助；2.免费开放2.50万元；资金来源为以前年度中央补助地方免费开放资金；3.大京提质与旅游服务设施提升2.67万元，资金来源为省级林业生态保护修复及发展资金；4.1号码头供电线路改造经费4.0万元，资金来源为水利局拨大京水库1号码头供电线路改造款。</w:t>
      </w:r>
    </w:p>
    <w:p w14:paraId="05EEEC9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七、存在的问题及原因分析</w:t>
      </w:r>
    </w:p>
    <w:p w14:paraId="0912696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资金支出进度分配不均匀，有待进一步加强</w:t>
      </w:r>
      <w:r>
        <w:rPr>
          <w:rFonts w:hint="eastAsia" w:eastAsia="仿宋_GB2312"/>
          <w:sz w:val="32"/>
          <w:szCs w:val="32"/>
        </w:rPr>
        <w:t>。</w:t>
      </w:r>
    </w:p>
    <w:p w14:paraId="2E3AE1B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八、下一步改进措施</w:t>
      </w:r>
    </w:p>
    <w:p w14:paraId="6E029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争取加大项目资金投入，同时高度重视绩效管理工作，及时掌握绩效运行情况，资金支出进度等，全面提高资金使用效益。</w:t>
      </w:r>
    </w:p>
    <w:p w14:paraId="7507DA7E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九、</w:t>
      </w:r>
      <w:r>
        <w:rPr>
          <w:rFonts w:hint="eastAsia" w:ascii="Times New Roman" w:hAnsi="Times New Roman" w:eastAsia="黑体" w:cs="Times New Roman"/>
          <w:sz w:val="32"/>
          <w:szCs w:val="32"/>
        </w:rPr>
        <w:t>部门整体支出绩效自评结果拟应用和公开情况</w:t>
      </w:r>
    </w:p>
    <w:p w14:paraId="2E4A638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本单位没有独立公开网站，自评结果在芦淞区政府官网上公示公开，接受社会监督。</w:t>
      </w:r>
    </w:p>
    <w:p w14:paraId="393BE8E3">
      <w:pPr>
        <w:numPr>
          <w:ilvl w:val="-1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0" w:firstLineChars="0"/>
        <w:rPr>
          <w:rFonts w:hint="eastAsia" w:ascii="Times New Roman" w:hAnsi="Times New Roman" w:eastAsia="黑体" w:cs="Times New Roman"/>
          <w:sz w:val="32"/>
          <w:szCs w:val="32"/>
        </w:rPr>
      </w:pPr>
    </w:p>
    <w:p w14:paraId="38D5673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附件：1. 2023年度部门整体支出绩效评价基础数据表</w:t>
      </w:r>
    </w:p>
    <w:p w14:paraId="398469E9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 2023年度部门整体支出绩效自评表</w:t>
      </w:r>
    </w:p>
    <w:p w14:paraId="61CECD5B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17864AF0">
      <w:pPr>
        <w:pStyle w:val="8"/>
        <w:rPr>
          <w:rFonts w:ascii="Times New Roman" w:hAnsi="Times New Roman" w:eastAsia="黑体" w:cs="Times New Roman"/>
          <w:sz w:val="32"/>
          <w:szCs w:val="32"/>
        </w:rPr>
      </w:pPr>
    </w:p>
    <w:p w14:paraId="7D82B16B">
      <w:pPr>
        <w:spacing w:after="0" w:afterLines="-2147483648" w:line="240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 w14:paraId="31E40398">
      <w:pPr>
        <w:spacing w:after="120" w:afterLines="50" w:line="600" w:lineRule="exac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 w14:paraId="0EA52DE4">
      <w:pPr>
        <w:spacing w:after="120" w:afterLines="50" w:line="600" w:lineRule="exact"/>
        <w:jc w:val="center"/>
        <w:rPr>
          <w:rFonts w:hint="eastAsia" w:ascii="Times New Roman" w:hAnsi="Times New Roman" w:eastAsia="方正大标宋简体" w:cs="Times New Roman"/>
          <w:sz w:val="24"/>
        </w:rPr>
      </w:pPr>
      <w:r>
        <w:rPr>
          <w:rFonts w:hint="eastAsia" w:ascii="Times New Roman" w:hAnsi="Times New Roman" w:eastAsia="方正大标宋简体" w:cs="Times New Roman"/>
          <w:sz w:val="36"/>
          <w:szCs w:val="36"/>
        </w:rPr>
        <w:t>2023年度部门（单位）整体支出绩效评价基础数据表</w:t>
      </w:r>
    </w:p>
    <w:tbl>
      <w:tblPr>
        <w:tblStyle w:val="9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5A6F9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515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BEE3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3F6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2023年实际在职人数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4C62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控制率</w:t>
            </w:r>
          </w:p>
        </w:tc>
      </w:tr>
      <w:tr w14:paraId="19B7D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A8E8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6E4D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22D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1C7E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85.71%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14:paraId="4ADF5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844A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2D401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2022年决算数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CFCD5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2023年预算数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F6242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2023年决算数</w:t>
            </w:r>
          </w:p>
        </w:tc>
      </w:tr>
      <w:tr w14:paraId="4593D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06DD0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86B48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1655D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5D19F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67BCB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12FEE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350D9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3A24B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A52C4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4E258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DDD70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D7076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3C3F8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B0997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22612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4B21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91EA6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0CEBD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31948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6E05E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2699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91882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3767D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14F90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19136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925C0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FFA17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E296A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A89FE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24D59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472BC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1ADBB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13.41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0F8D7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17.90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CA14F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30.55</w:t>
            </w:r>
          </w:p>
        </w:tc>
      </w:tr>
      <w:tr w14:paraId="0027E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F74FF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645CA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13.41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10F17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17.90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39658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30.55</w:t>
            </w:r>
          </w:p>
        </w:tc>
      </w:tr>
      <w:tr w14:paraId="2B0D6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6356C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64257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F0C61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484AA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0FD69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C12B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51896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6C9D8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FB188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20019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CDC80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3BD4A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1FF84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0918B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2233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85B1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CD243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EAEED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A4C95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2D5E1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A75E7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19194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12.73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D65EA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8.06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E6DDF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10.68</w:t>
            </w:r>
          </w:p>
        </w:tc>
      </w:tr>
      <w:tr w14:paraId="61C78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9E4F0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2279B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2.16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F4144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2AD2D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0.49</w:t>
            </w:r>
          </w:p>
        </w:tc>
      </w:tr>
      <w:tr w14:paraId="3662B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A8BEC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F165A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0.60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E4AF1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21C6C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1.56</w:t>
            </w:r>
          </w:p>
        </w:tc>
      </w:tr>
      <w:tr w14:paraId="65800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0348E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A0CEB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0.04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CFD81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BA504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0.02</w:t>
            </w:r>
          </w:p>
        </w:tc>
      </w:tr>
      <w:tr w14:paraId="1DA24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03760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A8A9F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66EB8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7.20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91A88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10.68</w:t>
            </w:r>
          </w:p>
        </w:tc>
      </w:tr>
      <w:tr w14:paraId="688A2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5427E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4CAA2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8C387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6EEAF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747A0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CD9C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楼堂馆所控制情况</w:t>
            </w:r>
          </w:p>
          <w:p w14:paraId="728066E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14A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批复规模</w:t>
            </w:r>
          </w:p>
          <w:p w14:paraId="666E805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180E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实际规模（</w:t>
            </w: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2E52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C8D4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D44B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7CAC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投资概算控制率</w:t>
            </w:r>
          </w:p>
        </w:tc>
      </w:tr>
      <w:tr w14:paraId="106A7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9F5F1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C7F1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FEFF0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FCD0A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3132F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0F103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56492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7C99E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F4BD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94D98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</w:tbl>
    <w:p w14:paraId="6DCBBEE1">
      <w:pPr>
        <w:widowControl/>
        <w:spacing w:line="400" w:lineRule="exact"/>
        <w:jc w:val="left"/>
        <w:rPr>
          <w:rFonts w:hint="eastAsia" w:ascii="Times New Roman" w:hAnsi="Times New Roman" w:eastAsia="仿宋_GB2312" w:cs="Times New Roman"/>
          <w:sz w:val="22"/>
        </w:rPr>
      </w:pPr>
      <w:r>
        <w:rPr>
          <w:rFonts w:hint="eastAsia" w:ascii="Times New Roman" w:hAnsi="Times New Roman" w:eastAsia="仿宋_GB2312" w:cs="Times New Roman"/>
          <w:sz w:val="22"/>
        </w:rPr>
        <w:t>说明：“项目支出”需要填报基本支出以外的所有项目支出情况，“公用经费”填报基本支出中的一般商品和服务支出。</w:t>
      </w:r>
    </w:p>
    <w:p w14:paraId="78665141">
      <w:pPr>
        <w:tabs>
          <w:tab w:val="left" w:pos="7560"/>
        </w:tabs>
        <w:adjustRightInd w:val="0"/>
        <w:snapToGrid w:val="0"/>
        <w:spacing w:line="560" w:lineRule="exact"/>
        <w:rPr>
          <w:rFonts w:hint="eastAsia" w:ascii="Times New Roman" w:hAnsi="Times New Roman" w:eastAsia="仿宋_GB2312" w:cs="Times New Roman"/>
          <w:sz w:val="22"/>
        </w:rPr>
      </w:pPr>
      <w:r>
        <w:rPr>
          <w:rFonts w:hint="eastAsia" w:ascii="Times New Roman" w:hAnsi="Times New Roman" w:eastAsia="仿宋_GB2312" w:cs="Times New Roman"/>
          <w:sz w:val="22"/>
        </w:rPr>
        <w:t>填表人：</w:t>
      </w:r>
      <w:r>
        <w:rPr>
          <w:rFonts w:hint="eastAsia" w:eastAsia="仿宋_GB2312" w:cs="Times New Roman"/>
          <w:sz w:val="22"/>
          <w:lang w:val="en-US" w:eastAsia="zh-CN"/>
        </w:rPr>
        <w:t xml:space="preserve">罗依依 </w:t>
      </w:r>
      <w:r>
        <w:rPr>
          <w:rFonts w:hint="eastAsia" w:ascii="Times New Roman" w:hAnsi="Times New Roman" w:eastAsia="仿宋_GB2312" w:cs="Times New Roman"/>
          <w:sz w:val="22"/>
        </w:rPr>
        <w:t>填报日期：</w:t>
      </w:r>
      <w:r>
        <w:rPr>
          <w:rFonts w:hint="eastAsia" w:eastAsia="仿宋_GB2312" w:cs="Times New Roman"/>
          <w:sz w:val="22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sz w:val="22"/>
        </w:rPr>
        <w:t>联系电话：</w:t>
      </w:r>
      <w:r>
        <w:rPr>
          <w:rFonts w:hint="eastAsia" w:eastAsia="仿宋_GB2312" w:cs="Times New Roman"/>
          <w:sz w:val="22"/>
          <w:lang w:val="en-US" w:eastAsia="zh-CN"/>
        </w:rPr>
        <w:t>15292200571</w:t>
      </w:r>
      <w:r>
        <w:rPr>
          <w:rFonts w:hint="eastAsia" w:ascii="Times New Roman" w:hAnsi="Times New Roman" w:eastAsia="仿宋_GB2312" w:cs="Times New Roman"/>
          <w:sz w:val="22"/>
        </w:rPr>
        <w:t xml:space="preserve"> 单位负责人签字：</w:t>
      </w:r>
    </w:p>
    <w:p w14:paraId="52DE51F9">
      <w:pPr>
        <w:pStyle w:val="8"/>
        <w:rPr>
          <w:rFonts w:hint="eastAsia" w:ascii="Times New Roman" w:hAnsi="Times New Roman" w:eastAsia="仿宋_GB2312" w:cs="Times New Roman"/>
          <w:sz w:val="22"/>
        </w:rPr>
      </w:pPr>
    </w:p>
    <w:p w14:paraId="24162BC1">
      <w:pPr>
        <w:widowControl/>
        <w:spacing w:line="240" w:lineRule="auto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 w14:paraId="12D61459">
      <w:pPr>
        <w:widowControl/>
        <w:spacing w:line="400" w:lineRule="exact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p w14:paraId="2C31F607">
      <w:pPr>
        <w:widowControl/>
        <w:spacing w:after="120" w:afterLines="50"/>
        <w:jc w:val="center"/>
        <w:rPr>
          <w:rFonts w:hint="eastAsia" w:ascii="Times New Roman" w:hAnsi="Times New Roman" w:eastAsia="方正大标宋简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大标宋简体" w:cs="Times New Roman"/>
          <w:color w:val="000000"/>
          <w:sz w:val="36"/>
          <w:szCs w:val="36"/>
        </w:rPr>
        <w:t>2023年度部门（单位）整体支出绩效自</w:t>
      </w:r>
      <w:bookmarkStart w:id="0" w:name="_GoBack"/>
      <w:bookmarkEnd w:id="0"/>
      <w:r>
        <w:rPr>
          <w:rFonts w:hint="eastAsia" w:ascii="Times New Roman" w:hAnsi="Times New Roman" w:eastAsia="方正大标宋简体" w:cs="Times New Roman"/>
          <w:color w:val="000000"/>
          <w:sz w:val="36"/>
          <w:szCs w:val="36"/>
        </w:rPr>
        <w:t>评表</w:t>
      </w:r>
    </w:p>
    <w:tbl>
      <w:tblPr>
        <w:tblStyle w:val="9"/>
        <w:tblW w:w="10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2050D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858D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级预算部门（单位）名称</w:t>
            </w:r>
          </w:p>
        </w:tc>
        <w:tc>
          <w:tcPr>
            <w:tcW w:w="6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160C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芦淞区大京风景名胜区管理中心　</w:t>
            </w:r>
          </w:p>
        </w:tc>
      </w:tr>
      <w:tr w14:paraId="4C1B4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33DD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年度预</w:t>
            </w:r>
          </w:p>
          <w:p w14:paraId="45D1493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算申请</w:t>
            </w:r>
          </w:p>
          <w:p w14:paraId="6732264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85051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F83A6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46DA1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56E11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AE5B5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3B567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9093F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793A9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2FC3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F5B94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D6E42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93.45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514A6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143.78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2AC82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143.78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16748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10BC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ADDA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</w:tr>
      <w:tr w14:paraId="2C93E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8EC88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BB61A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按收入性质分：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143.78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653E0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按支出性质分：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143.78</w:t>
            </w:r>
          </w:p>
        </w:tc>
      </w:tr>
      <w:tr w14:paraId="0C4A7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0BF6A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8647B"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134.98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78827"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113.23</w:t>
            </w:r>
          </w:p>
        </w:tc>
      </w:tr>
      <w:tr w14:paraId="5D0EC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B30B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162C3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F0FD2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30.55</w:t>
            </w:r>
          </w:p>
        </w:tc>
      </w:tr>
      <w:tr w14:paraId="330B0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E016E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B1AC5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2F278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2530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A04755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A61D7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其他资金：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8.8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67AF8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16E95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A049A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14BDA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F49B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7ADA9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D1BA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D695A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建设现代旅游景区导视标志，扩大景区知名度，提高景区管理人员素质和水平，提高游客景区旅行的体验感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确保就餐到位、环境干净、舒适，设施完好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ADEBA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通过国家级3A景区复核，景区旅行满意度达到90%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；确保人员就餐到位、环境干净舒适，就餐满意度达到90%。</w:t>
            </w:r>
          </w:p>
        </w:tc>
      </w:tr>
      <w:tr w14:paraId="1F2BB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5D4B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220F1B4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406027E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0E4985B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  <w:p w14:paraId="08B0D39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436A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EF63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B042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57BB9">
            <w:pPr>
              <w:widowControl/>
              <w:spacing w:line="240" w:lineRule="exac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35670">
            <w:pPr>
              <w:widowControl/>
              <w:spacing w:line="240" w:lineRule="exac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B11A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B567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8E817">
            <w:pPr>
              <w:widowControl/>
              <w:spacing w:line="240" w:lineRule="exac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532C5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1FBF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29B2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23D7BA9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5010259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(40分)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5502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39E97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1.就餐人数</w:t>
            </w:r>
          </w:p>
          <w:p w14:paraId="631B0BDD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2.更换景区标识牌</w:t>
            </w:r>
          </w:p>
          <w:p w14:paraId="3F9A4AF5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5B7EE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1.就餐人数≥6人</w:t>
            </w:r>
          </w:p>
          <w:p w14:paraId="187F5D42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2.更换景区标识牌≥50个</w:t>
            </w:r>
          </w:p>
          <w:p w14:paraId="1515556C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60688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1.就餐人数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人</w:t>
            </w:r>
          </w:p>
          <w:p w14:paraId="38FAEE65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张贴宣传标语、横幅60余条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6CCF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4DF5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79A0D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BE67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C074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29975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7D98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5F9D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机关运行运转，服务规范、工作成效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A7CEC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1.保障工作用餐</w:t>
            </w:r>
          </w:p>
          <w:p w14:paraId="6848F443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2.逐步规范景区标识标牌系统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AE33F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1.保障工作用餐</w:t>
            </w:r>
          </w:p>
          <w:p w14:paraId="47DA613D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2.逐步规范景区标识标牌系统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4043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B873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7685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   </w:t>
            </w:r>
          </w:p>
        </w:tc>
      </w:tr>
      <w:tr w14:paraId="3C1DC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0848A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AE31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083B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81E29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时间段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E745C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2023.1-2023.12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F84F5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2023.1-2023.12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CE6E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741B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82090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7AB68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76787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3121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4A2C6EE8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AEEB464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（20分）</w:t>
            </w:r>
          </w:p>
          <w:p w14:paraId="23A46B6B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E689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348D4C4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1C148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60A08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B5A58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C4F6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384F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D2C25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42CB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27C6E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0125F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A7C3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2968354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93D67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提升游客和当地群众的幸福感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587E9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持续增强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C5CD2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持续增强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B709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0859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206AC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6969D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5A9F9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FFF7A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1C24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43A1A93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C0983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目标指标值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86D3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维护景区环境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77DD3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维护景区环境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934F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4173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B4070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8DF3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2385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C0C7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963E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641DA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景区影响力扩大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A1A08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逐年稳步提高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E7894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逐年稳步提高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D9AC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C7BF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5F198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CEF9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E56DE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2F46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6087A7A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56E1C09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FB43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6434D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景区旅行满意度（%）就餐满意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（%）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9A666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A7680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E410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D50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83AD6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EAD0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8B700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260B2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成本指标（20分）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0309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经济成本指标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5F0F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人员经费（万元）及日常公用经费（万元），项目开支（万元）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0AA42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人员经费67.49万元，日常公用经费8.06万元，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项目经费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17.90万元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EC624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人员经费102.55万元，日常公用经费10.68万元，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项目经费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30.55万元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BBFE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8F1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6C33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补发以前年度绩效奖等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</w:t>
            </w:r>
          </w:p>
        </w:tc>
      </w:tr>
      <w:tr w14:paraId="7AB2D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2D087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A4519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6BBF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社会成本指标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4256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BDDC2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62102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5008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B423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7836B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7B910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02826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CEDDD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6E65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生态环境成本指标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80EF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B6686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F640D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F881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38A3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981CA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17AE6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B7A06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AB6A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51F5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0DF47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7EE223BF">
      <w:pPr>
        <w:tabs>
          <w:tab w:val="left" w:pos="7560"/>
        </w:tabs>
        <w:adjustRightInd w:val="0"/>
        <w:snapToGrid w:val="0"/>
        <w:spacing w:line="560" w:lineRule="exact"/>
        <w:rPr>
          <w:rFonts w:hint="eastAsia" w:ascii="Times New Roman" w:hAnsi="Times New Roman" w:eastAsia="仿宋_GB2312" w:cs="Times New Roman"/>
          <w:sz w:val="22"/>
        </w:rPr>
      </w:pPr>
      <w:r>
        <w:rPr>
          <w:rFonts w:hint="eastAsia" w:ascii="Times New Roman" w:hAnsi="Times New Roman" w:eastAsia="仿宋_GB2312" w:cs="Times New Roman"/>
          <w:sz w:val="22"/>
        </w:rPr>
        <w:t>填表人：</w:t>
      </w:r>
      <w:r>
        <w:rPr>
          <w:rFonts w:hint="eastAsia" w:eastAsia="仿宋_GB2312" w:cs="Times New Roman"/>
          <w:sz w:val="22"/>
          <w:lang w:val="en-US" w:eastAsia="zh-CN"/>
        </w:rPr>
        <w:t xml:space="preserve">罗依依 </w:t>
      </w:r>
      <w:r>
        <w:rPr>
          <w:rFonts w:hint="eastAsia" w:ascii="Times New Roman" w:hAnsi="Times New Roman" w:eastAsia="仿宋_GB2312" w:cs="Times New Roman"/>
          <w:sz w:val="22"/>
        </w:rPr>
        <w:t>填报日期：</w:t>
      </w:r>
      <w:r>
        <w:rPr>
          <w:rFonts w:hint="eastAsia" w:eastAsia="仿宋_GB2312" w:cs="Times New Roman"/>
          <w:sz w:val="22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22"/>
        </w:rPr>
        <w:t>联系电话：</w:t>
      </w:r>
      <w:r>
        <w:rPr>
          <w:rFonts w:hint="eastAsia" w:eastAsia="仿宋_GB2312" w:cs="Times New Roman"/>
          <w:sz w:val="22"/>
          <w:lang w:val="en-US" w:eastAsia="zh-CN"/>
        </w:rPr>
        <w:t>15292200571</w:t>
      </w:r>
      <w:r>
        <w:rPr>
          <w:rFonts w:hint="eastAsia" w:ascii="Times New Roman" w:hAnsi="Times New Roman" w:eastAsia="仿宋_GB2312" w:cs="Times New Roman"/>
          <w:sz w:val="22"/>
        </w:rPr>
        <w:t xml:space="preserve"> 单位负责人签字：</w:t>
      </w:r>
    </w:p>
    <w:p w14:paraId="7905BEDF"/>
    <w:sectPr>
      <w:footerReference r:id="rId3" w:type="default"/>
      <w:pgSz w:w="11906" w:h="16838"/>
      <w:pgMar w:top="2098" w:right="1531" w:bottom="1984" w:left="1531" w:header="851" w:footer="158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602D75-F304-41C2-B40A-BB391D1FE4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2EE3BBE2-2A07-4F06-B3C8-93AF82F77DDE}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  <w:embedRegular r:id="rId3" w:fontKey="{10EC1617-7526-46C8-95C1-D637D2E4B2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50B269D-2B81-4E4A-A74C-8E6343BEC47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FA9D68C-067E-4ACA-AFF8-FF55B8D5CF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B6F7933-9625-4161-B794-6A9CDE15DB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94282">
    <w:pPr>
      <w:pStyle w:val="6"/>
      <w:framePr w:wrap="around" w:vAnchor="text" w:hAnchor="margin" w:xAlign="outside" w:y="1"/>
      <w:rPr>
        <w:rStyle w:val="11"/>
        <w:rFonts w:hint="eastAsia" w:ascii="宋体"/>
        <w:sz w:val="28"/>
        <w:szCs w:val="28"/>
      </w:rPr>
    </w:pPr>
    <w:r>
      <w:rPr>
        <w:rStyle w:val="11"/>
        <w:rFonts w:hint="eastAsia" w:ascii="宋体"/>
        <w:color w:val="FFFFFF"/>
        <w:sz w:val="28"/>
        <w:szCs w:val="28"/>
      </w:rPr>
      <w:t>—</w:t>
    </w:r>
    <w:r>
      <w:rPr>
        <w:rStyle w:val="11"/>
        <w:rFonts w:hint="eastAsia" w:ascii="宋体"/>
        <w:sz w:val="28"/>
        <w:szCs w:val="28"/>
      </w:rPr>
      <w:t xml:space="preserve">— </w:t>
    </w:r>
    <w:r>
      <w:rPr>
        <w:rStyle w:val="11"/>
        <w:rFonts w:hint="eastAsia" w:ascii="宋体"/>
        <w:sz w:val="28"/>
        <w:szCs w:val="28"/>
      </w:rPr>
      <w:fldChar w:fldCharType="begin"/>
    </w:r>
    <w:r>
      <w:rPr>
        <w:rStyle w:val="11"/>
        <w:rFonts w:hint="eastAsia" w:ascii="宋体"/>
        <w:sz w:val="28"/>
        <w:szCs w:val="28"/>
      </w:rPr>
      <w:instrText xml:space="preserve">PAGE  </w:instrText>
    </w:r>
    <w:r>
      <w:rPr>
        <w:rStyle w:val="11"/>
        <w:rFonts w:hint="eastAsia" w:ascii="宋体"/>
        <w:sz w:val="28"/>
        <w:szCs w:val="28"/>
      </w:rPr>
      <w:fldChar w:fldCharType="separate"/>
    </w:r>
    <w:r>
      <w:rPr>
        <w:rStyle w:val="11"/>
        <w:rFonts w:ascii="宋体"/>
        <w:sz w:val="28"/>
        <w:szCs w:val="28"/>
      </w:rPr>
      <w:t>9</w:t>
    </w:r>
    <w:r>
      <w:rPr>
        <w:rStyle w:val="11"/>
        <w:rFonts w:hint="eastAsia" w:ascii="宋体"/>
        <w:sz w:val="28"/>
        <w:szCs w:val="28"/>
      </w:rPr>
      <w:fldChar w:fldCharType="end"/>
    </w:r>
    <w:r>
      <w:rPr>
        <w:rStyle w:val="11"/>
        <w:rFonts w:hint="eastAsia" w:ascii="宋体"/>
        <w:sz w:val="28"/>
        <w:szCs w:val="28"/>
      </w:rPr>
      <w:t xml:space="preserve"> —</w:t>
    </w:r>
    <w:r>
      <w:rPr>
        <w:rStyle w:val="11"/>
        <w:rFonts w:hint="eastAsia" w:ascii="宋体"/>
        <w:color w:val="FFFFFF"/>
        <w:sz w:val="28"/>
        <w:szCs w:val="28"/>
      </w:rPr>
      <w:t>—</w:t>
    </w:r>
  </w:p>
  <w:p w14:paraId="5B175D8D">
    <w:pPr>
      <w:pStyle w:val="6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2602F2"/>
    <w:multiLevelType w:val="singleLevel"/>
    <w:tmpl w:val="AF2602F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TRmNTIwYWZlMjNkYTI4YzUxMjAyMmQ2YmJmMmUifQ=="/>
    <w:docVar w:name="KSO_WPS_MARK_KEY" w:val="58a22d7f-ec49-43aa-b78f-5d6bbac48133"/>
  </w:docVars>
  <w:rsids>
    <w:rsidRoot w:val="3B7EF2ED"/>
    <w:rsid w:val="02205B80"/>
    <w:rsid w:val="03707B46"/>
    <w:rsid w:val="03E20573"/>
    <w:rsid w:val="043F589A"/>
    <w:rsid w:val="053A1EA7"/>
    <w:rsid w:val="0BFB3705"/>
    <w:rsid w:val="0CC25F19"/>
    <w:rsid w:val="0D423EFF"/>
    <w:rsid w:val="0D924AED"/>
    <w:rsid w:val="11955A69"/>
    <w:rsid w:val="12166577"/>
    <w:rsid w:val="125D1F5C"/>
    <w:rsid w:val="134871AC"/>
    <w:rsid w:val="14390DD1"/>
    <w:rsid w:val="15D31197"/>
    <w:rsid w:val="16740541"/>
    <w:rsid w:val="175372AA"/>
    <w:rsid w:val="1A5C0436"/>
    <w:rsid w:val="1B9852AF"/>
    <w:rsid w:val="1C4D37F0"/>
    <w:rsid w:val="1ECD6926"/>
    <w:rsid w:val="232B004A"/>
    <w:rsid w:val="23D87252"/>
    <w:rsid w:val="24CF77D7"/>
    <w:rsid w:val="24F1659B"/>
    <w:rsid w:val="25EF31B6"/>
    <w:rsid w:val="266A2380"/>
    <w:rsid w:val="27416991"/>
    <w:rsid w:val="27F40796"/>
    <w:rsid w:val="293A4FD9"/>
    <w:rsid w:val="29E83175"/>
    <w:rsid w:val="2A987235"/>
    <w:rsid w:val="2B347C57"/>
    <w:rsid w:val="2E663C8F"/>
    <w:rsid w:val="2F1D12B2"/>
    <w:rsid w:val="30AA14B5"/>
    <w:rsid w:val="315B638E"/>
    <w:rsid w:val="31A55C86"/>
    <w:rsid w:val="329A0B89"/>
    <w:rsid w:val="3B7EF2ED"/>
    <w:rsid w:val="3BE21884"/>
    <w:rsid w:val="3D950CD7"/>
    <w:rsid w:val="3DD96705"/>
    <w:rsid w:val="40CC1B1E"/>
    <w:rsid w:val="41304159"/>
    <w:rsid w:val="41565F7E"/>
    <w:rsid w:val="47843D07"/>
    <w:rsid w:val="4D9C7AE5"/>
    <w:rsid w:val="4D9E3E02"/>
    <w:rsid w:val="4E93415A"/>
    <w:rsid w:val="4F5C6253"/>
    <w:rsid w:val="4FDB4423"/>
    <w:rsid w:val="52D7511B"/>
    <w:rsid w:val="5371731E"/>
    <w:rsid w:val="5A160C1F"/>
    <w:rsid w:val="5E50292A"/>
    <w:rsid w:val="5F6A7FFF"/>
    <w:rsid w:val="6202293F"/>
    <w:rsid w:val="621C0D9D"/>
    <w:rsid w:val="63F352FC"/>
    <w:rsid w:val="64362715"/>
    <w:rsid w:val="65447B1D"/>
    <w:rsid w:val="6750104E"/>
    <w:rsid w:val="68D76C74"/>
    <w:rsid w:val="6A964B0D"/>
    <w:rsid w:val="6CA35AC2"/>
    <w:rsid w:val="71502811"/>
    <w:rsid w:val="73E03FF1"/>
    <w:rsid w:val="74C43D55"/>
    <w:rsid w:val="76152998"/>
    <w:rsid w:val="77B07F72"/>
    <w:rsid w:val="792F1E6F"/>
    <w:rsid w:val="7AA01048"/>
    <w:rsid w:val="7ADE297D"/>
    <w:rsid w:val="7AFD57B8"/>
    <w:rsid w:val="7CFC40B4"/>
    <w:rsid w:val="7D88657B"/>
    <w:rsid w:val="7FAF2E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endnote text"/>
    <w:basedOn w:val="1"/>
    <w:qFormat/>
    <w:uiPriority w:val="0"/>
    <w:pPr>
      <w:snapToGrid w:val="0"/>
      <w:jc w:val="left"/>
    </w:pPr>
    <w:rPr>
      <w:rFonts w:ascii="Times New Roman" w:hAnsi="Times New Roman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2840</Words>
  <Characters>3245</Characters>
  <Lines>0</Lines>
  <Paragraphs>0</Paragraphs>
  <TotalTime>9</TotalTime>
  <ScaleCrop>false</ScaleCrop>
  <LinksUpToDate>false</LinksUpToDate>
  <CharactersWithSpaces>3375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2024-10-11T11:26:00Z</dcterms:created>
  <dc:creator>kylin</dc:creator>
  <cp:lastModifiedBy>翩翩侠</cp:lastModifiedBy>
  <dcterms:modified xsi:type="dcterms:W3CDTF">2024-11-03T08:26:47Z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B9439F1A560C4F73B6B0472F1068A03A_13</vt:lpwstr>
  </property>
</Properties>
</file>