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株洲市芦淞区政府金融工作办公室（盖章）</w:t>
      </w:r>
    </w:p>
    <w:p>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pPr>
        <w:jc w:val="center"/>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highlight w:val="none"/>
        </w:rPr>
      </w:pPr>
    </w:p>
    <w:p>
      <w:pPr>
        <w:rPr>
          <w:rFonts w:hint="eastAsia" w:ascii="Times New Roman" w:hAnsi="Times New Roman" w:cs="Times New Roman"/>
        </w:rPr>
      </w:pPr>
    </w:p>
    <w:p>
      <w:pPr>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br w:type="page"/>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2023年度株洲市芦淞区政府金融工作办公室</w:t>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tabs>
          <w:tab w:val="left" w:pos="7560"/>
        </w:tabs>
        <w:adjustRightInd w:val="0"/>
        <w:spacing w:line="560" w:lineRule="exact"/>
        <w:ind w:firstLine="640" w:firstLineChars="200"/>
        <w:rPr>
          <w:rFonts w:hint="eastAsia" w:ascii="Times New Roman" w:hAnsi="Times New Roman" w:cs="Times New Roman"/>
        </w:rPr>
      </w:pPr>
      <w:r>
        <w:rPr>
          <w:rFonts w:hint="eastAsia" w:ascii="Times New Roman" w:hAnsi="Times New Roman" w:eastAsia="黑体" w:cs="Times New Roman"/>
          <w:sz w:val="32"/>
          <w:szCs w:val="32"/>
          <w:highlight w:val="none"/>
        </w:rPr>
        <w:t>一、单位基本情况</w:t>
      </w:r>
    </w:p>
    <w:p>
      <w:pPr>
        <w:keepNext w:val="0"/>
        <w:keepLines w:val="0"/>
        <w:pageBreakBefore w:val="0"/>
        <w:widowControl w:val="0"/>
        <w:tabs>
          <w:tab w:val="left" w:pos="7560"/>
        </w:tabs>
        <w:kinsoku/>
        <w:wordWrap/>
        <w:overflowPunct/>
        <w:topLinePunct w:val="0"/>
        <w:autoSpaceDE/>
        <w:autoSpaceDN/>
        <w:bidi w:val="0"/>
        <w:adjustRightInd w:val="0"/>
        <w:spacing w:line="560" w:lineRule="exact"/>
        <w:ind w:firstLine="640" w:firstLineChars="200"/>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highlight w:val="none"/>
          <w:lang w:eastAsia="zh-CN"/>
        </w:rPr>
        <w:t>（一）主要职能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1.</w:t>
      </w:r>
      <w:r>
        <w:rPr>
          <w:rFonts w:hint="eastAsia" w:ascii="Times New Roman" w:hAnsi="Times New Roman" w:eastAsia="仿宋_GB2312" w:cs="Times New Roman"/>
          <w:bCs/>
          <w:kern w:val="2"/>
          <w:sz w:val="32"/>
          <w:szCs w:val="32"/>
          <w:highlight w:val="none"/>
        </w:rPr>
        <w:t>贯彻执行国家、省、市有关金融工作的方针、政策和法律法规；协调相关部门推进全区金融稳定改革发展工作；协调解决地方金融业存在的矛盾和问题。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2.</w:t>
      </w:r>
      <w:r>
        <w:rPr>
          <w:rFonts w:hint="eastAsia" w:ascii="Times New Roman" w:hAnsi="Times New Roman" w:eastAsia="仿宋_GB2312" w:cs="Times New Roman"/>
          <w:bCs/>
          <w:kern w:val="2"/>
          <w:sz w:val="32"/>
          <w:szCs w:val="32"/>
          <w:highlight w:val="none"/>
        </w:rPr>
        <w:t xml:space="preserve">协调省、市金融管理机构、驻区金融机构及金融服务中介机构，做好配合协调、信息交流和监管联动工作；引导、协调和鼓励金融机构加大对全区经济社会发展的支持力度。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3.</w:t>
      </w:r>
      <w:r>
        <w:rPr>
          <w:rFonts w:hint="eastAsia" w:ascii="Times New Roman" w:hAnsi="Times New Roman" w:eastAsia="仿宋_GB2312" w:cs="Times New Roman"/>
          <w:bCs/>
          <w:kern w:val="2"/>
          <w:sz w:val="32"/>
          <w:szCs w:val="32"/>
          <w:highlight w:val="none"/>
        </w:rPr>
        <w:t>推动企业上市、挂牌工作，管理全区拟上市企业后备资源库；协调推进直接融资工作，指导全区资本市场直接融资。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4.</w:t>
      </w:r>
      <w:r>
        <w:rPr>
          <w:rFonts w:hint="eastAsia" w:ascii="Times New Roman" w:hAnsi="Times New Roman" w:eastAsia="仿宋_GB2312" w:cs="Times New Roman"/>
          <w:bCs/>
          <w:kern w:val="2"/>
          <w:sz w:val="32"/>
          <w:szCs w:val="32"/>
          <w:highlight w:val="none"/>
        </w:rPr>
        <w:t>负责小额贷款公司、融资性担保公司的监督管理，承办小额贷款公司、融资性担保公司机构准入和市场退出的初审工作；负责对有监管职责的金融机构的监督管理。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5.</w:t>
      </w:r>
      <w:r>
        <w:rPr>
          <w:rFonts w:hint="eastAsia" w:ascii="Times New Roman" w:hAnsi="Times New Roman" w:eastAsia="仿宋_GB2312" w:cs="Times New Roman"/>
          <w:bCs/>
          <w:kern w:val="2"/>
          <w:sz w:val="32"/>
          <w:szCs w:val="32"/>
          <w:highlight w:val="none"/>
        </w:rPr>
        <w:t>组织协调实施金融突发事件应急工作，会同有关部门查处和打击非法金融机构和非法金融业务活动，整顿和规范区域金融市场秩序，防范、化解、处置地方金融风险，维护地方金融稳定。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6.</w:t>
      </w:r>
      <w:r>
        <w:rPr>
          <w:rFonts w:hint="eastAsia" w:ascii="Times New Roman" w:hAnsi="Times New Roman" w:eastAsia="仿宋_GB2312" w:cs="Times New Roman"/>
          <w:bCs/>
          <w:kern w:val="2"/>
          <w:sz w:val="32"/>
          <w:szCs w:val="32"/>
          <w:highlight w:val="none"/>
        </w:rPr>
        <w:t>负责协调相关部门加强对互联网金融的监管。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bCs/>
          <w:kern w:val="2"/>
          <w:sz w:val="32"/>
          <w:szCs w:val="32"/>
          <w:highlight w:val="none"/>
          <w:lang w:val="en-US" w:eastAsia="zh-CN"/>
        </w:rPr>
        <w:t>7.</w:t>
      </w:r>
      <w:r>
        <w:rPr>
          <w:rFonts w:hint="eastAsia" w:ascii="Times New Roman" w:hAnsi="Times New Roman" w:eastAsia="仿宋_GB2312" w:cs="Times New Roman"/>
          <w:bCs/>
          <w:kern w:val="2"/>
          <w:sz w:val="32"/>
          <w:szCs w:val="32"/>
          <w:highlight w:val="none"/>
        </w:rPr>
        <w:t>完成区委、区政府交办的其他任务。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（二）机构情况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eastAsia="zh-CN"/>
        </w:rPr>
        <w:t>株洲市芦淞区政府金融工作办公室</w:t>
      </w:r>
      <w:r>
        <w:rPr>
          <w:rFonts w:hint="eastAsia" w:ascii="Times New Roman" w:hAnsi="Times New Roman" w:eastAsia="仿宋_GB2312" w:cs="Times New Roman"/>
          <w:kern w:val="2"/>
          <w:sz w:val="32"/>
          <w:szCs w:val="32"/>
          <w:highlight w:val="none"/>
        </w:rPr>
        <w:t>内设机构包括：办公室、综合调研室及金融工作股3个股室。</w:t>
      </w:r>
    </w:p>
    <w:p>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eastAsia="zh-CN"/>
        </w:rPr>
        <w:pPrChange w:id="0" w:author="Administrator" w:date="2024-10-29T15:59:34Z">
          <w:pPr>
            <w:tabs>
              <w:tab w:val="left" w:pos="7560"/>
            </w:tabs>
            <w:adjustRightInd w:val="0"/>
            <w:snapToGrid w:val="0"/>
            <w:spacing w:line="560" w:lineRule="exact"/>
            <w:ind w:firstLine="640" w:firstLineChars="200"/>
          </w:pPr>
        </w:pPrChange>
      </w:pPr>
      <w:r>
        <w:rPr>
          <w:rFonts w:hint="eastAsia" w:ascii="Times New Roman" w:hAnsi="Times New Roman" w:eastAsia="仿宋_GB2312" w:cs="Times New Roman"/>
          <w:kern w:val="2"/>
          <w:sz w:val="32"/>
          <w:szCs w:val="32"/>
          <w:highlight w:val="none"/>
          <w:lang w:eastAsia="zh-CN"/>
        </w:rPr>
        <w:t>（三）人员情况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现有在职人员6人，无固期1人，无退休人员。</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二、一般公共预算支出情况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（一）基本支出情况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1.2023年预算资金120.62万元。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2.2023年度单位一般公共预算财政拨款收入139.63万元。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3.2023年度单位一般公共预算财政拨款支出139.63万元。其中：项目支出2.71万元，基本支出136.91万元，其中：人员经费123.47万元，公用经费13.44万元。</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二）</w:t>
      </w:r>
      <w:r>
        <w:rPr>
          <w:rFonts w:hint="eastAsia" w:ascii="Times New Roman" w:hAnsi="Times New Roman" w:eastAsia="仿宋_GB2312" w:cs="Times New Roman"/>
          <w:kern w:val="2"/>
          <w:sz w:val="32"/>
          <w:szCs w:val="32"/>
          <w:highlight w:val="none"/>
        </w:rPr>
        <w:t>项目支出情况</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项目支出2.71万元（其中：处非和金融监管专项1.76万元；非法经营活动稳定风险业务经费0.96万元）。</w:t>
      </w:r>
    </w:p>
    <w:p>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政府性基金预算支出情况</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四、国有资本经营预算支出情况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无</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五、社会保险基金预算支出情况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六、资金使用及绩效情况（包含单位管理的公共专项）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（一）整体支出绩效情况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rPr>
        <w:t>本单位2023年年初预算资金总计</w:t>
      </w:r>
      <w:r>
        <w:rPr>
          <w:rFonts w:hint="eastAsia" w:ascii="Times New Roman" w:hAnsi="Times New Roman" w:eastAsia="仿宋_GB2312" w:cs="Times New Roman"/>
          <w:kern w:val="2"/>
          <w:sz w:val="32"/>
          <w:szCs w:val="32"/>
          <w:highlight w:val="none"/>
          <w:lang w:val="en-US" w:eastAsia="zh-CN"/>
        </w:rPr>
        <w:t>120.62</w:t>
      </w:r>
      <w:r>
        <w:rPr>
          <w:rFonts w:hint="eastAsia" w:ascii="Times New Roman" w:hAnsi="Times New Roman" w:eastAsia="仿宋_GB2312" w:cs="Times New Roman"/>
          <w:kern w:val="2"/>
          <w:sz w:val="32"/>
          <w:szCs w:val="32"/>
          <w:highlight w:val="none"/>
        </w:rPr>
        <w:t>万元，实际单位年度总支出</w:t>
      </w:r>
      <w:r>
        <w:rPr>
          <w:rFonts w:hint="eastAsia" w:ascii="Times New Roman" w:hAnsi="Times New Roman" w:eastAsia="仿宋_GB2312" w:cs="Times New Roman"/>
          <w:kern w:val="2"/>
          <w:sz w:val="32"/>
          <w:szCs w:val="32"/>
          <w:highlight w:val="none"/>
          <w:lang w:val="en-US" w:eastAsia="zh-CN"/>
        </w:rPr>
        <w:t>139.63</w:t>
      </w:r>
      <w:r>
        <w:rPr>
          <w:rFonts w:hint="eastAsia" w:ascii="Times New Roman" w:hAnsi="Times New Roman" w:eastAsia="仿宋_GB2312" w:cs="Times New Roman"/>
          <w:kern w:val="2"/>
          <w:sz w:val="32"/>
          <w:szCs w:val="32"/>
          <w:highlight w:val="none"/>
        </w:rPr>
        <w:t>万元。积极履职，强化管理，较好的完成了年度工作目标。</w:t>
      </w:r>
      <w:r>
        <w:rPr>
          <w:rFonts w:hint="eastAsia" w:ascii="Times New Roman" w:hAnsi="Times New Roman" w:eastAsia="仿宋_GB2312" w:cs="Times New Roman"/>
          <w:kern w:val="2"/>
          <w:sz w:val="32"/>
          <w:szCs w:val="32"/>
          <w:highlight w:val="none"/>
          <w:lang w:eastAsia="zh-CN"/>
        </w:rPr>
        <w:t>保障了公用经费及处非监管项目的正常运转。深入开展银企对接工作。</w:t>
      </w:r>
      <w:r>
        <w:rPr>
          <w:rFonts w:hint="eastAsia" w:ascii="Times New Roman" w:hAnsi="Times New Roman" w:eastAsia="仿宋_GB2312" w:cs="Times New Roman"/>
          <w:kern w:val="2"/>
          <w:sz w:val="32"/>
          <w:szCs w:val="32"/>
          <w:highlight w:val="none"/>
          <w:lang w:val="en-US" w:eastAsia="zh-CN"/>
        </w:rPr>
        <w:t>1.深入开展银企对接工作。一是</w:t>
      </w:r>
      <w:r>
        <w:rPr>
          <w:rFonts w:hint="default" w:ascii="Times New Roman" w:hAnsi="Times New Roman" w:eastAsia="仿宋_GB2312" w:cs="Times New Roman"/>
          <w:kern w:val="2"/>
          <w:sz w:val="32"/>
          <w:szCs w:val="32"/>
          <w:highlight w:val="none"/>
          <w:lang w:val="en-US" w:eastAsia="zh-CN"/>
        </w:rPr>
        <w:t>搭建对接平台。</w:t>
      </w:r>
      <w:r>
        <w:rPr>
          <w:rFonts w:hint="eastAsia" w:ascii="Times New Roman" w:hAnsi="Times New Roman" w:eastAsia="仿宋_GB2312" w:cs="Times New Roman"/>
          <w:kern w:val="2"/>
          <w:sz w:val="32"/>
          <w:szCs w:val="32"/>
          <w:highlight w:val="none"/>
          <w:lang w:val="en-US" w:eastAsia="zh-CN"/>
        </w:rPr>
        <w:t>深化政银企联动，积极争取金融资源，举办大型银企对接会4场，推动金融支持芦淞服饰、航空两大产业高质量发展，两大产业分别获得授信15.9亿元、10亿元，发放贷款超过4亿元，推动金融支持乡村振兴，为全区农业企业授信5.5亿元；配合市银保监局开展外资银行“进地市、进园区、进企业”活动，为西迪技术、山河科技等4家企业开展国际业务寻求金融支持。经常性开展现场走访，举办“点对点”式银企对接会20余场，先后为泛航智能</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试金石检测</w:t>
      </w:r>
      <w:r>
        <w:rPr>
          <w:rFonts w:hint="default" w:ascii="Times New Roman" w:hAnsi="Times New Roman" w:eastAsia="仿宋_GB2312" w:cs="Times New Roman"/>
          <w:kern w:val="2"/>
          <w:sz w:val="32"/>
          <w:szCs w:val="32"/>
          <w:highlight w:val="none"/>
          <w:lang w:val="en-US" w:eastAsia="zh-CN"/>
        </w:rPr>
        <w:t>等</w:t>
      </w:r>
      <w:r>
        <w:rPr>
          <w:rFonts w:hint="eastAsia" w:ascii="Times New Roman" w:hAnsi="Times New Roman" w:eastAsia="仿宋_GB2312" w:cs="Times New Roman"/>
          <w:kern w:val="2"/>
          <w:sz w:val="32"/>
          <w:szCs w:val="32"/>
          <w:highlight w:val="none"/>
          <w:lang w:val="en-US" w:eastAsia="zh-CN"/>
        </w:rPr>
        <w:t>10余家</w:t>
      </w:r>
      <w:r>
        <w:rPr>
          <w:rFonts w:hint="default" w:ascii="Times New Roman" w:hAnsi="Times New Roman" w:eastAsia="仿宋_GB2312" w:cs="Times New Roman"/>
          <w:kern w:val="2"/>
          <w:sz w:val="32"/>
          <w:szCs w:val="32"/>
          <w:highlight w:val="none"/>
          <w:lang w:val="en-US" w:eastAsia="zh-CN"/>
        </w:rPr>
        <w:t>企业解决融资</w:t>
      </w:r>
      <w:r>
        <w:rPr>
          <w:rFonts w:hint="eastAsia" w:ascii="Times New Roman" w:hAnsi="Times New Roman" w:eastAsia="仿宋_GB2312" w:cs="Times New Roman"/>
          <w:kern w:val="2"/>
          <w:sz w:val="32"/>
          <w:szCs w:val="32"/>
          <w:highlight w:val="none"/>
          <w:lang w:val="en-US" w:eastAsia="zh-CN"/>
        </w:rPr>
        <w:t>1.61亿元</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二是推广普惠金融。邀请金控企服公司为中小企业宣讲风补基金贷款政策，大力推广风补基金贷款线上办理，发挥增信作用，发放风补基金贷款企业8家，金额共计1795万元；推动市人民银行支持高新区董家塅片区成为全市动产融资试点园区，泛航智能获得全区动产融资第一单。三是推动政策性贷款。落实制造业中长期贷款、设备购置与更新改造贴息贷款等政策，积极参与全市重大项目金融保障计划，共申报项目27个，落实授信1.92亿元、投放贷款6300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2.积极推动企业挂牌上市。</w:t>
      </w:r>
      <w:r>
        <w:rPr>
          <w:rFonts w:hint="default" w:ascii="Times New Roman" w:hAnsi="Times New Roman" w:eastAsia="仿宋_GB2312" w:cs="Times New Roman"/>
          <w:kern w:val="2"/>
          <w:sz w:val="32"/>
          <w:szCs w:val="32"/>
          <w:highlight w:val="none"/>
          <w:lang w:val="en-US" w:eastAsia="zh-CN"/>
        </w:rPr>
        <w:t>联合区科工信局、董家塅片区</w:t>
      </w:r>
      <w:r>
        <w:rPr>
          <w:rFonts w:hint="eastAsia" w:ascii="Times New Roman" w:hAnsi="Times New Roman" w:eastAsia="仿宋_GB2312" w:cs="Times New Roman"/>
          <w:kern w:val="2"/>
          <w:sz w:val="32"/>
          <w:szCs w:val="32"/>
          <w:highlight w:val="none"/>
          <w:lang w:val="en-US" w:eastAsia="zh-CN"/>
        </w:rPr>
        <w:t>管委会</w:t>
      </w:r>
      <w:r>
        <w:rPr>
          <w:rFonts w:hint="default" w:ascii="Times New Roman" w:hAnsi="Times New Roman" w:eastAsia="仿宋_GB2312" w:cs="Times New Roman"/>
          <w:kern w:val="2"/>
          <w:sz w:val="32"/>
          <w:szCs w:val="32"/>
          <w:highlight w:val="none"/>
          <w:lang w:val="en-US" w:eastAsia="zh-CN"/>
        </w:rPr>
        <w:t>等相关部门积极筛选优质企业</w:t>
      </w:r>
      <w:r>
        <w:rPr>
          <w:rFonts w:hint="eastAsia" w:ascii="Times New Roman" w:hAnsi="Times New Roman" w:eastAsia="仿宋_GB2312" w:cs="Times New Roman"/>
          <w:kern w:val="2"/>
          <w:sz w:val="32"/>
          <w:szCs w:val="32"/>
          <w:highlight w:val="none"/>
          <w:lang w:val="en-US" w:eastAsia="zh-CN"/>
        </w:rPr>
        <w:t>，重点</w:t>
      </w:r>
      <w:r>
        <w:rPr>
          <w:rFonts w:hint="default" w:ascii="Times New Roman" w:hAnsi="Times New Roman" w:eastAsia="仿宋_GB2312" w:cs="Times New Roman"/>
          <w:kern w:val="2"/>
          <w:sz w:val="32"/>
          <w:szCs w:val="32"/>
          <w:highlight w:val="none"/>
          <w:lang w:val="en-US" w:eastAsia="zh-CN"/>
        </w:rPr>
        <w:t>培育拟上市挂牌重点后备企业13家</w:t>
      </w:r>
      <w:r>
        <w:rPr>
          <w:rFonts w:hint="eastAsia" w:ascii="Times New Roman" w:hAnsi="Times New Roman" w:eastAsia="仿宋_GB2312" w:cs="Times New Roman"/>
          <w:kern w:val="2"/>
          <w:sz w:val="32"/>
          <w:szCs w:val="32"/>
          <w:highlight w:val="none"/>
          <w:lang w:val="en-US" w:eastAsia="zh-CN"/>
        </w:rPr>
        <w:t>。会同省金融监管局、上交所和市金融办、湖南股交所、财信证券等单位对</w:t>
      </w:r>
      <w:r>
        <w:rPr>
          <w:rFonts w:hint="default" w:ascii="Times New Roman" w:hAnsi="Times New Roman" w:eastAsia="仿宋_GB2312" w:cs="Times New Roman"/>
          <w:kern w:val="2"/>
          <w:sz w:val="32"/>
          <w:szCs w:val="32"/>
          <w:highlight w:val="none"/>
          <w:lang w:val="en-US" w:eastAsia="zh-CN"/>
        </w:rPr>
        <w:t>航翔燃机、易力达等7家</w:t>
      </w:r>
      <w:r>
        <w:rPr>
          <w:rFonts w:hint="eastAsia" w:ascii="Times New Roman" w:hAnsi="Times New Roman" w:eastAsia="仿宋_GB2312" w:cs="Times New Roman"/>
          <w:kern w:val="2"/>
          <w:sz w:val="32"/>
          <w:szCs w:val="32"/>
          <w:highlight w:val="none"/>
          <w:lang w:val="en-US" w:eastAsia="zh-CN"/>
        </w:rPr>
        <w:t>区上市后备企业开展走访，为企业答疑解惑，指导企业上市规划</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邀请南方宇航、山河星航等6家企业参与深交所、上交所改制上市实务专题培训</w:t>
      </w:r>
      <w:r>
        <w:rPr>
          <w:rFonts w:hint="default" w:ascii="Times New Roman" w:hAnsi="Times New Roman" w:eastAsia="仿宋_GB2312" w:cs="Times New Roman"/>
          <w:kern w:val="2"/>
          <w:sz w:val="32"/>
          <w:szCs w:val="32"/>
          <w:highlight w:val="none"/>
          <w:lang w:val="en-US" w:eastAsia="zh-CN"/>
        </w:rPr>
        <w:t>，加快</w:t>
      </w:r>
      <w:r>
        <w:rPr>
          <w:rFonts w:hint="eastAsia" w:ascii="Times New Roman" w:hAnsi="Times New Roman" w:eastAsia="仿宋_GB2312" w:cs="Times New Roman"/>
          <w:kern w:val="2"/>
          <w:sz w:val="32"/>
          <w:szCs w:val="32"/>
          <w:highlight w:val="none"/>
          <w:lang w:val="en-US" w:eastAsia="zh-CN"/>
        </w:rPr>
        <w:t>科技型</w:t>
      </w:r>
      <w:r>
        <w:rPr>
          <w:rFonts w:hint="default" w:ascii="Times New Roman" w:hAnsi="Times New Roman" w:eastAsia="仿宋_GB2312" w:cs="Times New Roman"/>
          <w:kern w:val="2"/>
          <w:sz w:val="32"/>
          <w:szCs w:val="32"/>
          <w:highlight w:val="none"/>
          <w:lang w:val="en-US" w:eastAsia="zh-CN"/>
        </w:rPr>
        <w:t>企业上市步伐</w:t>
      </w:r>
      <w:r>
        <w:rPr>
          <w:rFonts w:hint="eastAsia" w:ascii="Times New Roman" w:hAnsi="Times New Roman" w:eastAsia="仿宋_GB2312" w:cs="Times New Roman"/>
          <w:kern w:val="2"/>
          <w:sz w:val="32"/>
          <w:szCs w:val="32"/>
          <w:highlight w:val="none"/>
          <w:lang w:val="en-US" w:eastAsia="zh-CN"/>
        </w:rPr>
        <w:t>，山河星航10月已在湖南证监局办理辅导备案登记。</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本部门2023年年初预算专项资金为处非和金融监管专项，预算支出4.00万元，年中执行调减</w:t>
      </w:r>
      <w:r>
        <w:rPr>
          <w:rFonts w:hint="eastAsia" w:ascii="Times New Roman" w:hAnsi="Times New Roman" w:eastAsia="仿宋_GB2312" w:cs="Times New Roman"/>
          <w:kern w:val="2"/>
          <w:sz w:val="32"/>
          <w:szCs w:val="32"/>
          <w:highlight w:val="none"/>
          <w:lang w:val="en-US" w:eastAsia="zh-CN"/>
        </w:rPr>
        <w:t>2.24</w:t>
      </w:r>
      <w:r>
        <w:rPr>
          <w:rFonts w:hint="eastAsia" w:ascii="Times New Roman" w:hAnsi="Times New Roman" w:eastAsia="仿宋_GB2312" w:cs="Times New Roman"/>
          <w:kern w:val="2"/>
          <w:sz w:val="32"/>
          <w:szCs w:val="32"/>
          <w:highlight w:val="none"/>
        </w:rPr>
        <w:t>万元，实际支出1.76万元，结余结转</w:t>
      </w:r>
      <w:r>
        <w:rPr>
          <w:rFonts w:hint="eastAsia" w:ascii="Times New Roman" w:hAnsi="Times New Roman" w:eastAsia="仿宋_GB2312" w:cs="Times New Roman"/>
          <w:kern w:val="2"/>
          <w:sz w:val="32"/>
          <w:szCs w:val="32"/>
          <w:highlight w:val="none"/>
          <w:lang w:eastAsia="zh-CN"/>
        </w:rPr>
        <w:t>0</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该项资金支出确保在市中心地带打造处非宣传亮点社区2个；全年开展了全区性大型宣传活动2次以上；全年对中心广场一带的写字楼等重点区域开展地毯式的非法集资风险排查4次以上；开展小贷、融担公司现场检查4次以上，并按照省、市要求开展不定期的专项检查。摸排存在非法集资风险隐患的企业，及时向群众作出风险提示，对涉事企业采取强制措施；确保小贷、融担公司全年不发生涉众金融风险。</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highlight w:val="none"/>
        </w:rPr>
        <w:t>另外，实际决算项目</w:t>
      </w:r>
      <w:r>
        <w:rPr>
          <w:rFonts w:hint="eastAsia" w:ascii="Times New Roman" w:hAnsi="Times New Roman" w:eastAsia="仿宋_GB2312" w:cs="Times New Roman"/>
          <w:kern w:val="2"/>
          <w:sz w:val="32"/>
          <w:szCs w:val="32"/>
          <w:highlight w:val="none"/>
          <w:lang w:val="en-US" w:eastAsia="zh-CN"/>
        </w:rPr>
        <w:t>2</w:t>
      </w:r>
      <w:r>
        <w:rPr>
          <w:rFonts w:hint="eastAsia" w:ascii="Times New Roman" w:hAnsi="Times New Roman" w:eastAsia="仿宋_GB2312" w:cs="Times New Roman"/>
          <w:kern w:val="2"/>
          <w:sz w:val="32"/>
          <w:szCs w:val="32"/>
          <w:highlight w:val="none"/>
        </w:rPr>
        <w:t>个，有</w:t>
      </w:r>
      <w:r>
        <w:rPr>
          <w:rFonts w:hint="eastAsia" w:ascii="Times New Roman" w:hAnsi="Times New Roman"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highlight w:val="none"/>
        </w:rPr>
        <w:t>个项目未列入年初预算。</w:t>
      </w:r>
      <w:r>
        <w:rPr>
          <w:rFonts w:hint="eastAsia" w:ascii="Times New Roman" w:hAnsi="Times New Roman" w:eastAsia="仿宋_GB2312" w:cs="Times New Roman"/>
          <w:kern w:val="2"/>
          <w:sz w:val="32"/>
          <w:szCs w:val="32"/>
          <w:highlight w:val="none"/>
          <w:lang w:val="en-US" w:eastAsia="zh-CN"/>
        </w:rPr>
        <w:t>非法经营活动稳定风险业务经费0.96万元，主要用于非法集资，处非宣传等费用。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预算资金绩效管理是一项长期性工作。由于不可预见因素，本单位在预算资金使用上也存在一定的不可预见性。部门预算、绩效管理工作还有待进一步加强。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八、下一步改进措施</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本单位将认真分析总结预算编报中存在的问题，在预算阶段制定项目绩效年度目标时尽可能做到科学、合理，并根据部门的职能职责的实际情况，制定能够统领预算编制的整体支出绩效目标，使各项任务的组织实施服务于整体支出绩效，确保部门预算与职能目标一致。</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通过绩效自评，进一步掌握了资金使用情况和取得的效果。本单位没有独立网站，此次绩效自评报告将与2023年部门决算一起在芦淞区政府信息公开专栏中公开，接受群众监督。</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eastAsia="zh-CN"/>
        </w:rPr>
      </w:pP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附件：1. 2023年度部门整体支出绩效评价基础数据表</w:t>
      </w:r>
    </w:p>
    <w:p>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 2023年度部门整体支出绩效自评表</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hint="eastAsia" w:ascii="Times New Roman" w:hAnsi="Times New Roman" w:eastAsia="方正大标宋简体" w:cs="Times New Roman"/>
          <w:sz w:val="24"/>
          <w:highlight w:val="none"/>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5</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5.10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2.71</w:t>
            </w:r>
          </w:p>
        </w:tc>
      </w:tr>
      <w:tr>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5.10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rPr>
            </w:pPr>
            <w:r>
              <w:rPr>
                <w:rFonts w:hint="eastAsia" w:ascii="Times New Roman" w:hAnsi="Times New Roman" w:eastAsia="仿宋_GB2312" w:cs="Times New Roman"/>
                <w:sz w:val="20"/>
                <w:szCs w:val="20"/>
                <w:highlight w:val="none"/>
                <w:lang w:val="en-US" w:eastAsia="zh-CN"/>
              </w:rPr>
              <w:t>2.71</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w:t>
            </w:r>
            <w:r>
              <w:rPr>
                <w:rFonts w:hint="eastAsia" w:ascii="Times New Roman" w:hAnsi="Times New Roman" w:eastAsia="仿宋_GB2312" w:cs="Times New Roman"/>
                <w:sz w:val="20"/>
                <w:szCs w:val="20"/>
                <w:highlight w:val="none"/>
                <w:lang w:val="en-US" w:eastAsia="zh-CN"/>
              </w:rPr>
              <w:t xml:space="preserve">   2、</w:t>
            </w:r>
            <w:r>
              <w:rPr>
                <w:rFonts w:hint="eastAsia" w:ascii="Times New Roman" w:hAnsi="Times New Roman" w:eastAsia="仿宋_GB2312" w:cs="Times New Roman"/>
                <w:sz w:val="20"/>
                <w:szCs w:val="20"/>
                <w:highlight w:val="none"/>
              </w:rPr>
              <w:t>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trHeight w:val="18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13.01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13.27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13.44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1.11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0.08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0.58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0.19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rPr>
            </w:pPr>
            <w:r>
              <w:rPr>
                <w:rFonts w:hint="eastAsia" w:ascii="Times New Roman" w:hAnsi="Times New Roman" w:eastAsia="仿宋_GB2312" w:cs="Times New Roman"/>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4.85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楼堂馆所控制情况</w:t>
            </w:r>
          </w:p>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（2023年完工项目）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批复规模</w:t>
            </w:r>
          </w:p>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实际规模（</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bl>
    <w:p>
      <w:pPr>
        <w:widowControl/>
        <w:spacing w:line="400" w:lineRule="exact"/>
        <w:jc w:val="left"/>
        <w:rPr>
          <w:rFonts w:hint="eastAsia" w:ascii="Times New Roman" w:hAnsi="Times New Roman" w:eastAsia="仿宋_GB2312" w:cs="Times New Roman"/>
          <w:sz w:val="22"/>
          <w:highlight w:val="none"/>
        </w:rPr>
      </w:pPr>
      <w:r>
        <w:rPr>
          <w:rFonts w:hint="eastAsia"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line="400" w:lineRule="exact"/>
        <w:jc w:val="lef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：刘卓灵</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rPr>
        <w:t>18173336631 单位负责人签字：</w:t>
      </w:r>
    </w:p>
    <w:p>
      <w:pPr>
        <w:widowControl/>
        <w:spacing w:line="400" w:lineRule="exact"/>
        <w:jc w:val="left"/>
        <w:rPr>
          <w:rFonts w:ascii="Times New Roman" w:hAnsi="Times New Roman" w:eastAsia="黑体" w:cs="Times New Roman"/>
          <w:sz w:val="32"/>
          <w:szCs w:val="32"/>
          <w:highlight w:val="none"/>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widowControl/>
        <w:spacing w:after="120" w:afterLines="50"/>
        <w:jc w:val="center"/>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45"/>
        <w:gridCol w:w="1078"/>
        <w:gridCol w:w="2468"/>
        <w:gridCol w:w="1009"/>
        <w:gridCol w:w="995"/>
        <w:gridCol w:w="723"/>
        <w:gridCol w:w="88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74" w:type="dxa"/>
            <w:gridSpan w:val="3"/>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区</w:t>
            </w:r>
            <w:r>
              <w:rPr>
                <w:rFonts w:hint="eastAsia" w:ascii="Times New Roman" w:hAnsi="Times New Roman" w:eastAsia="仿宋_GB2312" w:cs="Times New Roman"/>
                <w:color w:val="000000"/>
                <w:sz w:val="20"/>
                <w:szCs w:val="20"/>
                <w:highlight w:val="none"/>
              </w:rPr>
              <w:t>级预算部门（单位）名称</w:t>
            </w:r>
          </w:p>
        </w:tc>
        <w:tc>
          <w:tcPr>
            <w:tcW w:w="7005" w:type="dxa"/>
            <w:gridSpan w:val="6"/>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株洲市芦淞区政府金融工作办公室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1"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年度预</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算申请</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（万元）</w:t>
            </w:r>
          </w:p>
        </w:tc>
        <w:tc>
          <w:tcPr>
            <w:tcW w:w="2223" w:type="dxa"/>
            <w:gridSpan w:val="2"/>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p>
        </w:tc>
        <w:tc>
          <w:tcPr>
            <w:tcW w:w="2468"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年初预算数</w:t>
            </w:r>
          </w:p>
        </w:tc>
        <w:tc>
          <w:tcPr>
            <w:tcW w:w="1009"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全年预算数</w:t>
            </w:r>
          </w:p>
        </w:tc>
        <w:tc>
          <w:tcPr>
            <w:tcW w:w="995"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w:t>
            </w:r>
            <w:bookmarkStart w:id="0" w:name="_GoBack"/>
            <w:bookmarkEnd w:id="0"/>
            <w:r>
              <w:rPr>
                <w:rFonts w:hint="eastAsia" w:ascii="Times New Roman" w:hAnsi="Times New Roman" w:eastAsia="仿宋_GB2312" w:cs="Times New Roman"/>
                <w:sz w:val="20"/>
                <w:szCs w:val="20"/>
                <w:highlight w:val="none"/>
              </w:rPr>
              <w:t>年执行数</w:t>
            </w:r>
          </w:p>
        </w:tc>
        <w:tc>
          <w:tcPr>
            <w:tcW w:w="723"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分值</w:t>
            </w:r>
          </w:p>
        </w:tc>
        <w:tc>
          <w:tcPr>
            <w:tcW w:w="886"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执行率</w:t>
            </w:r>
          </w:p>
        </w:tc>
        <w:tc>
          <w:tcPr>
            <w:tcW w:w="924"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1"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223" w:type="dxa"/>
            <w:gridSpan w:val="2"/>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color w:val="000000"/>
                <w:sz w:val="20"/>
                <w:szCs w:val="20"/>
                <w:highlight w:val="none"/>
              </w:rPr>
              <w:t>年度资金总额</w:t>
            </w:r>
          </w:p>
        </w:tc>
        <w:tc>
          <w:tcPr>
            <w:tcW w:w="2468" w:type="dxa"/>
            <w:tcBorders>
              <w:tl2br w:val="nil"/>
              <w:tr2bl w:val="nil"/>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120.62</w:t>
            </w:r>
          </w:p>
        </w:tc>
        <w:tc>
          <w:tcPr>
            <w:tcW w:w="1009" w:type="dxa"/>
            <w:tcBorders>
              <w:tl2br w:val="nil"/>
              <w:tr2bl w:val="nil"/>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140.39</w:t>
            </w:r>
          </w:p>
        </w:tc>
        <w:tc>
          <w:tcPr>
            <w:tcW w:w="995" w:type="dxa"/>
            <w:tcBorders>
              <w:tl2br w:val="nil"/>
              <w:tr2bl w:val="nil"/>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139.63</w:t>
            </w:r>
          </w:p>
        </w:tc>
        <w:tc>
          <w:tcPr>
            <w:tcW w:w="723" w:type="dxa"/>
            <w:tcBorders>
              <w:tl2br w:val="nil"/>
              <w:tr2bl w:val="nil"/>
            </w:tcBorders>
            <w:noWrap w:val="0"/>
            <w:vAlign w:val="center"/>
          </w:tcPr>
          <w:p>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10</w:t>
            </w:r>
          </w:p>
        </w:tc>
        <w:tc>
          <w:tcPr>
            <w:tcW w:w="886" w:type="dxa"/>
            <w:tcBorders>
              <w:tl2br w:val="nil"/>
              <w:tr2bl w:val="nil"/>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99.46%</w:t>
            </w:r>
          </w:p>
        </w:tc>
        <w:tc>
          <w:tcPr>
            <w:tcW w:w="924" w:type="dxa"/>
            <w:tcBorders>
              <w:tl2br w:val="nil"/>
              <w:tr2bl w:val="nil"/>
            </w:tcBorders>
            <w:noWrap w:val="0"/>
            <w:vAlign w:val="center"/>
          </w:tcPr>
          <w:p>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rPr>
              <w:t>按收入性质分：</w:t>
            </w:r>
            <w:r>
              <w:rPr>
                <w:rFonts w:hint="eastAsia" w:ascii="Times New Roman" w:hAnsi="Times New Roman" w:eastAsia="仿宋_GB2312" w:cs="Times New Roman"/>
                <w:sz w:val="20"/>
                <w:szCs w:val="20"/>
                <w:highlight w:val="none"/>
                <w:lang w:val="en-US" w:eastAsia="zh-CN"/>
              </w:rPr>
              <w:t>140.39</w:t>
            </w:r>
          </w:p>
        </w:tc>
        <w:tc>
          <w:tcPr>
            <w:tcW w:w="3528" w:type="dxa"/>
            <w:gridSpan w:val="4"/>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按支出性质分：</w:t>
            </w:r>
            <w:r>
              <w:rPr>
                <w:rFonts w:hint="eastAsia" w:ascii="Times New Roman" w:hAnsi="Times New Roman" w:eastAsia="仿宋_GB2312" w:cs="Times New Roman"/>
                <w:sz w:val="20"/>
                <w:szCs w:val="20"/>
                <w:highlight w:val="none"/>
                <w:lang w:val="en-US" w:eastAsia="zh-CN"/>
              </w:rPr>
              <w:t>140.39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rPr>
              <w:t xml:space="preserve">  其中：  一般公共预算：</w:t>
            </w:r>
            <w:r>
              <w:rPr>
                <w:rFonts w:hint="eastAsia" w:ascii="Times New Roman" w:hAnsi="Times New Roman" w:eastAsia="仿宋_GB2312" w:cs="Times New Roman"/>
                <w:sz w:val="20"/>
                <w:szCs w:val="20"/>
                <w:highlight w:val="none"/>
                <w:lang w:val="en-US" w:eastAsia="zh-CN"/>
              </w:rPr>
              <w:t>140.39</w:t>
            </w:r>
          </w:p>
        </w:tc>
        <w:tc>
          <w:tcPr>
            <w:tcW w:w="3528" w:type="dxa"/>
            <w:gridSpan w:val="4"/>
            <w:tcBorders>
              <w:tl2br w:val="nil"/>
              <w:tr2bl w:val="nil"/>
            </w:tcBorders>
            <w:noWrap w:val="0"/>
            <w:vAlign w:val="center"/>
          </w:tcPr>
          <w:p>
            <w:pPr>
              <w:widowControl/>
              <w:spacing w:line="240" w:lineRule="exact"/>
              <w:jc w:val="left"/>
              <w:rPr>
                <w:rFonts w:hint="default" w:ascii="Times New Roman" w:hAnsi="Times New Roman" w:eastAsia="宋体"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其中：基本支出：</w:t>
            </w:r>
            <w:r>
              <w:rPr>
                <w:rFonts w:hint="eastAsia" w:ascii="Times New Roman" w:hAnsi="Times New Roman" w:eastAsia="仿宋_GB2312" w:cs="Times New Roman"/>
                <w:color w:val="000000"/>
                <w:sz w:val="20"/>
                <w:szCs w:val="20"/>
                <w:highlight w:val="none"/>
                <w:lang w:val="en-US" w:eastAsia="zh-CN"/>
              </w:rPr>
              <w:t>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ind w:firstLine="800" w:firstLineChars="4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政府性基金拨款：</w:t>
            </w:r>
          </w:p>
        </w:tc>
        <w:tc>
          <w:tcPr>
            <w:tcW w:w="3528" w:type="dxa"/>
            <w:gridSpan w:val="4"/>
            <w:tcBorders>
              <w:tl2br w:val="nil"/>
              <w:tr2bl w:val="nil"/>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项目支出：</w:t>
            </w:r>
            <w:r>
              <w:rPr>
                <w:rFonts w:hint="eastAsia" w:ascii="Times New Roman" w:hAnsi="Times New Roman" w:eastAsia="仿宋_GB2312" w:cs="Times New Roman"/>
                <w:color w:val="000000"/>
                <w:sz w:val="20"/>
                <w:szCs w:val="20"/>
                <w:highlight w:val="none"/>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纳入专户管理的非税收入拨款：</w:t>
            </w:r>
          </w:p>
        </w:tc>
        <w:tc>
          <w:tcPr>
            <w:tcW w:w="3528" w:type="dxa"/>
            <w:gridSpan w:val="4"/>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ind w:firstLine="1400" w:firstLineChars="7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其他资金：</w:t>
            </w:r>
          </w:p>
        </w:tc>
        <w:tc>
          <w:tcPr>
            <w:tcW w:w="3528" w:type="dxa"/>
            <w:gridSpan w:val="4"/>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年度总体目标</w:t>
            </w:r>
          </w:p>
        </w:tc>
        <w:tc>
          <w:tcPr>
            <w:tcW w:w="5700" w:type="dxa"/>
            <w:gridSpan w:val="4"/>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预期目标</w:t>
            </w:r>
          </w:p>
        </w:tc>
        <w:tc>
          <w:tcPr>
            <w:tcW w:w="3528" w:type="dxa"/>
            <w:gridSpan w:val="4"/>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5700" w:type="dxa"/>
            <w:gridSpan w:val="4"/>
            <w:tcBorders>
              <w:tl2br w:val="nil"/>
              <w:tr2bl w:val="nil"/>
            </w:tcBorders>
            <w:noWrap w:val="0"/>
            <w:vAlign w:val="center"/>
          </w:tcPr>
          <w:p>
            <w:pPr>
              <w:widowControl/>
              <w:spacing w:line="240" w:lineRule="exact"/>
              <w:jc w:val="both"/>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贯彻执行金融工作的方针、政策和法律、法规；对小贷、担保公司监督管理</w:t>
            </w:r>
            <w:r>
              <w:rPr>
                <w:rFonts w:hint="eastAsia" w:ascii="Times New Roman" w:hAnsi="Times New Roman" w:eastAsia="仿宋_GB2312" w:cs="Times New Roman"/>
                <w:color w:val="000000"/>
                <w:sz w:val="20"/>
                <w:szCs w:val="20"/>
                <w:highlight w:val="none"/>
                <w:lang w:eastAsia="zh-CN"/>
              </w:rPr>
              <w:t>。</w:t>
            </w:r>
          </w:p>
        </w:tc>
        <w:tc>
          <w:tcPr>
            <w:tcW w:w="3528" w:type="dxa"/>
            <w:gridSpan w:val="4"/>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组织协调、防范、打击和处置非法集资、非法金融活动工作。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绩</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标</w:t>
            </w:r>
          </w:p>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14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一级指标</w:t>
            </w: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二级指标</w:t>
            </w:r>
          </w:p>
        </w:tc>
        <w:tc>
          <w:tcPr>
            <w:tcW w:w="246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三级指标</w:t>
            </w:r>
          </w:p>
        </w:tc>
        <w:tc>
          <w:tcPr>
            <w:tcW w:w="1009" w:type="dxa"/>
            <w:tcBorders>
              <w:tl2br w:val="nil"/>
              <w:tr2bl w:val="nil"/>
            </w:tcBorders>
            <w:noWrap w:val="0"/>
            <w:vAlign w:val="center"/>
          </w:tcPr>
          <w:p>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年度指标值</w:t>
            </w:r>
          </w:p>
        </w:tc>
        <w:tc>
          <w:tcPr>
            <w:tcW w:w="995" w:type="dxa"/>
            <w:tcBorders>
              <w:tl2br w:val="nil"/>
              <w:tr2bl w:val="nil"/>
            </w:tcBorders>
            <w:noWrap w:val="0"/>
            <w:vAlign w:val="center"/>
          </w:tcPr>
          <w:p>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实际完成值</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分值</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得分</w:t>
            </w:r>
          </w:p>
        </w:tc>
        <w:tc>
          <w:tcPr>
            <w:tcW w:w="924" w:type="dxa"/>
            <w:tcBorders>
              <w:tl2br w:val="nil"/>
              <w:tr2bl w:val="nil"/>
            </w:tcBorders>
            <w:noWrap w:val="0"/>
            <w:vAlign w:val="center"/>
          </w:tcPr>
          <w:p>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产出指标</w:t>
            </w:r>
          </w:p>
          <w:p>
            <w:pPr>
              <w:widowControl/>
              <w:spacing w:line="240" w:lineRule="exact"/>
              <w:jc w:val="center"/>
              <w:rPr>
                <w:rFonts w:hint="eastAsia" w:ascii="Times New Roman" w:hAnsi="Times New Roman" w:eastAsia="仿宋_GB2312" w:cs="Times New Roman"/>
                <w:color w:val="000000"/>
                <w:sz w:val="20"/>
                <w:szCs w:val="20"/>
                <w:highlight w:val="none"/>
              </w:rPr>
            </w:pP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(40分)</w:t>
            </w:r>
          </w:p>
        </w:tc>
        <w:tc>
          <w:tcPr>
            <w:tcW w:w="1078"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数量指标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处非集中宣传</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rPr>
              <w:t>4次</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处非宣传进社区</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发放宣传资料等份</w:t>
            </w:r>
            <w:r>
              <w:rPr>
                <w:rFonts w:hint="eastAsia" w:ascii="Times New Roman" w:hAnsi="Times New Roman" w:eastAsia="仿宋_GB2312" w:cs="Times New Roman"/>
                <w:color w:val="000000"/>
                <w:sz w:val="20"/>
                <w:szCs w:val="20"/>
                <w:highlight w:val="none"/>
                <w:lang w:val="en-US" w:eastAsia="zh-CN"/>
              </w:rPr>
              <w:t>数</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10000份</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10000份</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开展金融企业现场检查</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4次</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分类评级</w:t>
            </w:r>
            <w:r>
              <w:rPr>
                <w:rFonts w:hint="eastAsia" w:ascii="Times New Roman" w:hAnsi="Times New Roman" w:eastAsia="仿宋_GB2312" w:cs="Times New Roman"/>
                <w:color w:val="000000"/>
                <w:sz w:val="20"/>
                <w:szCs w:val="20"/>
                <w:highlight w:val="none"/>
                <w:lang w:val="en-US" w:eastAsia="zh-CN"/>
              </w:rPr>
              <w:t>次数</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2次</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质量指标</w:t>
            </w:r>
          </w:p>
        </w:tc>
        <w:tc>
          <w:tcPr>
            <w:tcW w:w="2468"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群众对非法集资的风险防范意识和辨别能力</w:t>
            </w:r>
            <w:r>
              <w:rPr>
                <w:rFonts w:hint="eastAsia" w:ascii="Times New Roman" w:hAnsi="Times New Roman" w:eastAsia="仿宋_GB2312" w:cs="Times New Roman"/>
                <w:color w:val="000000"/>
                <w:sz w:val="20"/>
                <w:szCs w:val="20"/>
                <w:highlight w:val="none"/>
                <w:lang w:val="en-US" w:eastAsia="zh-CN"/>
              </w:rPr>
              <w:t>是否增强</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增强</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增强</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是否确保</w:t>
            </w:r>
            <w:r>
              <w:rPr>
                <w:rFonts w:hint="eastAsia" w:ascii="Times New Roman" w:hAnsi="Times New Roman" w:eastAsia="仿宋_GB2312" w:cs="Times New Roman"/>
                <w:color w:val="000000"/>
                <w:sz w:val="20"/>
                <w:szCs w:val="20"/>
                <w:highlight w:val="none"/>
              </w:rPr>
              <w:t>全区情况平稳可控</w:t>
            </w:r>
          </w:p>
        </w:tc>
        <w:tc>
          <w:tcPr>
            <w:tcW w:w="100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995"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w:t>
            </w:r>
          </w:p>
        </w:tc>
        <w:tc>
          <w:tcPr>
            <w:tcW w:w="9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防范金融企业出现违规经营，发生金融风险</w:t>
            </w:r>
          </w:p>
        </w:tc>
        <w:tc>
          <w:tcPr>
            <w:tcW w:w="100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995"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是</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4</w:t>
            </w:r>
          </w:p>
        </w:tc>
        <w:tc>
          <w:tcPr>
            <w:tcW w:w="9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时效指标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全年内时效</w:t>
            </w:r>
          </w:p>
        </w:tc>
        <w:tc>
          <w:tcPr>
            <w:tcW w:w="100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eastAsia="zh-CN"/>
              </w:rPr>
              <w:t>1</w:t>
            </w:r>
            <w:r>
              <w:rPr>
                <w:rFonts w:hint="eastAsia" w:ascii="Times New Roman" w:hAnsi="Times New Roman" w:eastAsia="仿宋_GB2312" w:cs="Times New Roman"/>
                <w:color w:val="000000"/>
                <w:sz w:val="20"/>
                <w:szCs w:val="20"/>
                <w:highlight w:val="none"/>
                <w:lang w:val="en-US" w:eastAsia="zh-CN"/>
              </w:rPr>
              <w:t>2个月</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1</w:t>
            </w:r>
            <w:r>
              <w:rPr>
                <w:rFonts w:hint="eastAsia" w:ascii="Times New Roman" w:hAnsi="Times New Roman" w:eastAsia="仿宋_GB2312" w:cs="Times New Roman"/>
                <w:color w:val="000000"/>
                <w:sz w:val="20"/>
                <w:szCs w:val="20"/>
                <w:highlight w:val="none"/>
                <w:lang w:val="en-US" w:eastAsia="zh-CN"/>
              </w:rPr>
              <w:t>2个月</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效益指标</w:t>
            </w:r>
          </w:p>
          <w:p>
            <w:pPr>
              <w:widowControl/>
              <w:spacing w:line="240" w:lineRule="exact"/>
              <w:jc w:val="left"/>
              <w:rPr>
                <w:rFonts w:hint="eastAsia" w:ascii="Times New Roman" w:hAnsi="Times New Roman" w:eastAsia="仿宋_GB2312" w:cs="Times New Roman"/>
                <w:color w:val="000000"/>
                <w:sz w:val="20"/>
                <w:szCs w:val="20"/>
                <w:highlight w:val="none"/>
              </w:rPr>
            </w:pPr>
          </w:p>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（20分）</w:t>
            </w:r>
          </w:p>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经济效</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仿宋_GB2312" w:cs="Times New Roman"/>
                <w:color w:val="000000"/>
                <w:sz w:val="20"/>
                <w:szCs w:val="20"/>
                <w:highlight w:val="none"/>
                <w:lang w:val="en-US"/>
              </w:rPr>
              <w:t>无</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rPr>
              <w:t>无</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社会效</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rPr>
              <w:t>无</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生态效</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无</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vMerge w:val="restart"/>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可持续影响指标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本地区</w:t>
            </w: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因非法集资发生较大的经济损失，</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否</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否</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078" w:type="dxa"/>
            <w:vMerge w:val="continue"/>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本地区</w:t>
            </w:r>
            <w:r>
              <w:rPr>
                <w:rFonts w:hint="eastAsia" w:ascii="Times New Roman" w:hAnsi="Times New Roman" w:eastAsia="仿宋_GB2312" w:cs="Times New Roman"/>
                <w:color w:val="000000"/>
                <w:sz w:val="20"/>
                <w:szCs w:val="20"/>
                <w:highlight w:val="none"/>
                <w:lang w:val="en-US" w:eastAsia="zh-CN"/>
              </w:rPr>
              <w:t>是否因</w:t>
            </w:r>
            <w:r>
              <w:rPr>
                <w:rFonts w:hint="eastAsia" w:ascii="Times New Roman" w:hAnsi="Times New Roman" w:eastAsia="仿宋_GB2312" w:cs="Times New Roman"/>
                <w:color w:val="000000"/>
                <w:sz w:val="20"/>
                <w:szCs w:val="20"/>
                <w:highlight w:val="none"/>
              </w:rPr>
              <w:t>金融企业监管不到位产生大的经济影响</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否</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否</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1" w:type="dxa"/>
            <w:vMerge w:val="continue"/>
            <w:tcBorders>
              <w:tl2br w:val="nil"/>
              <w:tr2bl w:val="nil"/>
            </w:tcBorders>
            <w:noWrap w:val="0"/>
            <w:vAlign w:val="center"/>
          </w:tcPr>
          <w:p>
            <w:pPr>
              <w:spacing w:line="240" w:lineRule="exact"/>
              <w:jc w:val="left"/>
              <w:rPr>
                <w:rFonts w:hint="eastAsia" w:ascii="Times New Roman" w:hAnsi="Times New Roman" w:eastAsia="仿宋_GB2312" w:cs="Times New Roman"/>
                <w:color w:val="000000"/>
                <w:sz w:val="20"/>
                <w:szCs w:val="20"/>
                <w:highlight w:val="none"/>
              </w:rPr>
            </w:pPr>
          </w:p>
        </w:tc>
        <w:tc>
          <w:tcPr>
            <w:tcW w:w="114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满意度</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指标</w:t>
            </w:r>
          </w:p>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（10分）</w:t>
            </w: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服务对象满意度指标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满意度</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8</w:t>
            </w:r>
            <w:r>
              <w:rPr>
                <w:rFonts w:hint="eastAsia" w:ascii="Times New Roman" w:hAnsi="Times New Roman" w:eastAsia="仿宋_GB2312" w:cs="Times New Roman"/>
                <w:color w:val="000000"/>
                <w:sz w:val="20"/>
                <w:szCs w:val="20"/>
                <w:highlight w:val="none"/>
                <w:lang w:val="en-US" w:eastAsia="zh-CN"/>
              </w:rPr>
              <w:t>5</w:t>
            </w:r>
            <w:r>
              <w:rPr>
                <w:rFonts w:hint="eastAsia" w:ascii="Times New Roman" w:hAnsi="Times New Roman" w:eastAsia="仿宋_GB2312" w:cs="Times New Roman"/>
                <w:color w:val="000000"/>
                <w:sz w:val="20"/>
                <w:szCs w:val="20"/>
                <w:highlight w:val="none"/>
              </w:rPr>
              <w:t>%</w:t>
            </w:r>
          </w:p>
        </w:tc>
        <w:tc>
          <w:tcPr>
            <w:tcW w:w="995"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80%</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宋体"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eastAsia="zh-CN"/>
              </w:rPr>
              <w:t>加强服务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restart"/>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成本指标（20分）</w:t>
            </w: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经济成本指标</w:t>
            </w:r>
          </w:p>
        </w:tc>
        <w:tc>
          <w:tcPr>
            <w:tcW w:w="2468" w:type="dxa"/>
            <w:tcBorders>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人员及日常经费</w:t>
            </w:r>
          </w:p>
        </w:tc>
        <w:tc>
          <w:tcPr>
            <w:tcW w:w="1009"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116.62</w:t>
            </w:r>
          </w:p>
        </w:tc>
        <w:tc>
          <w:tcPr>
            <w:tcW w:w="995"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136.91</w:t>
            </w:r>
          </w:p>
        </w:tc>
        <w:tc>
          <w:tcPr>
            <w:tcW w:w="72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社会成本指标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无</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51"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145" w:type="dxa"/>
            <w:vMerge w:val="continue"/>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c>
          <w:tcPr>
            <w:tcW w:w="107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生态环境成本指标</w:t>
            </w:r>
          </w:p>
        </w:tc>
        <w:tc>
          <w:tcPr>
            <w:tcW w:w="2468"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1009"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995"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无</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86"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46" w:type="dxa"/>
            <w:gridSpan w:val="6"/>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总分</w:t>
            </w:r>
          </w:p>
        </w:tc>
        <w:tc>
          <w:tcPr>
            <w:tcW w:w="723"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w:t>
            </w:r>
          </w:p>
        </w:tc>
        <w:tc>
          <w:tcPr>
            <w:tcW w:w="886"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97</w:t>
            </w:r>
          </w:p>
        </w:tc>
        <w:tc>
          <w:tcPr>
            <w:tcW w:w="924" w:type="dxa"/>
            <w:tcBorders>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r>
    </w:tbl>
    <w:p>
      <w:pPr>
        <w:tabs>
          <w:tab w:val="left" w:pos="7560"/>
        </w:tabs>
        <w:adjustRightInd w:val="0"/>
        <w:snapToGrid w:val="0"/>
        <w:spacing w:line="560" w:lineRule="exact"/>
        <w:jc w:val="left"/>
        <w:rPr>
          <w:rFonts w:hint="eastAsia" w:ascii="Times New Roman" w:hAnsi="Times New Roman" w:eastAsia="仿宋_GB2312" w:cs="Times New Roman"/>
          <w:sz w:val="22"/>
          <w:szCs w:val="22"/>
          <w:highlight w:val="none"/>
          <w:lang w:eastAsia="zh-CN"/>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刘卓灵</w:t>
      </w:r>
      <w:r>
        <w:rPr>
          <w:rFonts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2024年10月15日</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18173336631</w:t>
      </w:r>
      <w:r>
        <w:rPr>
          <w:rFonts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rPr>
        <w:t>单位负责人签字：</w:t>
      </w:r>
    </w:p>
    <w:p>
      <w:pPr>
        <w:rPr>
          <w:highlight w:val="none"/>
        </w:rPr>
      </w:pPr>
    </w:p>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FCB11"/>
    <w:multiLevelType w:val="singleLevel"/>
    <w:tmpl w:val="162FCB11"/>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082f048a-ac4f-4d55-82ac-f82f54b0b29c"/>
  </w:docVars>
  <w:rsids>
    <w:rsidRoot w:val="3B7EF2ED"/>
    <w:rsid w:val="011253ED"/>
    <w:rsid w:val="012D0CCF"/>
    <w:rsid w:val="01581020"/>
    <w:rsid w:val="01D12494"/>
    <w:rsid w:val="053A5247"/>
    <w:rsid w:val="06291909"/>
    <w:rsid w:val="088915DF"/>
    <w:rsid w:val="0B5852BA"/>
    <w:rsid w:val="0C7C57E0"/>
    <w:rsid w:val="0F784342"/>
    <w:rsid w:val="12D55A72"/>
    <w:rsid w:val="192F2C2F"/>
    <w:rsid w:val="19B77820"/>
    <w:rsid w:val="1D205425"/>
    <w:rsid w:val="1D812AF9"/>
    <w:rsid w:val="1D9A07EC"/>
    <w:rsid w:val="203320A2"/>
    <w:rsid w:val="20D11A26"/>
    <w:rsid w:val="213C38EB"/>
    <w:rsid w:val="216A11B6"/>
    <w:rsid w:val="21BA3B84"/>
    <w:rsid w:val="22D34F21"/>
    <w:rsid w:val="23490E32"/>
    <w:rsid w:val="241F72C5"/>
    <w:rsid w:val="24237281"/>
    <w:rsid w:val="26C30DB4"/>
    <w:rsid w:val="29114058"/>
    <w:rsid w:val="29856F1B"/>
    <w:rsid w:val="29A8379D"/>
    <w:rsid w:val="29E83175"/>
    <w:rsid w:val="2A394A60"/>
    <w:rsid w:val="2B2A59BC"/>
    <w:rsid w:val="2CA567E6"/>
    <w:rsid w:val="2CF14266"/>
    <w:rsid w:val="2D445EB3"/>
    <w:rsid w:val="2F2A554F"/>
    <w:rsid w:val="313F6F06"/>
    <w:rsid w:val="31963D6F"/>
    <w:rsid w:val="33747C08"/>
    <w:rsid w:val="34814142"/>
    <w:rsid w:val="380F1B66"/>
    <w:rsid w:val="39F707AF"/>
    <w:rsid w:val="3A030D09"/>
    <w:rsid w:val="3B022B17"/>
    <w:rsid w:val="3B7EF2ED"/>
    <w:rsid w:val="3C73776D"/>
    <w:rsid w:val="3DE544FB"/>
    <w:rsid w:val="3E974ED8"/>
    <w:rsid w:val="3F571FF4"/>
    <w:rsid w:val="3FA240F3"/>
    <w:rsid w:val="414C2E61"/>
    <w:rsid w:val="43C4430C"/>
    <w:rsid w:val="43EA120F"/>
    <w:rsid w:val="46B92B35"/>
    <w:rsid w:val="46E92719"/>
    <w:rsid w:val="4859779C"/>
    <w:rsid w:val="48647090"/>
    <w:rsid w:val="4977360C"/>
    <w:rsid w:val="49C65BAA"/>
    <w:rsid w:val="4AE15A09"/>
    <w:rsid w:val="4C2303E7"/>
    <w:rsid w:val="4F12346D"/>
    <w:rsid w:val="509514F8"/>
    <w:rsid w:val="50A1646B"/>
    <w:rsid w:val="51D21C24"/>
    <w:rsid w:val="52020594"/>
    <w:rsid w:val="526B68C4"/>
    <w:rsid w:val="54CD7053"/>
    <w:rsid w:val="5506342D"/>
    <w:rsid w:val="55772410"/>
    <w:rsid w:val="56C80279"/>
    <w:rsid w:val="58287BAB"/>
    <w:rsid w:val="58474D57"/>
    <w:rsid w:val="58F8578C"/>
    <w:rsid w:val="5B285BFE"/>
    <w:rsid w:val="5E50292A"/>
    <w:rsid w:val="5ED92EE8"/>
    <w:rsid w:val="60F17B88"/>
    <w:rsid w:val="61DB4599"/>
    <w:rsid w:val="64616115"/>
    <w:rsid w:val="66962BC8"/>
    <w:rsid w:val="68540E17"/>
    <w:rsid w:val="686221BF"/>
    <w:rsid w:val="68BA7368"/>
    <w:rsid w:val="699548AF"/>
    <w:rsid w:val="6A922554"/>
    <w:rsid w:val="6AAC3312"/>
    <w:rsid w:val="6B3F2765"/>
    <w:rsid w:val="6BB32FEF"/>
    <w:rsid w:val="6C1A59BF"/>
    <w:rsid w:val="6CAA79E5"/>
    <w:rsid w:val="6CC91B21"/>
    <w:rsid w:val="6ED52D76"/>
    <w:rsid w:val="6EE404E1"/>
    <w:rsid w:val="72ED7A56"/>
    <w:rsid w:val="75CF189B"/>
    <w:rsid w:val="77417C74"/>
    <w:rsid w:val="787A1C6A"/>
    <w:rsid w:val="789C557C"/>
    <w:rsid w:val="7A12537C"/>
    <w:rsid w:val="7A703157"/>
    <w:rsid w:val="7CE35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qFormat/>
    <w:uiPriority w:val="0"/>
    <w:pPr>
      <w:jc w:val="left"/>
    </w:pPr>
  </w:style>
  <w:style w:type="paragraph" w:styleId="4">
    <w:name w:val="endnote text"/>
    <w:basedOn w:val="1"/>
    <w:qFormat/>
    <w:uiPriority w:val="0"/>
    <w:pPr>
      <w:snapToGrid w:val="0"/>
      <w:jc w:val="left"/>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3245</Words>
  <Characters>3574</Characters>
  <Lines>0</Lines>
  <Paragraphs>0</Paragraphs>
  <TotalTime>0</TotalTime>
  <ScaleCrop>false</ScaleCrop>
  <LinksUpToDate>false</LinksUpToDate>
  <CharactersWithSpaces>3680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2024-11-04T08:09:36Z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9A572DAAC2FB435B8D44BC44D7920B20_12</vt:lpwstr>
  </property>
</Properties>
</file>