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8F25E8">
      <w:pPr>
        <w:pStyle w:val="16"/>
        <w:jc w:val="both"/>
        <w:rPr>
          <w:rFonts w:ascii="Times New Roman" w:hAnsi="Times New Roman" w:cs="Times New Roman"/>
          <w:sz w:val="56"/>
          <w:szCs w:val="56"/>
        </w:rPr>
      </w:pPr>
    </w:p>
    <w:p w14:paraId="4270C9CE">
      <w:pPr>
        <w:pStyle w:val="16"/>
        <w:jc w:val="both"/>
        <w:rPr>
          <w:rFonts w:ascii="Times New Roman" w:hAnsi="Times New Roman" w:cs="Times New Roman"/>
          <w:sz w:val="56"/>
          <w:szCs w:val="56"/>
        </w:rPr>
      </w:pPr>
    </w:p>
    <w:p w14:paraId="4DE0A81D">
      <w:pPr>
        <w:pStyle w:val="16"/>
        <w:jc w:val="both"/>
        <w:rPr>
          <w:rFonts w:ascii="Times New Roman" w:hAnsi="Times New Roman" w:cs="Times New Roman"/>
          <w:sz w:val="84"/>
          <w:szCs w:val="84"/>
        </w:rPr>
      </w:pPr>
    </w:p>
    <w:p w14:paraId="06D9FEE7">
      <w:pPr>
        <w:pStyle w:val="16"/>
        <w:jc w:val="center"/>
        <w:rPr>
          <w:rFonts w:ascii="Times New Roman" w:hAnsi="Times New Roman" w:eastAsia="方正小标宋简体" w:cs="Times New Roman"/>
          <w:sz w:val="76"/>
          <w:szCs w:val="76"/>
        </w:rPr>
      </w:pPr>
    </w:p>
    <w:p w14:paraId="6457B7A2">
      <w:pPr>
        <w:pStyle w:val="16"/>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2023年度</w:t>
      </w:r>
    </w:p>
    <w:p w14:paraId="6BD5B196">
      <w:pPr>
        <w:pStyle w:val="16"/>
        <w:jc w:val="center"/>
        <w:rPr>
          <w:rFonts w:ascii="Times New Roman" w:hAnsi="Times New Roman" w:eastAsia="方正小标宋简体" w:cs="Times New Roman"/>
          <w:sz w:val="68"/>
          <w:szCs w:val="68"/>
        </w:rPr>
      </w:pPr>
      <w:r>
        <w:rPr>
          <w:rFonts w:hint="eastAsia" w:ascii="Times New Roman" w:hAnsi="Times New Roman" w:eastAsia="方正小标宋简体" w:cs="方正小标宋简体"/>
          <w:sz w:val="68"/>
          <w:szCs w:val="68"/>
        </w:rPr>
        <w:t>中国人民政治协商会议湖南省</w:t>
      </w:r>
    </w:p>
    <w:p w14:paraId="1F6FB12D">
      <w:pPr>
        <w:pStyle w:val="16"/>
        <w:jc w:val="center"/>
        <w:rPr>
          <w:rFonts w:ascii="Times New Roman" w:hAnsi="Times New Roman" w:eastAsia="方正小标宋简体" w:cs="方正小标宋简体"/>
          <w:sz w:val="68"/>
          <w:szCs w:val="68"/>
        </w:rPr>
      </w:pPr>
      <w:r>
        <w:rPr>
          <w:rFonts w:hint="eastAsia" w:ascii="Times New Roman" w:hAnsi="Times New Roman" w:eastAsia="方正小标宋简体" w:cs="方正小标宋简体"/>
          <w:sz w:val="68"/>
          <w:szCs w:val="68"/>
        </w:rPr>
        <w:t>株洲市石峰区委员会</w:t>
      </w:r>
    </w:p>
    <w:p w14:paraId="0A9239A4">
      <w:pPr>
        <w:pStyle w:val="16"/>
        <w:jc w:val="center"/>
        <w:rPr>
          <w:rFonts w:ascii="Times New Roman" w:hAnsi="Times New Roman" w:eastAsia="方正小标宋简体" w:cs="Times New Roman"/>
          <w:sz w:val="68"/>
          <w:szCs w:val="68"/>
        </w:rPr>
      </w:pPr>
      <w:r>
        <w:rPr>
          <w:rFonts w:hint="eastAsia" w:ascii="Times New Roman" w:hAnsi="Times New Roman" w:eastAsia="方正小标宋简体" w:cs="方正小标宋简体"/>
          <w:sz w:val="68"/>
          <w:szCs w:val="68"/>
        </w:rPr>
        <w:t>部门决算</w:t>
      </w:r>
    </w:p>
    <w:p w14:paraId="40683E6A">
      <w:pPr>
        <w:pStyle w:val="16"/>
        <w:jc w:val="center"/>
        <w:rPr>
          <w:rFonts w:ascii="Times New Roman" w:hAnsi="Times New Roman" w:eastAsia="方正小标宋简体" w:cs="Times New Roman"/>
          <w:b/>
          <w:sz w:val="72"/>
          <w:szCs w:val="72"/>
        </w:rPr>
      </w:pPr>
    </w:p>
    <w:p w14:paraId="5383B815">
      <w:pPr>
        <w:pStyle w:val="16"/>
        <w:jc w:val="both"/>
        <w:rPr>
          <w:rFonts w:ascii="Times New Roman" w:hAnsi="Times New Roman" w:cs="Times New Roman"/>
          <w:sz w:val="32"/>
          <w:szCs w:val="32"/>
        </w:rPr>
      </w:pPr>
    </w:p>
    <w:p w14:paraId="5E6EFB08">
      <w:pPr>
        <w:pStyle w:val="16"/>
        <w:spacing w:line="440" w:lineRule="exact"/>
        <w:ind w:firstLine="640" w:firstLineChars="200"/>
        <w:jc w:val="center"/>
        <w:rPr>
          <w:rFonts w:ascii="Times New Roman" w:hAnsi="Times New Roman" w:cs="Times New Roman"/>
          <w:sz w:val="32"/>
          <w:szCs w:val="32"/>
        </w:rPr>
      </w:pPr>
      <w:r>
        <w:rPr>
          <w:rFonts w:ascii="Times New Roman" w:hAnsi="Times New Roman" w:cs="Times New Roman"/>
          <w:sz w:val="32"/>
          <w:szCs w:val="32"/>
        </w:rPr>
        <w:br w:type="page"/>
      </w:r>
      <w:r>
        <w:rPr>
          <w:rFonts w:ascii="Times New Roman" w:hAnsi="Times New Roman" w:cs="Times New Roman"/>
          <w:sz w:val="32"/>
          <w:szCs w:val="32"/>
        </w:rPr>
        <w:t>目录</w:t>
      </w:r>
    </w:p>
    <w:p w14:paraId="71616C8E">
      <w:pPr>
        <w:pStyle w:val="16"/>
        <w:spacing w:line="440" w:lineRule="exact"/>
        <w:ind w:firstLine="640" w:firstLineChars="200"/>
        <w:jc w:val="both"/>
        <w:rPr>
          <w:rFonts w:ascii="Times New Roman" w:hAnsi="Times New Roman" w:cs="Times New Roman"/>
          <w:sz w:val="32"/>
          <w:szCs w:val="32"/>
        </w:rPr>
      </w:pPr>
      <w:r>
        <w:rPr>
          <w:rFonts w:ascii="Times New Roman" w:hAnsi="Times New Roman" w:cs="Times New Roman"/>
          <w:sz w:val="32"/>
          <w:szCs w:val="32"/>
        </w:rPr>
        <w:t xml:space="preserve">第一部分  </w:t>
      </w:r>
      <w:r>
        <w:rPr>
          <w:rFonts w:hint="eastAsia" w:ascii="Times New Roman" w:hAnsi="Times New Roman"/>
          <w:sz w:val="32"/>
          <w:szCs w:val="32"/>
        </w:rPr>
        <w:t>中国人民政治协商会议湖南省株洲市石峰区委员会概况</w:t>
      </w:r>
    </w:p>
    <w:p w14:paraId="4801D1B8">
      <w:pPr>
        <w:pStyle w:val="16"/>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一、部门职责</w:t>
      </w:r>
    </w:p>
    <w:p w14:paraId="37DB92AE">
      <w:pPr>
        <w:pStyle w:val="16"/>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二、机构设置</w:t>
      </w:r>
    </w:p>
    <w:p w14:paraId="22B1DCB0">
      <w:pPr>
        <w:pStyle w:val="16"/>
        <w:spacing w:line="440" w:lineRule="exact"/>
        <w:ind w:firstLine="640" w:firstLineChars="200"/>
        <w:jc w:val="both"/>
        <w:rPr>
          <w:rFonts w:ascii="Times New Roman" w:hAnsi="Times New Roman" w:cs="Times New Roman"/>
          <w:sz w:val="32"/>
          <w:szCs w:val="32"/>
        </w:rPr>
      </w:pPr>
      <w:r>
        <w:rPr>
          <w:rFonts w:ascii="Times New Roman" w:hAnsi="Times New Roman" w:cs="Times New Roman"/>
          <w:sz w:val="32"/>
          <w:szCs w:val="32"/>
        </w:rPr>
        <w:t>第二部分  2023年度部门决算表</w:t>
      </w:r>
    </w:p>
    <w:p w14:paraId="2F5CA56A">
      <w:pPr>
        <w:pStyle w:val="16"/>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14:paraId="1EFAA77D">
      <w:pPr>
        <w:pStyle w:val="16"/>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14:paraId="0020515D">
      <w:pPr>
        <w:pStyle w:val="16"/>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14:paraId="4169F502">
      <w:pPr>
        <w:pStyle w:val="16"/>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14:paraId="7CC4FD94">
      <w:pPr>
        <w:pStyle w:val="16"/>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14:paraId="553A82DD">
      <w:pPr>
        <w:pStyle w:val="16"/>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14:paraId="13078B33">
      <w:pPr>
        <w:pStyle w:val="16"/>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七、一般公共预算财政拨款“三公”经费支出决算表</w:t>
      </w:r>
    </w:p>
    <w:p w14:paraId="30BA8FF9">
      <w:pPr>
        <w:pStyle w:val="16"/>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八、政府性基金预算财政拨款收入支出决算表</w:t>
      </w:r>
    </w:p>
    <w:p w14:paraId="3B1C9B5C">
      <w:pPr>
        <w:pStyle w:val="16"/>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九、国有资本经营预算财政拨款支出决算表</w:t>
      </w:r>
    </w:p>
    <w:p w14:paraId="378C3306">
      <w:pPr>
        <w:pStyle w:val="16"/>
        <w:spacing w:line="440" w:lineRule="exact"/>
        <w:ind w:firstLine="640" w:firstLineChars="200"/>
        <w:jc w:val="both"/>
        <w:rPr>
          <w:rFonts w:ascii="Times New Roman" w:hAnsi="Times New Roman" w:cs="Times New Roman"/>
          <w:sz w:val="32"/>
          <w:szCs w:val="32"/>
        </w:rPr>
      </w:pPr>
      <w:r>
        <w:rPr>
          <w:rFonts w:ascii="Times New Roman" w:hAnsi="Times New Roman" w:cs="Times New Roman"/>
          <w:sz w:val="32"/>
          <w:szCs w:val="32"/>
        </w:rPr>
        <w:t>第三部分  2023年度部门决算情况说明</w:t>
      </w:r>
    </w:p>
    <w:p w14:paraId="76858FF8">
      <w:pPr>
        <w:pStyle w:val="16"/>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14:paraId="35B5D1CA">
      <w:pPr>
        <w:spacing w:line="4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14:paraId="143B2BD9">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三、支出决算情况说明</w:t>
      </w:r>
    </w:p>
    <w:p w14:paraId="1B1D0C2E">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四、财政拨款收入支出决算总体情况说明</w:t>
      </w:r>
    </w:p>
    <w:p w14:paraId="3377E664">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五、一般公共预算财政拨款支出决算情况说明</w:t>
      </w:r>
    </w:p>
    <w:p w14:paraId="62F125B5">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六、一般公共预算财政拨款基本支出决算情况说明</w:t>
      </w:r>
    </w:p>
    <w:p w14:paraId="0D0C3937">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七、一般公共预算财政拨款“三公”经费支出决算情况说明</w:t>
      </w:r>
    </w:p>
    <w:p w14:paraId="67F02C6E">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八、政府性基金预算收入支出决算情况</w:t>
      </w:r>
    </w:p>
    <w:p w14:paraId="716A6CDB">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九、国有资本经营预算支出决算情况</w:t>
      </w:r>
    </w:p>
    <w:p w14:paraId="14F1317B">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十、机关运行经费支出说明</w:t>
      </w:r>
    </w:p>
    <w:p w14:paraId="6AC259FA">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十一、一般性支出情况说明</w:t>
      </w:r>
    </w:p>
    <w:p w14:paraId="58BDED04">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十二、政府采购支出说明</w:t>
      </w:r>
    </w:p>
    <w:p w14:paraId="08B2B7DA">
      <w:pPr>
        <w:pStyle w:val="16"/>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十三、国有资产占用情况说明</w:t>
      </w:r>
    </w:p>
    <w:p w14:paraId="0B3C9B16">
      <w:pPr>
        <w:pStyle w:val="16"/>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十四、重点项目预算的绩效评价结果等情况说明</w:t>
      </w:r>
    </w:p>
    <w:p w14:paraId="3728B286">
      <w:pPr>
        <w:pStyle w:val="16"/>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十五、其他重要事项说明</w:t>
      </w:r>
    </w:p>
    <w:p w14:paraId="3E803A76">
      <w:pPr>
        <w:pStyle w:val="16"/>
        <w:spacing w:line="440" w:lineRule="exact"/>
        <w:ind w:firstLine="640" w:firstLineChars="200"/>
        <w:jc w:val="both"/>
        <w:rPr>
          <w:rFonts w:ascii="Times New Roman" w:hAnsi="Times New Roman" w:cs="Times New Roman"/>
          <w:sz w:val="32"/>
          <w:szCs w:val="32"/>
        </w:rPr>
      </w:pPr>
      <w:r>
        <w:rPr>
          <w:rFonts w:ascii="Times New Roman" w:hAnsi="Times New Roman" w:cs="Times New Roman"/>
          <w:sz w:val="32"/>
          <w:szCs w:val="32"/>
        </w:rPr>
        <w:t>第四部分  名词解释</w:t>
      </w:r>
    </w:p>
    <w:p w14:paraId="04F0D082">
      <w:pPr>
        <w:pStyle w:val="16"/>
        <w:spacing w:line="440" w:lineRule="exact"/>
        <w:ind w:firstLine="640" w:firstLineChars="200"/>
        <w:jc w:val="both"/>
        <w:rPr>
          <w:rFonts w:ascii="Times New Roman" w:hAnsi="Times New Roman" w:cs="Times New Roman"/>
          <w:sz w:val="32"/>
          <w:szCs w:val="32"/>
        </w:rPr>
      </w:pPr>
      <w:r>
        <w:rPr>
          <w:rFonts w:ascii="Times New Roman" w:hAnsi="Times New Roman" w:cs="Times New Roman"/>
          <w:sz w:val="32"/>
          <w:szCs w:val="32"/>
        </w:rPr>
        <w:t>第五部分  附件</w:t>
      </w:r>
    </w:p>
    <w:p w14:paraId="630FC672">
      <w:pPr>
        <w:pStyle w:val="16"/>
        <w:spacing w:line="440" w:lineRule="exact"/>
        <w:jc w:val="both"/>
        <w:rPr>
          <w:rFonts w:ascii="Times New Roman" w:hAnsi="Times New Roman" w:cs="Times New Roman"/>
          <w:sz w:val="84"/>
          <w:szCs w:val="84"/>
        </w:rPr>
      </w:pPr>
      <w:r>
        <w:rPr>
          <w:rFonts w:ascii="Times New Roman" w:hAnsi="Times New Roman" w:cs="Times New Roman"/>
          <w:sz w:val="84"/>
          <w:szCs w:val="84"/>
        </w:rPr>
        <w:br w:type="page"/>
      </w:r>
    </w:p>
    <w:p w14:paraId="6A364050">
      <w:pPr>
        <w:pStyle w:val="16"/>
        <w:jc w:val="both"/>
        <w:rPr>
          <w:rFonts w:ascii="Times New Roman" w:hAnsi="Times New Roman" w:cs="Times New Roman"/>
          <w:sz w:val="84"/>
          <w:szCs w:val="84"/>
        </w:rPr>
      </w:pPr>
    </w:p>
    <w:p w14:paraId="32D6B446">
      <w:pPr>
        <w:pStyle w:val="16"/>
        <w:jc w:val="both"/>
        <w:rPr>
          <w:rFonts w:ascii="Times New Roman" w:hAnsi="Times New Roman" w:cs="Times New Roman"/>
          <w:sz w:val="84"/>
          <w:szCs w:val="84"/>
        </w:rPr>
      </w:pPr>
    </w:p>
    <w:p w14:paraId="63F43AC8">
      <w:pPr>
        <w:pStyle w:val="16"/>
        <w:jc w:val="center"/>
        <w:rPr>
          <w:rFonts w:ascii="Times New Roman" w:hAnsi="Times New Roman" w:eastAsia="方正小标宋简体" w:cs="Times New Roman"/>
          <w:w w:val="90"/>
          <w:sz w:val="76"/>
          <w:szCs w:val="76"/>
        </w:rPr>
      </w:pPr>
    </w:p>
    <w:p w14:paraId="38A95B7E">
      <w:pPr>
        <w:pStyle w:val="16"/>
        <w:jc w:val="center"/>
        <w:rPr>
          <w:rFonts w:ascii="Times New Roman" w:hAnsi="Times New Roman" w:eastAsia="方正小标宋简体" w:cs="Times New Roman"/>
          <w:sz w:val="76"/>
          <w:szCs w:val="76"/>
        </w:rPr>
      </w:pPr>
      <w:r>
        <w:rPr>
          <w:rFonts w:ascii="Times New Roman" w:hAnsi="Times New Roman" w:eastAsia="方正小标宋简体" w:cs="Times New Roman"/>
          <w:sz w:val="76"/>
          <w:szCs w:val="76"/>
        </w:rPr>
        <w:t>第一部分</w:t>
      </w:r>
    </w:p>
    <w:p w14:paraId="67D304D1">
      <w:pPr>
        <w:pStyle w:val="16"/>
        <w:jc w:val="center"/>
        <w:rPr>
          <w:rFonts w:ascii="Times New Roman" w:hAnsi="Times New Roman" w:eastAsia="方正小标宋简体" w:cs="Times New Roman"/>
          <w:sz w:val="76"/>
          <w:szCs w:val="76"/>
        </w:rPr>
      </w:pPr>
    </w:p>
    <w:p w14:paraId="2D186886">
      <w:pPr>
        <w:pStyle w:val="16"/>
        <w:jc w:val="center"/>
        <w:rPr>
          <w:rFonts w:ascii="Times New Roman" w:hAnsi="Times New Roman" w:eastAsia="方正小标宋简体" w:cs="方正小标宋简体"/>
          <w:sz w:val="68"/>
          <w:szCs w:val="68"/>
        </w:rPr>
      </w:pPr>
      <w:r>
        <w:rPr>
          <w:rFonts w:hint="eastAsia" w:ascii="Times New Roman" w:hAnsi="Times New Roman" w:eastAsia="方正小标宋简体" w:cs="方正小标宋简体"/>
          <w:sz w:val="68"/>
          <w:szCs w:val="68"/>
        </w:rPr>
        <w:t>中国人民政治协商会议</w:t>
      </w:r>
    </w:p>
    <w:p w14:paraId="26C0AFF6">
      <w:pPr>
        <w:pStyle w:val="16"/>
        <w:jc w:val="center"/>
        <w:rPr>
          <w:rFonts w:ascii="Times New Roman" w:hAnsi="Times New Roman" w:eastAsia="方正小标宋简体" w:cs="方正小标宋简体"/>
          <w:sz w:val="68"/>
          <w:szCs w:val="68"/>
        </w:rPr>
      </w:pPr>
      <w:r>
        <w:rPr>
          <w:rFonts w:hint="eastAsia" w:ascii="Times New Roman" w:hAnsi="Times New Roman" w:eastAsia="方正小标宋简体" w:cs="方正小标宋简体"/>
          <w:sz w:val="68"/>
          <w:szCs w:val="68"/>
        </w:rPr>
        <w:t>湖南省株洲市石峰区委员会</w:t>
      </w:r>
    </w:p>
    <w:p w14:paraId="511026AE">
      <w:pPr>
        <w:pStyle w:val="16"/>
        <w:jc w:val="center"/>
        <w:rPr>
          <w:rFonts w:ascii="Times New Roman" w:hAnsi="Times New Roman" w:eastAsia="方正小标宋简体" w:cs="Times New Roman"/>
          <w:sz w:val="76"/>
          <w:szCs w:val="76"/>
        </w:rPr>
      </w:pPr>
      <w:r>
        <w:rPr>
          <w:rFonts w:hint="eastAsia" w:ascii="Times New Roman" w:hAnsi="Times New Roman" w:eastAsia="方正小标宋简体" w:cs="方正小标宋简体"/>
          <w:sz w:val="68"/>
          <w:szCs w:val="68"/>
        </w:rPr>
        <w:t>单位概况</w:t>
      </w:r>
    </w:p>
    <w:p w14:paraId="37908CE3">
      <w:pPr>
        <w:overflowPunct w:val="0"/>
        <w:spacing w:line="596" w:lineRule="exact"/>
        <w:rPr>
          <w:rFonts w:ascii="Times New Roman" w:hAnsi="Times New Roman" w:eastAsia="黑体" w:cs="Times New Roman"/>
          <w:sz w:val="32"/>
          <w:szCs w:val="32"/>
        </w:rPr>
      </w:pPr>
      <w:r>
        <w:rPr>
          <w:rFonts w:ascii="Times New Roman" w:hAnsi="Times New Roman" w:eastAsia="黑体" w:cs="Times New Roman"/>
          <w:sz w:val="32"/>
          <w:szCs w:val="32"/>
        </w:rPr>
        <w:br w:type="page"/>
      </w:r>
    </w:p>
    <w:p w14:paraId="314492E1">
      <w:pPr>
        <w:overflowPunct w:val="0"/>
        <w:spacing w:line="596" w:lineRule="exact"/>
        <w:ind w:firstLine="640" w:firstLineChars="200"/>
        <w:rPr>
          <w:rFonts w:ascii="Times New Roman" w:hAnsi="Times New Roman" w:eastAsia="黑体" w:cs="黑体"/>
          <w:sz w:val="32"/>
          <w:szCs w:val="32"/>
        </w:rPr>
      </w:pPr>
      <w:r>
        <w:rPr>
          <w:rFonts w:hint="eastAsia" w:ascii="Times New Roman" w:hAnsi="Times New Roman" w:eastAsia="黑体" w:cs="黑体"/>
          <w:sz w:val="32"/>
          <w:szCs w:val="32"/>
        </w:rPr>
        <w:t>一、部门职责</w:t>
      </w:r>
    </w:p>
    <w:p w14:paraId="3FAD2F4A">
      <w:pPr>
        <w:widowControl/>
        <w:spacing w:line="600" w:lineRule="exact"/>
        <w:ind w:firstLine="640" w:firstLineChars="200"/>
        <w:rPr>
          <w:rFonts w:ascii="Times New Roman" w:hAnsi="Times New Roman" w:eastAsia="仿宋_GB2312"/>
          <w:bCs/>
          <w:kern w:val="0"/>
          <w:sz w:val="32"/>
          <w:szCs w:val="32"/>
        </w:rPr>
      </w:pPr>
      <w:r>
        <w:rPr>
          <w:rFonts w:hint="eastAsia" w:ascii="Times New Roman" w:hAnsi="Times New Roman" w:eastAsia="仿宋_GB2312"/>
          <w:sz w:val="32"/>
          <w:szCs w:val="32"/>
        </w:rPr>
        <w:t>中国人民政治协商会议湖南省株洲市石峰区委员会</w:t>
      </w:r>
      <w:r>
        <w:rPr>
          <w:rFonts w:hint="eastAsia" w:ascii="Times New Roman" w:hAnsi="Times New Roman" w:eastAsia="仿宋_GB2312"/>
          <w:bCs/>
          <w:kern w:val="0"/>
          <w:sz w:val="32"/>
          <w:szCs w:val="32"/>
        </w:rPr>
        <w:t>（以下简称区政协）的主要职责是：</w:t>
      </w:r>
    </w:p>
    <w:p w14:paraId="387FC3F4">
      <w:pPr>
        <w:widowControl/>
        <w:spacing w:line="580" w:lineRule="exact"/>
        <w:ind w:firstLine="640" w:firstLineChars="200"/>
        <w:rPr>
          <w:rFonts w:ascii="Times New Roman" w:hAnsi="Times New Roman" w:eastAsia="仿宋_GB2312"/>
          <w:bCs/>
          <w:kern w:val="0"/>
          <w:sz w:val="32"/>
          <w:szCs w:val="32"/>
        </w:rPr>
      </w:pPr>
      <w:r>
        <w:rPr>
          <w:rFonts w:hint="eastAsia" w:ascii="Times New Roman" w:hAnsi="Times New Roman" w:eastAsia="仿宋_GB2312"/>
          <w:bCs/>
          <w:kern w:val="0"/>
          <w:sz w:val="32"/>
          <w:szCs w:val="32"/>
        </w:rPr>
        <w:t>（一）负责区政协全体会议、常委会议、主席会议、党组会议、专题协商以及对口协商会议的会务工作，负责上述会议所形成的决议、决定、建议案的组织实施。</w:t>
      </w:r>
    </w:p>
    <w:p w14:paraId="6F57D0EA">
      <w:pPr>
        <w:widowControl/>
        <w:spacing w:line="580" w:lineRule="exact"/>
        <w:ind w:firstLine="640" w:firstLineChars="200"/>
        <w:rPr>
          <w:rFonts w:ascii="Times New Roman" w:hAnsi="Times New Roman" w:eastAsia="仿宋_GB2312"/>
          <w:bCs/>
          <w:kern w:val="0"/>
          <w:sz w:val="32"/>
          <w:szCs w:val="32"/>
        </w:rPr>
      </w:pPr>
      <w:r>
        <w:rPr>
          <w:rFonts w:hint="eastAsia" w:ascii="Times New Roman" w:hAnsi="Times New Roman" w:eastAsia="仿宋_GB2312"/>
          <w:bCs/>
          <w:kern w:val="0"/>
          <w:sz w:val="32"/>
          <w:szCs w:val="32"/>
        </w:rPr>
        <w:t>（二）组织协调区政协各专门委员会的工作，充分发挥区政协委员的作用，履行好政治协商、民主监督、参政议政的基本职责。</w:t>
      </w:r>
    </w:p>
    <w:p w14:paraId="4992DADA">
      <w:pPr>
        <w:widowControl/>
        <w:spacing w:line="580" w:lineRule="exact"/>
        <w:ind w:firstLine="640" w:firstLineChars="200"/>
        <w:rPr>
          <w:rFonts w:ascii="Times New Roman" w:hAnsi="Times New Roman" w:eastAsia="仿宋_GB2312"/>
          <w:bCs/>
          <w:kern w:val="0"/>
          <w:sz w:val="32"/>
          <w:szCs w:val="32"/>
        </w:rPr>
      </w:pPr>
      <w:r>
        <w:rPr>
          <w:rFonts w:hint="eastAsia" w:ascii="Times New Roman" w:hAnsi="Times New Roman" w:eastAsia="仿宋_GB2312"/>
          <w:bCs/>
          <w:kern w:val="0"/>
          <w:sz w:val="32"/>
          <w:szCs w:val="32"/>
        </w:rPr>
        <w:t xml:space="preserve">（三）负责区政协委员进行走访、视察、调研、座谈、学习、研讨等日常活动的服务和具体组织工作；组织驻区的省、市政协委员进行视察调研活动。   </w:t>
      </w:r>
    </w:p>
    <w:p w14:paraId="299CBAAE">
      <w:pPr>
        <w:widowControl/>
        <w:spacing w:line="580" w:lineRule="exact"/>
        <w:ind w:firstLine="640" w:firstLineChars="200"/>
        <w:rPr>
          <w:rFonts w:ascii="Times New Roman" w:hAnsi="Times New Roman" w:eastAsia="仿宋_GB2312"/>
          <w:bCs/>
          <w:kern w:val="0"/>
          <w:sz w:val="32"/>
          <w:szCs w:val="32"/>
        </w:rPr>
      </w:pPr>
      <w:r>
        <w:rPr>
          <w:rFonts w:hint="eastAsia" w:ascii="Times New Roman" w:hAnsi="Times New Roman" w:eastAsia="仿宋_GB2312"/>
          <w:bCs/>
          <w:kern w:val="0"/>
          <w:sz w:val="32"/>
          <w:szCs w:val="32"/>
        </w:rPr>
        <w:t>（四）研究统一战线和人民政协的理论、政策。</w:t>
      </w:r>
    </w:p>
    <w:p w14:paraId="370BADA5">
      <w:pPr>
        <w:widowControl/>
        <w:spacing w:line="580" w:lineRule="exact"/>
        <w:ind w:firstLine="640" w:firstLineChars="200"/>
        <w:rPr>
          <w:rFonts w:ascii="Times New Roman" w:hAnsi="Times New Roman" w:eastAsia="仿宋_GB2312"/>
          <w:bCs/>
          <w:kern w:val="0"/>
          <w:sz w:val="32"/>
          <w:szCs w:val="32"/>
        </w:rPr>
      </w:pPr>
      <w:r>
        <w:rPr>
          <w:rFonts w:hint="eastAsia" w:ascii="Times New Roman" w:hAnsi="Times New Roman" w:eastAsia="仿宋_GB2312"/>
          <w:bCs/>
          <w:kern w:val="0"/>
          <w:sz w:val="32"/>
          <w:szCs w:val="32"/>
        </w:rPr>
        <w:t>（五）收集和反映区政协委员和各界人士的意见与建议，收集、反映社情民意，宣传人民政协的方针政策、工作业绩和经验以及政协委员的先进事迹。</w:t>
      </w:r>
    </w:p>
    <w:p w14:paraId="3B2C66C2">
      <w:pPr>
        <w:widowControl/>
        <w:spacing w:line="580" w:lineRule="exact"/>
        <w:ind w:firstLine="640" w:firstLineChars="200"/>
        <w:rPr>
          <w:rFonts w:ascii="Times New Roman" w:hAnsi="Times New Roman" w:eastAsia="仿宋_GB2312"/>
          <w:bCs/>
          <w:kern w:val="0"/>
          <w:sz w:val="32"/>
          <w:szCs w:val="32"/>
        </w:rPr>
      </w:pPr>
      <w:r>
        <w:rPr>
          <w:rFonts w:hint="eastAsia" w:ascii="Times New Roman" w:hAnsi="Times New Roman" w:eastAsia="仿宋_GB2312"/>
          <w:bCs/>
          <w:kern w:val="0"/>
          <w:sz w:val="32"/>
          <w:szCs w:val="32"/>
        </w:rPr>
        <w:t>（六）联系各民主党派、工商联、各人民团体和无党派人士，联系区直有关部门，互通信息，协调工作，加强合作。</w:t>
      </w:r>
    </w:p>
    <w:p w14:paraId="734A0C92">
      <w:pPr>
        <w:widowControl/>
        <w:spacing w:line="580" w:lineRule="exact"/>
        <w:ind w:firstLine="640" w:firstLineChars="200"/>
        <w:rPr>
          <w:rFonts w:ascii="Times New Roman" w:hAnsi="Times New Roman" w:eastAsia="仿宋_GB2312"/>
          <w:bCs/>
          <w:kern w:val="0"/>
          <w:sz w:val="32"/>
          <w:szCs w:val="32"/>
        </w:rPr>
      </w:pPr>
      <w:r>
        <w:rPr>
          <w:rFonts w:hint="eastAsia" w:ascii="Times New Roman" w:hAnsi="Times New Roman" w:eastAsia="仿宋_GB2312"/>
          <w:bCs/>
          <w:kern w:val="0"/>
          <w:sz w:val="32"/>
          <w:szCs w:val="32"/>
        </w:rPr>
        <w:t>（七）负责区政协开展各项活动的有关后勤服务管理工作和区政协机关行政事务管理工作。</w:t>
      </w:r>
    </w:p>
    <w:p w14:paraId="114CF2FE">
      <w:pPr>
        <w:widowControl/>
        <w:spacing w:line="580" w:lineRule="exact"/>
        <w:ind w:firstLine="640" w:firstLineChars="200"/>
        <w:rPr>
          <w:rFonts w:ascii="Times New Roman" w:hAnsi="Times New Roman" w:eastAsia="仿宋_GB2312"/>
          <w:bCs/>
          <w:kern w:val="0"/>
          <w:sz w:val="32"/>
          <w:szCs w:val="32"/>
        </w:rPr>
      </w:pPr>
      <w:r>
        <w:rPr>
          <w:rFonts w:hint="eastAsia" w:ascii="Times New Roman" w:hAnsi="Times New Roman" w:eastAsia="仿宋_GB2312"/>
          <w:bCs/>
          <w:kern w:val="0"/>
          <w:sz w:val="32"/>
          <w:szCs w:val="32"/>
        </w:rPr>
        <w:t>（八）负责权限范围内的委员任免。</w:t>
      </w:r>
    </w:p>
    <w:p w14:paraId="5B6CC49E">
      <w:pPr>
        <w:widowControl/>
        <w:spacing w:line="580" w:lineRule="exact"/>
        <w:ind w:firstLine="640" w:firstLineChars="200"/>
        <w:rPr>
          <w:rFonts w:ascii="Times New Roman" w:hAnsi="Times New Roman" w:eastAsia="仿宋_GB2312"/>
          <w:bCs/>
          <w:kern w:val="0"/>
          <w:sz w:val="32"/>
          <w:szCs w:val="32"/>
        </w:rPr>
      </w:pPr>
      <w:r>
        <w:rPr>
          <w:rFonts w:hint="eastAsia" w:ascii="Times New Roman" w:hAnsi="Times New Roman" w:eastAsia="仿宋_GB2312"/>
          <w:bCs/>
          <w:kern w:val="0"/>
          <w:sz w:val="32"/>
          <w:szCs w:val="32"/>
        </w:rPr>
        <w:t>（九）负责接待来区访问的海外有关友好人士和对外联谊工作。</w:t>
      </w:r>
    </w:p>
    <w:p w14:paraId="44D8030B">
      <w:pPr>
        <w:widowControl/>
        <w:spacing w:line="580" w:lineRule="exact"/>
        <w:ind w:firstLine="640" w:firstLineChars="200"/>
        <w:rPr>
          <w:rFonts w:ascii="Times New Roman" w:hAnsi="Times New Roman" w:eastAsia="仿宋_GB2312"/>
          <w:bCs/>
          <w:kern w:val="0"/>
          <w:sz w:val="32"/>
          <w:szCs w:val="32"/>
        </w:rPr>
      </w:pPr>
      <w:r>
        <w:rPr>
          <w:rFonts w:hint="eastAsia" w:ascii="Times New Roman" w:hAnsi="Times New Roman" w:eastAsia="仿宋_GB2312"/>
          <w:bCs/>
          <w:kern w:val="0"/>
          <w:sz w:val="32"/>
          <w:szCs w:val="32"/>
        </w:rPr>
        <w:t>（十）完成区政协常委会、主席会议和上级政协交办的其他工作。</w:t>
      </w:r>
    </w:p>
    <w:p w14:paraId="373BE7D1">
      <w:pPr>
        <w:widowControl/>
        <w:spacing w:line="580" w:lineRule="exact"/>
        <w:ind w:firstLine="640" w:firstLineChars="200"/>
        <w:rPr>
          <w:rFonts w:ascii="Times New Roman" w:hAnsi="Times New Roman" w:eastAsia="黑体" w:cs="黑体"/>
          <w:kern w:val="0"/>
          <w:sz w:val="32"/>
          <w:szCs w:val="32"/>
        </w:rPr>
      </w:pPr>
      <w:r>
        <w:rPr>
          <w:rFonts w:hint="eastAsia" w:ascii="Times New Roman" w:hAnsi="Times New Roman" w:eastAsia="黑体" w:cs="黑体"/>
          <w:kern w:val="0"/>
          <w:sz w:val="32"/>
          <w:szCs w:val="32"/>
        </w:rPr>
        <w:t>二、机构设置及决算单位构成</w:t>
      </w:r>
    </w:p>
    <w:p w14:paraId="2466749C">
      <w:pPr>
        <w:widowControl/>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一）内设机构设置。中国人民政治协商会议湖南省株洲市石峰区委员会是正处级行政机关，属一级预算单位。机构设置内设科室6个（二级机构1个），分别是：1个科级综合性办公室，5个科级的专门委员会，其机构设置名称：政协办公室、提案和委员学习联络委员会，经济科技和外事委员会，文教卫体和文史委员会，农业农村和人口资源环境委员会，社会法制和民族宗教委员会。核定行政编制12名，实有在职人员18人（其中改非7人）全部为全额拨款的行政编。区政协设有一个下属事业单位：政协委员事务中心，编制2人，实有在职人员3名，不进行独立核算。</w:t>
      </w:r>
    </w:p>
    <w:p w14:paraId="76172AF3">
      <w:pPr>
        <w:widowControl/>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（二）决算单位构成。中国人民政治协商会议湖南省株洲市石峰区委员会</w:t>
      </w:r>
      <w:r>
        <w:rPr>
          <w:rFonts w:ascii="Times New Roman" w:hAnsi="Times New Roman" w:eastAsia="仿宋_GB2312"/>
          <w:sz w:val="32"/>
          <w:szCs w:val="32"/>
        </w:rPr>
        <w:t>20</w:t>
      </w:r>
      <w:r>
        <w:rPr>
          <w:rFonts w:hint="eastAsia" w:ascii="Times New Roman" w:hAnsi="Times New Roman" w:eastAsia="仿宋_GB2312"/>
          <w:sz w:val="32"/>
          <w:szCs w:val="32"/>
        </w:rPr>
        <w:t>23年部门决算汇总公开单位构成包括：区政协单位本级。</w:t>
      </w:r>
    </w:p>
    <w:p w14:paraId="5A240CB8">
      <w:pPr>
        <w:overflowPunct w:val="0"/>
        <w:spacing w:line="596" w:lineRule="exact"/>
        <w:rPr>
          <w:rFonts w:ascii="Times New Roman" w:hAnsi="Times New Roman" w:cs="Times New Roman"/>
          <w:sz w:val="84"/>
          <w:szCs w:val="84"/>
        </w:rPr>
      </w:pPr>
    </w:p>
    <w:p w14:paraId="6322798D">
      <w:pPr>
        <w:pStyle w:val="16"/>
        <w:jc w:val="both"/>
        <w:rPr>
          <w:rFonts w:ascii="Times New Roman" w:hAnsi="Times New Roman" w:cs="Times New Roman"/>
          <w:sz w:val="84"/>
          <w:szCs w:val="84"/>
        </w:rPr>
      </w:pPr>
    </w:p>
    <w:p w14:paraId="19724D9B">
      <w:pPr>
        <w:pStyle w:val="16"/>
        <w:jc w:val="both"/>
        <w:rPr>
          <w:rFonts w:ascii="Times New Roman" w:hAnsi="Times New Roman" w:cs="Times New Roman"/>
          <w:sz w:val="84"/>
          <w:szCs w:val="84"/>
        </w:rPr>
      </w:pPr>
    </w:p>
    <w:p w14:paraId="54CB2510">
      <w:pPr>
        <w:pStyle w:val="16"/>
        <w:jc w:val="both"/>
        <w:rPr>
          <w:rFonts w:ascii="Times New Roman" w:hAnsi="Times New Roman" w:cs="Times New Roman"/>
          <w:sz w:val="84"/>
          <w:szCs w:val="84"/>
        </w:rPr>
      </w:pPr>
    </w:p>
    <w:p w14:paraId="79B58A91">
      <w:pPr>
        <w:pStyle w:val="16"/>
        <w:jc w:val="both"/>
        <w:rPr>
          <w:rFonts w:ascii="Times New Roman" w:hAnsi="Times New Roman" w:cs="Times New Roman"/>
          <w:sz w:val="84"/>
          <w:szCs w:val="84"/>
        </w:rPr>
      </w:pPr>
    </w:p>
    <w:p w14:paraId="3610CB56">
      <w:pPr>
        <w:pStyle w:val="16"/>
        <w:jc w:val="both"/>
        <w:rPr>
          <w:rFonts w:ascii="Times New Roman" w:hAnsi="Times New Roman" w:cs="Times New Roman"/>
          <w:sz w:val="84"/>
          <w:szCs w:val="84"/>
        </w:rPr>
      </w:pPr>
    </w:p>
    <w:p w14:paraId="0CB317C7">
      <w:pPr>
        <w:pStyle w:val="16"/>
        <w:jc w:val="both"/>
        <w:rPr>
          <w:rFonts w:ascii="Times New Roman" w:hAnsi="Times New Roman" w:cs="Times New Roman"/>
          <w:sz w:val="84"/>
          <w:szCs w:val="84"/>
        </w:rPr>
      </w:pPr>
    </w:p>
    <w:p w14:paraId="15F2CA85">
      <w:pPr>
        <w:pStyle w:val="16"/>
        <w:jc w:val="both"/>
        <w:rPr>
          <w:rFonts w:ascii="Times New Roman" w:hAnsi="Times New Roman" w:cs="Times New Roman"/>
          <w:sz w:val="84"/>
          <w:szCs w:val="84"/>
        </w:rPr>
      </w:pPr>
    </w:p>
    <w:p w14:paraId="071343ED">
      <w:pPr>
        <w:pStyle w:val="16"/>
        <w:jc w:val="both"/>
        <w:rPr>
          <w:rFonts w:ascii="Times New Roman" w:hAnsi="Times New Roman" w:cs="Times New Roman"/>
          <w:sz w:val="84"/>
          <w:szCs w:val="84"/>
        </w:rPr>
      </w:pPr>
    </w:p>
    <w:p w14:paraId="71BD1536">
      <w:pPr>
        <w:pStyle w:val="16"/>
        <w:jc w:val="both"/>
        <w:rPr>
          <w:rFonts w:ascii="Times New Roman" w:hAnsi="Times New Roman" w:cs="Times New Roman"/>
          <w:sz w:val="84"/>
          <w:szCs w:val="84"/>
        </w:rPr>
      </w:pPr>
    </w:p>
    <w:p w14:paraId="6640DF77">
      <w:pPr>
        <w:pStyle w:val="16"/>
        <w:jc w:val="both"/>
        <w:rPr>
          <w:rFonts w:ascii="Times New Roman" w:hAnsi="Times New Roman" w:cs="Times New Roman"/>
          <w:sz w:val="84"/>
          <w:szCs w:val="84"/>
        </w:rPr>
      </w:pPr>
    </w:p>
    <w:p w14:paraId="34521EBD">
      <w:pPr>
        <w:pStyle w:val="16"/>
        <w:jc w:val="both"/>
        <w:rPr>
          <w:rFonts w:ascii="Times New Roman" w:hAnsi="Times New Roman" w:cs="Times New Roman"/>
          <w:sz w:val="84"/>
          <w:szCs w:val="84"/>
        </w:rPr>
      </w:pPr>
    </w:p>
    <w:p w14:paraId="6719F761">
      <w:pPr>
        <w:pStyle w:val="16"/>
        <w:jc w:val="center"/>
        <w:rPr>
          <w:rFonts w:ascii="Times New Roman" w:hAnsi="Times New Roman" w:eastAsia="方正小标宋简体" w:cs="Times New Roman"/>
          <w:sz w:val="76"/>
          <w:szCs w:val="76"/>
        </w:rPr>
      </w:pPr>
      <w:r>
        <w:rPr>
          <w:rFonts w:ascii="Times New Roman" w:hAnsi="Times New Roman" w:eastAsia="方正小标宋简体" w:cs="Times New Roman"/>
          <w:sz w:val="76"/>
          <w:szCs w:val="76"/>
        </w:rPr>
        <w:t>第二部分</w:t>
      </w:r>
    </w:p>
    <w:p w14:paraId="0F16FBEA">
      <w:pPr>
        <w:pStyle w:val="16"/>
        <w:jc w:val="center"/>
        <w:rPr>
          <w:rFonts w:ascii="Times New Roman" w:hAnsi="Times New Roman" w:eastAsia="方正小标宋简体" w:cs="Times New Roman"/>
          <w:sz w:val="76"/>
          <w:szCs w:val="76"/>
        </w:rPr>
      </w:pPr>
    </w:p>
    <w:p w14:paraId="60F0562E">
      <w:pPr>
        <w:pStyle w:val="16"/>
        <w:jc w:val="center"/>
        <w:rPr>
          <w:rFonts w:ascii="Times New Roman" w:hAnsi="Times New Roman" w:eastAsia="方正小标宋简体" w:cs="Times New Roman"/>
          <w:w w:val="90"/>
          <w:sz w:val="76"/>
          <w:szCs w:val="76"/>
        </w:rPr>
      </w:pPr>
      <w:r>
        <w:rPr>
          <w:rFonts w:ascii="Times New Roman" w:hAnsi="Times New Roman" w:eastAsia="方正小标宋简体" w:cs="Times New Roman"/>
          <w:sz w:val="76"/>
          <w:szCs w:val="76"/>
        </w:rPr>
        <w:t>部门决算表</w:t>
      </w:r>
    </w:p>
    <w:p w14:paraId="4FAB23A2">
      <w:pPr>
        <w:rPr>
          <w:rFonts w:ascii="Times New Roman" w:hAnsi="Times New Roman" w:eastAsia="仿宋_GB2312" w:cs="Times New Roman"/>
          <w:sz w:val="72"/>
          <w:szCs w:val="72"/>
        </w:rPr>
      </w:pPr>
    </w:p>
    <w:p w14:paraId="2629064C">
      <w:pPr>
        <w:jc w:val="center"/>
        <w:rPr>
          <w:rFonts w:ascii="Times New Roman" w:hAnsi="Times New Roman" w:cs="Times New Roman"/>
          <w:sz w:val="32"/>
          <w:szCs w:val="32"/>
        </w:rPr>
        <w:sectPr>
          <w:footerReference r:id="rId3" w:type="default"/>
          <w:pgSz w:w="11906" w:h="16838"/>
          <w:pgMar w:top="720" w:right="720" w:bottom="720" w:left="720" w:header="851" w:footer="992" w:gutter="0"/>
          <w:cols w:space="425" w:num="1"/>
          <w:docGrid w:type="lines" w:linePitch="312" w:charSpace="0"/>
        </w:sectPr>
      </w:pPr>
      <w:r>
        <w:rPr>
          <w:rFonts w:hint="eastAsia" w:ascii="Times New Roman" w:hAnsi="Times New Roman" w:cs="Times New Roman"/>
          <w:sz w:val="32"/>
          <w:szCs w:val="32"/>
        </w:rPr>
        <w:t>（见附件1）</w:t>
      </w:r>
    </w:p>
    <w:p w14:paraId="42AD05CB">
      <w:pPr>
        <w:pStyle w:val="16"/>
        <w:jc w:val="both"/>
        <w:rPr>
          <w:rFonts w:ascii="Times New Roman" w:hAnsi="Times New Roman" w:cs="Times New Roman"/>
          <w:sz w:val="84"/>
          <w:szCs w:val="84"/>
        </w:rPr>
      </w:pPr>
    </w:p>
    <w:p w14:paraId="24F85E0F">
      <w:pPr>
        <w:pStyle w:val="16"/>
        <w:jc w:val="both"/>
        <w:rPr>
          <w:rFonts w:ascii="Times New Roman" w:hAnsi="Times New Roman" w:cs="Times New Roman"/>
          <w:sz w:val="84"/>
          <w:szCs w:val="84"/>
        </w:rPr>
      </w:pPr>
    </w:p>
    <w:p w14:paraId="086AB8A8">
      <w:pPr>
        <w:pStyle w:val="16"/>
        <w:jc w:val="center"/>
        <w:rPr>
          <w:rFonts w:ascii="Times New Roman" w:hAnsi="Times New Roman" w:eastAsia="方正小标宋简体" w:cs="Times New Roman"/>
          <w:sz w:val="76"/>
          <w:szCs w:val="76"/>
        </w:rPr>
      </w:pPr>
      <w:r>
        <w:rPr>
          <w:rFonts w:ascii="Times New Roman" w:hAnsi="Times New Roman" w:eastAsia="方正小标宋简体" w:cs="Times New Roman"/>
          <w:sz w:val="72"/>
          <w:szCs w:val="72"/>
        </w:rPr>
        <w:t>第三部分</w:t>
      </w:r>
    </w:p>
    <w:p w14:paraId="53FEA17D">
      <w:pPr>
        <w:pStyle w:val="16"/>
        <w:jc w:val="center"/>
        <w:rPr>
          <w:rFonts w:ascii="Times New Roman" w:hAnsi="Times New Roman" w:eastAsia="方正小标宋简体" w:cs="Times New Roman"/>
          <w:sz w:val="76"/>
          <w:szCs w:val="76"/>
        </w:rPr>
      </w:pPr>
    </w:p>
    <w:p w14:paraId="3FE13B3F">
      <w:pPr>
        <w:pStyle w:val="16"/>
        <w:jc w:val="center"/>
        <w:rPr>
          <w:rFonts w:ascii="Times New Roman" w:hAnsi="Times New Roman" w:eastAsia="仿宋_GB2312" w:cs="Times New Roman"/>
          <w:sz w:val="28"/>
          <w:szCs w:val="28"/>
        </w:rPr>
      </w:pPr>
      <w:r>
        <w:rPr>
          <w:rFonts w:ascii="Times New Roman" w:hAnsi="Times New Roman" w:eastAsia="方正小标宋简体" w:cs="Times New Roman"/>
          <w:sz w:val="72"/>
          <w:szCs w:val="72"/>
        </w:rPr>
        <w:t>2023年度部门决算情况说明</w:t>
      </w:r>
    </w:p>
    <w:p w14:paraId="638D9682">
      <w:pPr>
        <w:pStyle w:val="16"/>
        <w:spacing w:line="570" w:lineRule="exact"/>
        <w:ind w:firstLine="640" w:firstLineChars="200"/>
        <w:jc w:val="both"/>
        <w:rPr>
          <w:rFonts w:ascii="Times New Roman" w:hAnsi="Times New Roman" w:cs="Times New Roman"/>
          <w:sz w:val="32"/>
          <w:szCs w:val="32"/>
        </w:rPr>
      </w:pPr>
      <w:r>
        <w:rPr>
          <w:rFonts w:ascii="Times New Roman" w:hAnsi="Times New Roman" w:cs="Times New Roman"/>
          <w:sz w:val="32"/>
          <w:szCs w:val="32"/>
        </w:rPr>
        <w:br w:type="page"/>
      </w:r>
      <w:r>
        <w:rPr>
          <w:rFonts w:ascii="Times New Roman" w:hAnsi="Times New Roman" w:cs="Times New Roman"/>
          <w:sz w:val="32"/>
          <w:szCs w:val="32"/>
        </w:rPr>
        <w:t>一、收入支出决算总体情况说明</w:t>
      </w:r>
    </w:p>
    <w:p w14:paraId="48E9C4FB">
      <w:pPr>
        <w:pStyle w:val="16"/>
        <w:spacing w:line="580" w:lineRule="exact"/>
        <w:ind w:firstLine="640" w:firstLineChars="200"/>
        <w:jc w:val="both"/>
        <w:rPr>
          <w:rFonts w:ascii="Times New Roman" w:hAnsi="Times New Roman" w:eastAsia="仿宋_GB2312"/>
          <w:sz w:val="32"/>
          <w:szCs w:val="32"/>
        </w:rPr>
      </w:pPr>
      <w:r>
        <w:rPr>
          <w:rFonts w:hint="eastAsia" w:ascii="Times New Roman" w:hAnsi="Times New Roman" w:eastAsia="仿宋_GB2312"/>
          <w:sz w:val="32"/>
          <w:szCs w:val="32"/>
        </w:rPr>
        <w:t>2023年度收、支总计587.19万元。与上年相比，增加55.44万元，增加10.43%，主要原因是人员增多，增加了工资福利开支。</w:t>
      </w:r>
    </w:p>
    <w:p w14:paraId="710D3F25">
      <w:pPr>
        <w:pStyle w:val="16"/>
        <w:spacing w:line="570" w:lineRule="exact"/>
        <w:ind w:firstLine="640" w:firstLineChars="200"/>
        <w:jc w:val="both"/>
        <w:rPr>
          <w:rFonts w:ascii="Times New Roman" w:hAnsi="Times New Roman" w:eastAsia="仿宋_GB2312" w:cs="Times New Roman"/>
          <w:sz w:val="32"/>
          <w:szCs w:val="32"/>
        </w:rPr>
      </w:pPr>
      <w:r>
        <w:rPr>
          <w:rFonts w:ascii="Times New Roman" w:hAnsi="Times New Roman" w:cs="Times New Roman"/>
          <w:sz w:val="32"/>
          <w:szCs w:val="32"/>
        </w:rPr>
        <w:t>二、收入决算情况说明</w:t>
      </w:r>
    </w:p>
    <w:p w14:paraId="5DB3C11F">
      <w:pPr>
        <w:pStyle w:val="16"/>
        <w:spacing w:line="580" w:lineRule="exact"/>
        <w:ind w:firstLine="640" w:firstLineChars="200"/>
        <w:jc w:val="both"/>
        <w:rPr>
          <w:rFonts w:ascii="Times New Roman" w:hAnsi="Times New Roman" w:eastAsia="仿宋_GB2312"/>
          <w:sz w:val="32"/>
          <w:szCs w:val="32"/>
        </w:rPr>
      </w:pPr>
      <w:r>
        <w:rPr>
          <w:rFonts w:hint="eastAsia" w:ascii="Times New Roman" w:hAnsi="Times New Roman" w:eastAsia="仿宋_GB2312"/>
          <w:sz w:val="32"/>
          <w:szCs w:val="32"/>
        </w:rPr>
        <w:t>本年收入合计587.19万元，其中财政拨款收入586.49万元，其它收入0.70万元。</w:t>
      </w:r>
    </w:p>
    <w:p w14:paraId="516720FA">
      <w:pPr>
        <w:pStyle w:val="16"/>
        <w:spacing w:line="570" w:lineRule="exact"/>
        <w:ind w:firstLine="640" w:firstLineChars="200"/>
        <w:jc w:val="both"/>
        <w:rPr>
          <w:rFonts w:ascii="Times New Roman" w:hAnsi="Times New Roman" w:eastAsia="仿宋_GB2312" w:cs="Times New Roman"/>
          <w:sz w:val="32"/>
          <w:szCs w:val="32"/>
        </w:rPr>
      </w:pPr>
      <w:r>
        <w:rPr>
          <w:rFonts w:ascii="Times New Roman" w:hAnsi="Times New Roman" w:cs="Times New Roman"/>
          <w:sz w:val="32"/>
          <w:szCs w:val="32"/>
        </w:rPr>
        <w:t>三、支出决算情况说明</w:t>
      </w:r>
    </w:p>
    <w:p w14:paraId="17BD7D2B">
      <w:pPr>
        <w:pStyle w:val="16"/>
        <w:spacing w:line="580" w:lineRule="exact"/>
        <w:ind w:firstLine="640" w:firstLineChars="200"/>
        <w:jc w:val="both"/>
        <w:rPr>
          <w:rFonts w:ascii="Times New Roman" w:hAnsi="Times New Roman" w:eastAsia="仿宋_GB2312"/>
          <w:sz w:val="32"/>
          <w:szCs w:val="32"/>
        </w:rPr>
      </w:pPr>
      <w:r>
        <w:rPr>
          <w:rFonts w:hint="eastAsia" w:ascii="Times New Roman" w:hAnsi="Times New Roman" w:eastAsia="仿宋_GB2312"/>
          <w:sz w:val="32"/>
          <w:szCs w:val="32"/>
        </w:rPr>
        <w:t>本年支出合计587.19万元，其中：基本支出483.40万元，占82.32%；项目支出103.79万元，占17.68%；上缴上级支出0万元，占0%；经营支出0万元，占0%；对附属单位补助支出0万元，占0%。</w:t>
      </w:r>
    </w:p>
    <w:p w14:paraId="090DF6B0">
      <w:pPr>
        <w:pStyle w:val="16"/>
        <w:spacing w:line="570" w:lineRule="exact"/>
        <w:ind w:firstLine="640" w:firstLineChars="200"/>
        <w:jc w:val="both"/>
        <w:rPr>
          <w:rFonts w:ascii="Times New Roman" w:hAnsi="Times New Roman" w:cs="Times New Roman"/>
          <w:sz w:val="32"/>
          <w:szCs w:val="32"/>
        </w:rPr>
      </w:pPr>
      <w:r>
        <w:rPr>
          <w:rFonts w:ascii="Times New Roman" w:hAnsi="Times New Roman" w:cs="Times New Roman"/>
          <w:sz w:val="32"/>
          <w:szCs w:val="32"/>
        </w:rPr>
        <w:t>四、财政拨款收入支出决算总体情况说明</w:t>
      </w:r>
    </w:p>
    <w:p w14:paraId="75B3D03C">
      <w:pPr>
        <w:pStyle w:val="16"/>
        <w:spacing w:line="580" w:lineRule="exact"/>
        <w:ind w:firstLine="640" w:firstLineChars="200"/>
        <w:jc w:val="both"/>
        <w:rPr>
          <w:rFonts w:ascii="Times New Roman" w:hAnsi="Times New Roman" w:eastAsia="仿宋_GB2312"/>
          <w:sz w:val="32"/>
          <w:szCs w:val="32"/>
        </w:rPr>
      </w:pPr>
      <w:r>
        <w:rPr>
          <w:rFonts w:hint="eastAsia" w:ascii="Times New Roman" w:hAnsi="Times New Roman" w:eastAsia="仿宋_GB2312"/>
          <w:sz w:val="32"/>
          <w:szCs w:val="32"/>
        </w:rPr>
        <w:t>2023年度财政拨款收、支总计586.49万元，与上年相比，增加54.74万元，增加10.29%，主要是因为人员增多，增加了工资福利开支。</w:t>
      </w:r>
    </w:p>
    <w:p w14:paraId="4DA86EBA">
      <w:pPr>
        <w:pStyle w:val="7"/>
        <w:autoSpaceDE w:val="0"/>
        <w:autoSpaceDN w:val="0"/>
        <w:adjustRightInd w:val="0"/>
        <w:spacing w:line="570" w:lineRule="exact"/>
        <w:ind w:firstLine="640" w:firstLineChars="200"/>
        <w:rPr>
          <w:rFonts w:ascii="Times New Roman" w:hAnsi="Times New Roman" w:cs="Times New Roman"/>
          <w:sz w:val="32"/>
          <w:szCs w:val="32"/>
        </w:rPr>
      </w:pPr>
      <w:r>
        <w:rPr>
          <w:rFonts w:ascii="Times New Roman" w:hAnsi="Times New Roman" w:eastAsia="黑体" w:cs="Times New Roman"/>
          <w:color w:val="000000"/>
          <w:kern w:val="0"/>
          <w:sz w:val="32"/>
          <w:szCs w:val="32"/>
        </w:rPr>
        <w:t>五、一般公共预算财政拨款支出决算情况说明</w:t>
      </w:r>
    </w:p>
    <w:p w14:paraId="69CAC0E0">
      <w:pPr>
        <w:pStyle w:val="7"/>
        <w:autoSpaceDE w:val="0"/>
        <w:autoSpaceDN w:val="0"/>
        <w:adjustRightInd w:val="0"/>
        <w:spacing w:line="570" w:lineRule="exact"/>
        <w:ind w:firstLine="640" w:firstLineChars="200"/>
        <w:rPr>
          <w:rFonts w:ascii="Times New Roman" w:hAnsi="Times New Roman" w:eastAsia="楷体_GB2312" w:cs="Times New Roman"/>
          <w:b/>
          <w:sz w:val="32"/>
          <w:szCs w:val="32"/>
        </w:rPr>
      </w:pPr>
      <w:r>
        <w:rPr>
          <w:rFonts w:ascii="Times New Roman" w:hAnsi="Times New Roman" w:eastAsia="楷体_GB2312" w:cs="Times New Roman"/>
          <w:b/>
          <w:color w:val="000000"/>
          <w:kern w:val="0"/>
          <w:sz w:val="32"/>
          <w:szCs w:val="32"/>
        </w:rPr>
        <w:t>（一）财政拨款支出决算总体情况</w:t>
      </w:r>
    </w:p>
    <w:p w14:paraId="138C7E3D">
      <w:pPr>
        <w:pStyle w:val="16"/>
        <w:spacing w:line="580" w:lineRule="exact"/>
        <w:ind w:firstLine="640" w:firstLineChars="200"/>
        <w:jc w:val="both"/>
        <w:rPr>
          <w:rFonts w:ascii="Times New Roman" w:hAnsi="Times New Roman" w:eastAsia="仿宋_GB2312"/>
          <w:sz w:val="32"/>
          <w:szCs w:val="32"/>
        </w:rPr>
      </w:pPr>
      <w:r>
        <w:rPr>
          <w:rFonts w:hint="eastAsia" w:ascii="Times New Roman" w:hAnsi="Times New Roman" w:eastAsia="仿宋_GB2312"/>
          <w:sz w:val="32"/>
          <w:szCs w:val="32"/>
        </w:rPr>
        <w:t>2023年度财政拨款支出586.49万元，占本年支出合计的99.88%，与上年相比，财政拨款支出增加54.74万元，增加10.29%，主要是因为人员增多，增加了工资福利开支。</w:t>
      </w:r>
    </w:p>
    <w:p w14:paraId="5873F767">
      <w:pPr>
        <w:pStyle w:val="7"/>
        <w:autoSpaceDE w:val="0"/>
        <w:autoSpaceDN w:val="0"/>
        <w:adjustRightInd w:val="0"/>
        <w:spacing w:line="570" w:lineRule="exact"/>
        <w:ind w:firstLine="640" w:firstLineChars="200"/>
        <w:rPr>
          <w:rFonts w:ascii="Times New Roman" w:hAnsi="Times New Roman" w:eastAsia="楷体_GB2312" w:cs="Times New Roman"/>
          <w:b/>
          <w:sz w:val="32"/>
          <w:szCs w:val="32"/>
        </w:rPr>
      </w:pPr>
      <w:r>
        <w:rPr>
          <w:rFonts w:ascii="Times New Roman" w:hAnsi="Times New Roman" w:eastAsia="楷体_GB2312" w:cs="Times New Roman"/>
          <w:b/>
          <w:color w:val="000000"/>
          <w:kern w:val="0"/>
          <w:sz w:val="32"/>
          <w:szCs w:val="32"/>
        </w:rPr>
        <w:t>（二）财政拨款支出决算结构情况</w:t>
      </w:r>
    </w:p>
    <w:p w14:paraId="5502275D">
      <w:pPr>
        <w:pStyle w:val="16"/>
        <w:spacing w:line="580" w:lineRule="exact"/>
        <w:ind w:firstLine="640" w:firstLineChars="200"/>
        <w:jc w:val="both"/>
        <w:rPr>
          <w:rFonts w:ascii="Times New Roman" w:hAnsi="Times New Roman" w:eastAsia="仿宋_GB2312"/>
          <w:sz w:val="32"/>
          <w:szCs w:val="32"/>
        </w:rPr>
      </w:pPr>
      <w:r>
        <w:rPr>
          <w:rFonts w:hint="eastAsia" w:ascii="Times New Roman" w:hAnsi="Times New Roman" w:eastAsia="仿宋_GB2312"/>
          <w:sz w:val="32"/>
          <w:szCs w:val="32"/>
        </w:rPr>
        <w:t>2023年度财政拨款支出586.49万元，主要用于以下方面：一般公共服务（类）支出586.49万元，占100%。</w:t>
      </w:r>
    </w:p>
    <w:p w14:paraId="5730EA9D">
      <w:pPr>
        <w:pStyle w:val="7"/>
        <w:autoSpaceDE w:val="0"/>
        <w:autoSpaceDN w:val="0"/>
        <w:adjustRightInd w:val="0"/>
        <w:spacing w:line="570" w:lineRule="exact"/>
        <w:ind w:firstLine="640" w:firstLineChars="200"/>
        <w:rPr>
          <w:rFonts w:ascii="Times New Roman" w:hAnsi="Times New Roman" w:eastAsia="楷体_GB2312" w:cs="Times New Roman"/>
          <w:b/>
          <w:sz w:val="32"/>
          <w:szCs w:val="32"/>
        </w:rPr>
      </w:pPr>
      <w:r>
        <w:rPr>
          <w:rFonts w:ascii="Times New Roman" w:hAnsi="Times New Roman" w:eastAsia="楷体_GB2312" w:cs="Times New Roman"/>
          <w:b/>
          <w:color w:val="000000"/>
          <w:kern w:val="0"/>
          <w:sz w:val="32"/>
          <w:szCs w:val="32"/>
        </w:rPr>
        <w:t>（三）财政拨款支出决算具体情况</w:t>
      </w:r>
    </w:p>
    <w:p w14:paraId="7D63ABFF">
      <w:pPr>
        <w:pStyle w:val="16"/>
        <w:spacing w:line="580" w:lineRule="exact"/>
        <w:ind w:firstLine="640" w:firstLineChars="200"/>
        <w:jc w:val="both"/>
        <w:rPr>
          <w:rFonts w:ascii="Times New Roman" w:hAnsi="Times New Roman" w:eastAsia="仿宋_GB2312"/>
          <w:sz w:val="32"/>
          <w:szCs w:val="32"/>
        </w:rPr>
      </w:pPr>
      <w:r>
        <w:rPr>
          <w:rFonts w:hint="eastAsia" w:ascii="Times New Roman" w:hAnsi="Times New Roman" w:eastAsia="仿宋_GB2312"/>
          <w:sz w:val="32"/>
          <w:szCs w:val="32"/>
        </w:rPr>
        <w:t>2023年度财政拨款支出年初预算数为528.24万元，支出决算数为586.49万元，完成年初预算的111.03%，其中：</w:t>
      </w:r>
    </w:p>
    <w:p w14:paraId="61658486">
      <w:pPr>
        <w:pStyle w:val="16"/>
        <w:spacing w:line="580" w:lineRule="exact"/>
        <w:ind w:firstLine="640" w:firstLineChars="200"/>
        <w:jc w:val="both"/>
        <w:rPr>
          <w:rFonts w:ascii="Times New Roman" w:hAnsi="Times New Roman" w:eastAsia="仿宋_GB2312"/>
          <w:sz w:val="32"/>
          <w:szCs w:val="32"/>
        </w:rPr>
      </w:pPr>
      <w:r>
        <w:rPr>
          <w:rFonts w:hint="eastAsia" w:ascii="Times New Roman" w:hAnsi="Times New Roman" w:eastAsia="仿宋_GB2312"/>
          <w:sz w:val="32"/>
          <w:szCs w:val="32"/>
        </w:rPr>
        <w:t>1、一般公共服务（类）政协事务（款）行政运行（项）。</w:t>
      </w:r>
    </w:p>
    <w:p w14:paraId="4D1715E6">
      <w:pPr>
        <w:pStyle w:val="16"/>
        <w:spacing w:line="580" w:lineRule="exact"/>
        <w:ind w:firstLine="640" w:firstLineChars="200"/>
        <w:jc w:val="both"/>
        <w:rPr>
          <w:rFonts w:ascii="Times New Roman" w:hAnsi="Times New Roman" w:eastAsia="仿宋_GB2312"/>
          <w:sz w:val="32"/>
          <w:szCs w:val="32"/>
        </w:rPr>
      </w:pPr>
      <w:r>
        <w:rPr>
          <w:rFonts w:hint="eastAsia" w:ascii="Times New Roman" w:hAnsi="Times New Roman" w:eastAsia="仿宋_GB2312"/>
          <w:sz w:val="32"/>
          <w:szCs w:val="32"/>
        </w:rPr>
        <w:t>年初预算为443.64万元，支出决算为464.64万元，完成年初预算的104.73%，决算数大于年初预算数的主要原因是：人员增多，增加了工资福利开支。</w:t>
      </w:r>
    </w:p>
    <w:p w14:paraId="594609D6">
      <w:pPr>
        <w:pStyle w:val="16"/>
        <w:spacing w:line="580" w:lineRule="exact"/>
        <w:ind w:firstLine="640" w:firstLineChars="200"/>
        <w:jc w:val="both"/>
        <w:rPr>
          <w:rFonts w:ascii="Times New Roman" w:hAnsi="Times New Roman" w:eastAsia="仿宋_GB2312"/>
          <w:sz w:val="32"/>
          <w:szCs w:val="32"/>
        </w:rPr>
      </w:pPr>
      <w:r>
        <w:rPr>
          <w:rFonts w:hint="eastAsia" w:ascii="Times New Roman" w:hAnsi="Times New Roman" w:eastAsia="仿宋_GB2312"/>
          <w:sz w:val="32"/>
          <w:szCs w:val="32"/>
        </w:rPr>
        <w:t>2、一般公共服务（类）政协事务（款）一般行政管理事务（项）。</w:t>
      </w:r>
    </w:p>
    <w:p w14:paraId="6B77F45D">
      <w:pPr>
        <w:pStyle w:val="16"/>
        <w:spacing w:line="580" w:lineRule="exact"/>
        <w:ind w:firstLine="640" w:firstLineChars="200"/>
        <w:jc w:val="both"/>
        <w:rPr>
          <w:rFonts w:ascii="Times New Roman" w:hAnsi="Times New Roman" w:eastAsia="仿宋_GB2312"/>
          <w:sz w:val="32"/>
          <w:szCs w:val="32"/>
        </w:rPr>
      </w:pPr>
      <w:r>
        <w:rPr>
          <w:rFonts w:hint="eastAsia" w:ascii="Times New Roman" w:hAnsi="Times New Roman" w:eastAsia="仿宋_GB2312"/>
          <w:sz w:val="32"/>
          <w:szCs w:val="32"/>
        </w:rPr>
        <w:t>年初预算为31.5万元，支出决算为33.68万元，完成年初预算的106.92%，决算数大于年初预算数的主要原因是：年中临时安排的项目及部分项目预算费用偏少。</w:t>
      </w:r>
    </w:p>
    <w:p w14:paraId="25B338EA">
      <w:pPr>
        <w:pStyle w:val="16"/>
        <w:spacing w:line="580" w:lineRule="exact"/>
        <w:ind w:firstLine="640" w:firstLineChars="200"/>
        <w:jc w:val="both"/>
        <w:rPr>
          <w:rFonts w:ascii="Times New Roman" w:hAnsi="Times New Roman" w:eastAsia="仿宋_GB2312"/>
          <w:sz w:val="32"/>
          <w:szCs w:val="32"/>
        </w:rPr>
      </w:pPr>
      <w:r>
        <w:rPr>
          <w:rFonts w:hint="eastAsia" w:ascii="Times New Roman" w:hAnsi="Times New Roman" w:eastAsia="仿宋_GB2312"/>
          <w:sz w:val="32"/>
          <w:szCs w:val="32"/>
        </w:rPr>
        <w:t>3、一般公共服务（类）政协事务（款）政协会议（项）。</w:t>
      </w:r>
    </w:p>
    <w:p w14:paraId="1E41A644">
      <w:pPr>
        <w:pStyle w:val="16"/>
        <w:spacing w:line="580" w:lineRule="exact"/>
        <w:ind w:firstLine="640" w:firstLineChars="200"/>
        <w:jc w:val="both"/>
        <w:rPr>
          <w:rFonts w:ascii="Times New Roman" w:hAnsi="Times New Roman" w:eastAsia="仿宋_GB2312"/>
          <w:sz w:val="32"/>
          <w:szCs w:val="32"/>
        </w:rPr>
      </w:pPr>
      <w:r>
        <w:rPr>
          <w:rFonts w:hint="eastAsia" w:ascii="Times New Roman" w:hAnsi="Times New Roman" w:eastAsia="仿宋_GB2312"/>
          <w:sz w:val="32"/>
          <w:szCs w:val="32"/>
        </w:rPr>
        <w:t>年初预算为0万元，支出决算为15.17万元，决算数大于年初预算数的主要原因是：年中临时安排的项目及部分项目预算费用偏少。</w:t>
      </w:r>
    </w:p>
    <w:p w14:paraId="37CF72A9">
      <w:pPr>
        <w:pStyle w:val="16"/>
        <w:spacing w:line="580" w:lineRule="exact"/>
        <w:ind w:firstLine="640" w:firstLineChars="200"/>
        <w:jc w:val="both"/>
        <w:rPr>
          <w:rFonts w:ascii="Times New Roman" w:hAnsi="Times New Roman" w:eastAsia="仿宋_GB2312"/>
          <w:sz w:val="32"/>
          <w:szCs w:val="32"/>
        </w:rPr>
      </w:pPr>
      <w:r>
        <w:rPr>
          <w:rFonts w:hint="eastAsia" w:ascii="Times New Roman" w:hAnsi="Times New Roman" w:eastAsia="仿宋_GB2312"/>
          <w:sz w:val="32"/>
          <w:szCs w:val="32"/>
        </w:rPr>
        <w:t>4、一般公共服务（类）政协事务（款）委员视察（项）。</w:t>
      </w:r>
    </w:p>
    <w:p w14:paraId="5DFB83BF">
      <w:pPr>
        <w:pStyle w:val="16"/>
        <w:spacing w:line="580" w:lineRule="exact"/>
        <w:ind w:firstLine="640" w:firstLineChars="200"/>
        <w:jc w:val="both"/>
        <w:rPr>
          <w:rFonts w:ascii="Times New Roman" w:hAnsi="Times New Roman" w:eastAsia="仿宋_GB2312"/>
          <w:sz w:val="32"/>
          <w:szCs w:val="32"/>
        </w:rPr>
      </w:pPr>
      <w:r>
        <w:rPr>
          <w:rFonts w:hint="eastAsia" w:ascii="Times New Roman" w:hAnsi="Times New Roman" w:eastAsia="仿宋_GB2312"/>
          <w:sz w:val="32"/>
          <w:szCs w:val="32"/>
        </w:rPr>
        <w:t>年初预算为0万元，支出决算为7.3万元，决算数大于年初预算数的主要原因是：年中临时安排的项目及部分项目预算费用偏少。</w:t>
      </w:r>
    </w:p>
    <w:p w14:paraId="6F5EF991">
      <w:pPr>
        <w:pStyle w:val="16"/>
        <w:spacing w:line="580" w:lineRule="exact"/>
        <w:ind w:firstLine="640" w:firstLineChars="200"/>
        <w:jc w:val="both"/>
        <w:rPr>
          <w:rFonts w:ascii="Times New Roman" w:hAnsi="Times New Roman" w:eastAsia="仿宋_GB2312"/>
          <w:sz w:val="32"/>
          <w:szCs w:val="32"/>
        </w:rPr>
      </w:pPr>
      <w:r>
        <w:rPr>
          <w:rFonts w:hint="eastAsia" w:ascii="Times New Roman" w:hAnsi="Times New Roman" w:eastAsia="仿宋_GB2312"/>
          <w:sz w:val="32"/>
          <w:szCs w:val="32"/>
        </w:rPr>
        <w:t>5、一般公共服务（类）政协事务（款）其他政协事务支出（项）。</w:t>
      </w:r>
    </w:p>
    <w:p w14:paraId="31BCC95E">
      <w:pPr>
        <w:pStyle w:val="16"/>
        <w:spacing w:line="580" w:lineRule="exact"/>
        <w:ind w:firstLine="640" w:firstLineChars="200"/>
        <w:jc w:val="both"/>
        <w:rPr>
          <w:rFonts w:ascii="Times New Roman" w:hAnsi="Times New Roman" w:eastAsia="仿宋_GB2312"/>
          <w:sz w:val="32"/>
          <w:szCs w:val="32"/>
        </w:rPr>
      </w:pPr>
      <w:r>
        <w:rPr>
          <w:rFonts w:hint="eastAsia" w:ascii="Times New Roman" w:hAnsi="Times New Roman" w:eastAsia="仿宋_GB2312"/>
          <w:sz w:val="32"/>
          <w:szCs w:val="32"/>
        </w:rPr>
        <w:t>年初预算为53.1元，支出决算为65.56万元，完成年初预算的123.47%，决算数大于年初预算数的主要原因是：年中临时安排的项目及部分项目预算费用偏少。</w:t>
      </w:r>
    </w:p>
    <w:p w14:paraId="775219CB">
      <w:pPr>
        <w:pStyle w:val="16"/>
        <w:spacing w:line="580" w:lineRule="exact"/>
        <w:ind w:firstLine="640" w:firstLineChars="200"/>
        <w:jc w:val="both"/>
        <w:rPr>
          <w:rFonts w:ascii="Times New Roman" w:hAnsi="Times New Roman" w:eastAsia="仿宋_GB2312"/>
          <w:sz w:val="32"/>
          <w:szCs w:val="32"/>
        </w:rPr>
      </w:pPr>
      <w:r>
        <w:rPr>
          <w:rFonts w:hint="eastAsia" w:ascii="Times New Roman" w:hAnsi="Times New Roman" w:eastAsia="仿宋_GB2312"/>
          <w:sz w:val="32"/>
          <w:szCs w:val="32"/>
        </w:rPr>
        <w:t>6、一般公共服务（类）其他支出（款）其他支出（项）。</w:t>
      </w:r>
    </w:p>
    <w:p w14:paraId="77D8EA1B">
      <w:pPr>
        <w:pStyle w:val="16"/>
        <w:spacing w:line="580" w:lineRule="exact"/>
        <w:ind w:firstLine="640" w:firstLineChars="200"/>
        <w:jc w:val="both"/>
        <w:rPr>
          <w:rFonts w:ascii="Times New Roman" w:hAnsi="Times New Roman" w:eastAsia="仿宋_GB2312"/>
          <w:sz w:val="32"/>
          <w:szCs w:val="32"/>
        </w:rPr>
      </w:pPr>
      <w:r>
        <w:rPr>
          <w:rFonts w:hint="eastAsia" w:ascii="Times New Roman" w:hAnsi="Times New Roman" w:eastAsia="仿宋_GB2312"/>
          <w:sz w:val="32"/>
          <w:szCs w:val="32"/>
        </w:rPr>
        <w:t>年初预算为0万元，支出决算为0.14万元，决算数大于年初预算数的主要原因是：年中临时安排的项目及部分项目预算费用偏少。</w:t>
      </w:r>
    </w:p>
    <w:p w14:paraId="469A407C">
      <w:pPr>
        <w:pStyle w:val="7"/>
        <w:autoSpaceDE w:val="0"/>
        <w:autoSpaceDN w:val="0"/>
        <w:adjustRightInd w:val="0"/>
        <w:spacing w:line="570" w:lineRule="exact"/>
        <w:ind w:firstLine="640" w:firstLineChars="200"/>
        <w:rPr>
          <w:rFonts w:ascii="Times New Roman" w:hAnsi="Times New Roman" w:cs="Times New Roman"/>
          <w:sz w:val="32"/>
          <w:szCs w:val="32"/>
        </w:rPr>
      </w:pPr>
      <w:r>
        <w:rPr>
          <w:rFonts w:ascii="Times New Roman" w:hAnsi="Times New Roman" w:eastAsia="黑体" w:cs="Times New Roman"/>
          <w:color w:val="000000"/>
          <w:kern w:val="0"/>
          <w:sz w:val="32"/>
          <w:szCs w:val="32"/>
        </w:rPr>
        <w:t>六、一般公共预算财政拨款基本支出决算情况说明</w:t>
      </w:r>
    </w:p>
    <w:p w14:paraId="63CAA430">
      <w:pPr>
        <w:pStyle w:val="16"/>
        <w:spacing w:line="580" w:lineRule="exact"/>
        <w:ind w:firstLine="640" w:firstLineChars="200"/>
        <w:jc w:val="both"/>
        <w:rPr>
          <w:rFonts w:ascii="Times New Roman" w:hAnsi="Times New Roman" w:eastAsia="仿宋_GB2312"/>
          <w:sz w:val="32"/>
          <w:szCs w:val="32"/>
        </w:rPr>
      </w:pPr>
      <w:r>
        <w:rPr>
          <w:rFonts w:hint="eastAsia" w:ascii="Times New Roman" w:hAnsi="Times New Roman" w:eastAsia="仿宋_GB2312"/>
          <w:sz w:val="32"/>
          <w:szCs w:val="32"/>
        </w:rPr>
        <w:t>2023年度财政拨款基本支出482.69万元，其中：人员经费434.77万元，占基本支出的90.07%，主要包括基本工资、津贴补贴、奖金、伙食补助费、社会保险缴费、退休费、奖励金等；公用经费47.92万元，占基本支出的9.93%，主要包括办公费、邮电费、差旅费、会议费、培训费、工会经费、其他交通费等。</w:t>
      </w:r>
    </w:p>
    <w:p w14:paraId="18AF7AC7">
      <w:pPr>
        <w:pStyle w:val="7"/>
        <w:autoSpaceDE w:val="0"/>
        <w:autoSpaceDN w:val="0"/>
        <w:adjustRightInd w:val="0"/>
        <w:spacing w:line="570" w:lineRule="exact"/>
        <w:ind w:firstLine="640" w:firstLineChars="200"/>
        <w:rPr>
          <w:rFonts w:ascii="Times New Roman" w:hAnsi="Times New Roman" w:cs="Times New Roman"/>
          <w:sz w:val="32"/>
          <w:szCs w:val="32"/>
        </w:rPr>
      </w:pPr>
      <w:r>
        <w:rPr>
          <w:rFonts w:ascii="Times New Roman" w:hAnsi="Times New Roman" w:eastAsia="黑体" w:cs="Times New Roman"/>
          <w:color w:val="000000"/>
          <w:kern w:val="0"/>
          <w:sz w:val="32"/>
          <w:szCs w:val="32"/>
        </w:rPr>
        <w:t>七、一般公共预算财政拨款“三公”经费支出决算情况说明</w:t>
      </w:r>
    </w:p>
    <w:p w14:paraId="206A6F1A">
      <w:pPr>
        <w:pStyle w:val="7"/>
        <w:autoSpaceDE w:val="0"/>
        <w:autoSpaceDN w:val="0"/>
        <w:adjustRightInd w:val="0"/>
        <w:spacing w:line="570" w:lineRule="exact"/>
        <w:ind w:firstLine="640" w:firstLineChars="200"/>
        <w:rPr>
          <w:rFonts w:ascii="Times New Roman" w:hAnsi="Times New Roman" w:eastAsia="楷体_GB2312" w:cs="Times New Roman"/>
          <w:b/>
          <w:color w:val="000000"/>
          <w:kern w:val="0"/>
          <w:sz w:val="32"/>
          <w:szCs w:val="32"/>
        </w:rPr>
      </w:pPr>
      <w:r>
        <w:rPr>
          <w:rFonts w:ascii="Times New Roman" w:hAnsi="Times New Roman" w:eastAsia="楷体_GB2312" w:cs="Times New Roman"/>
          <w:b/>
          <w:color w:val="000000"/>
          <w:kern w:val="0"/>
          <w:sz w:val="32"/>
          <w:szCs w:val="32"/>
        </w:rPr>
        <w:t>（一）“三公”经费财政拨款支出决算总体情况说明</w:t>
      </w:r>
    </w:p>
    <w:p w14:paraId="1323E66E">
      <w:pPr>
        <w:pStyle w:val="16"/>
        <w:spacing w:line="580" w:lineRule="exact"/>
        <w:ind w:firstLine="640" w:firstLineChars="200"/>
        <w:jc w:val="both"/>
        <w:rPr>
          <w:rFonts w:ascii="Times New Roman" w:hAnsi="Times New Roman" w:eastAsia="仿宋_GB2312"/>
          <w:sz w:val="32"/>
          <w:szCs w:val="32"/>
        </w:rPr>
      </w:pPr>
      <w:r>
        <w:rPr>
          <w:rFonts w:hint="eastAsia" w:ascii="Times New Roman" w:hAnsi="Times New Roman" w:eastAsia="仿宋_GB2312"/>
          <w:sz w:val="32"/>
          <w:szCs w:val="32"/>
        </w:rPr>
        <w:t>2023年度“三公”经费财政拨款支出预算为0万元，支出决算为1.1万元。</w:t>
      </w:r>
    </w:p>
    <w:p w14:paraId="0DBC7F71">
      <w:pPr>
        <w:pStyle w:val="16"/>
        <w:ind w:firstLine="800" w:firstLineChars="250"/>
        <w:rPr>
          <w:rFonts w:ascii="Times New Roman" w:hAnsi="Times New Roman" w:eastAsia="仿宋" w:cs="Times New Roman"/>
          <w:sz w:val="32"/>
          <w:szCs w:val="32"/>
        </w:rPr>
      </w:pPr>
      <w:r>
        <w:rPr>
          <w:rFonts w:ascii="Times New Roman" w:hAnsi="Times New Roman" w:eastAsia="仿宋" w:cs="Times New Roman"/>
          <w:sz w:val="32"/>
          <w:szCs w:val="32"/>
        </w:rPr>
        <w:t>其中：</w:t>
      </w:r>
    </w:p>
    <w:p w14:paraId="61F50150">
      <w:pPr>
        <w:pStyle w:val="16"/>
        <w:ind w:firstLine="800" w:firstLineChars="250"/>
        <w:rPr>
          <w:rFonts w:ascii="Times New Roman" w:hAnsi="Times New Roman" w:eastAsia="仿宋" w:cs="Times New Roman"/>
          <w:sz w:val="32"/>
          <w:szCs w:val="32"/>
        </w:rPr>
      </w:pPr>
      <w:r>
        <w:rPr>
          <w:rFonts w:ascii="Times New Roman" w:hAnsi="Times New Roman" w:eastAsia="仿宋" w:cs="Times New Roman"/>
          <w:sz w:val="32"/>
          <w:szCs w:val="32"/>
        </w:rPr>
        <w:t>因公出国（境）费支出预算为</w:t>
      </w:r>
      <w:r>
        <w:rPr>
          <w:rFonts w:hint="eastAsia" w:ascii="Times New Roman" w:hAnsi="Times New Roman" w:eastAsia="仿宋" w:cs="Times New Roman"/>
          <w:sz w:val="32"/>
          <w:szCs w:val="32"/>
        </w:rPr>
        <w:t>0</w:t>
      </w:r>
      <w:r>
        <w:rPr>
          <w:rFonts w:ascii="Times New Roman" w:hAnsi="Times New Roman" w:eastAsia="仿宋" w:cs="Times New Roman"/>
          <w:sz w:val="32"/>
          <w:szCs w:val="32"/>
        </w:rPr>
        <w:t>万元，支出决算为</w:t>
      </w:r>
      <w:r>
        <w:rPr>
          <w:rFonts w:hint="eastAsia" w:ascii="Times New Roman" w:hAnsi="Times New Roman" w:eastAsia="仿宋" w:cs="Times New Roman"/>
          <w:sz w:val="32"/>
          <w:szCs w:val="32"/>
        </w:rPr>
        <w:t>0</w:t>
      </w:r>
      <w:r>
        <w:rPr>
          <w:rFonts w:ascii="Times New Roman" w:hAnsi="Times New Roman" w:eastAsia="仿宋" w:cs="Times New Roman"/>
          <w:sz w:val="32"/>
          <w:szCs w:val="32"/>
        </w:rPr>
        <w:t>万元，决算数等于预算数</w:t>
      </w:r>
      <w:r>
        <w:rPr>
          <w:rFonts w:hint="eastAsia" w:ascii="Times New Roman" w:hAnsi="Times New Roman" w:eastAsia="仿宋" w:cs="Times New Roman"/>
          <w:sz w:val="32"/>
          <w:szCs w:val="32"/>
        </w:rPr>
        <w:t>。</w:t>
      </w:r>
    </w:p>
    <w:p w14:paraId="4E5A2DF2">
      <w:pPr>
        <w:pStyle w:val="16"/>
        <w:ind w:firstLine="800" w:firstLineChars="250"/>
        <w:rPr>
          <w:rFonts w:ascii="Times New Roman" w:hAnsi="Times New Roman" w:eastAsia="仿宋" w:cs="Times New Roman"/>
          <w:sz w:val="32"/>
          <w:szCs w:val="32"/>
        </w:rPr>
      </w:pPr>
      <w:r>
        <w:rPr>
          <w:rFonts w:ascii="Times New Roman" w:hAnsi="Times New Roman" w:eastAsia="仿宋" w:cs="Times New Roman"/>
          <w:sz w:val="32"/>
          <w:szCs w:val="32"/>
        </w:rPr>
        <w:t>公务接待费支出预算为</w:t>
      </w:r>
      <w:r>
        <w:rPr>
          <w:rFonts w:hint="eastAsia" w:ascii="Times New Roman" w:hAnsi="Times New Roman" w:eastAsia="仿宋" w:cs="Times New Roman"/>
          <w:sz w:val="32"/>
          <w:szCs w:val="32"/>
        </w:rPr>
        <w:t>0</w:t>
      </w:r>
      <w:r>
        <w:rPr>
          <w:rFonts w:ascii="Times New Roman" w:hAnsi="Times New Roman" w:eastAsia="仿宋" w:cs="Times New Roman"/>
          <w:sz w:val="32"/>
          <w:szCs w:val="32"/>
        </w:rPr>
        <w:t>万元，支出决算为</w:t>
      </w:r>
      <w:r>
        <w:rPr>
          <w:rFonts w:hint="eastAsia" w:ascii="Times New Roman" w:hAnsi="Times New Roman" w:eastAsia="仿宋" w:cs="Times New Roman"/>
          <w:sz w:val="32"/>
          <w:szCs w:val="32"/>
        </w:rPr>
        <w:t>1.1</w:t>
      </w:r>
      <w:r>
        <w:rPr>
          <w:rFonts w:ascii="Times New Roman" w:hAnsi="Times New Roman" w:eastAsia="仿宋" w:cs="Times New Roman"/>
          <w:sz w:val="32"/>
          <w:szCs w:val="32"/>
        </w:rPr>
        <w:t>万元，与上年相比增加的主要原因是</w:t>
      </w:r>
      <w:r>
        <w:rPr>
          <w:rFonts w:hint="eastAsia" w:ascii="Times New Roman" w:hAnsi="Times New Roman" w:eastAsia="仿宋" w:cs="Times New Roman"/>
          <w:sz w:val="32"/>
          <w:szCs w:val="32"/>
        </w:rPr>
        <w:t>2023年大兴调研之风，各地政协来石峰考察调研团队增多，增加了公务接待开支。</w:t>
      </w:r>
    </w:p>
    <w:p w14:paraId="12F533D3">
      <w:pPr>
        <w:pStyle w:val="16"/>
        <w:ind w:firstLine="800" w:firstLineChars="250"/>
        <w:rPr>
          <w:rFonts w:ascii="Times New Roman" w:hAnsi="Times New Roman" w:eastAsia="仿宋" w:cs="Times New Roman"/>
          <w:sz w:val="32"/>
          <w:szCs w:val="32"/>
        </w:rPr>
      </w:pPr>
      <w:r>
        <w:rPr>
          <w:rFonts w:ascii="Times New Roman" w:hAnsi="Times New Roman" w:eastAsia="仿宋" w:cs="Times New Roman"/>
          <w:sz w:val="32"/>
          <w:szCs w:val="32"/>
        </w:rPr>
        <w:t>公务用车购置费支出预算为0万元，支出决算为0万元，决算数等于预算数</w:t>
      </w:r>
      <w:r>
        <w:rPr>
          <w:rFonts w:hint="eastAsia" w:ascii="Times New Roman" w:hAnsi="Times New Roman" w:eastAsia="仿宋" w:cs="Times New Roman"/>
          <w:sz w:val="32"/>
          <w:szCs w:val="32"/>
        </w:rPr>
        <w:t>。</w:t>
      </w:r>
    </w:p>
    <w:p w14:paraId="363CE80B">
      <w:pPr>
        <w:pStyle w:val="16"/>
        <w:ind w:firstLine="800" w:firstLineChars="250"/>
        <w:rPr>
          <w:rFonts w:ascii="Times New Roman" w:hAnsi="Times New Roman" w:eastAsia="仿宋" w:cs="Times New Roman"/>
          <w:sz w:val="32"/>
          <w:szCs w:val="32"/>
        </w:rPr>
      </w:pPr>
      <w:r>
        <w:rPr>
          <w:rFonts w:ascii="Times New Roman" w:hAnsi="Times New Roman" w:eastAsia="仿宋" w:cs="Times New Roman"/>
          <w:sz w:val="32"/>
          <w:szCs w:val="32"/>
        </w:rPr>
        <w:t>公务用车运行维护费支出预算为</w:t>
      </w:r>
      <w:r>
        <w:rPr>
          <w:rFonts w:hint="eastAsia" w:ascii="Times New Roman" w:hAnsi="Times New Roman" w:eastAsia="仿宋" w:cs="Times New Roman"/>
          <w:sz w:val="32"/>
          <w:szCs w:val="32"/>
        </w:rPr>
        <w:t>0</w:t>
      </w:r>
      <w:r>
        <w:rPr>
          <w:rFonts w:ascii="Times New Roman" w:hAnsi="Times New Roman" w:eastAsia="仿宋" w:cs="Times New Roman"/>
          <w:sz w:val="32"/>
          <w:szCs w:val="32"/>
        </w:rPr>
        <w:t>万元，支出决算为</w:t>
      </w:r>
      <w:r>
        <w:rPr>
          <w:rFonts w:hint="eastAsia" w:ascii="Times New Roman" w:hAnsi="Times New Roman" w:eastAsia="仿宋" w:cs="Times New Roman"/>
          <w:sz w:val="32"/>
          <w:szCs w:val="32"/>
        </w:rPr>
        <w:t>0</w:t>
      </w:r>
      <w:r>
        <w:rPr>
          <w:rFonts w:ascii="Times New Roman" w:hAnsi="Times New Roman" w:eastAsia="仿宋" w:cs="Times New Roman"/>
          <w:sz w:val="32"/>
          <w:szCs w:val="32"/>
        </w:rPr>
        <w:t>万元，决算数等于预算数</w:t>
      </w:r>
      <w:r>
        <w:rPr>
          <w:rFonts w:hint="eastAsia" w:ascii="Times New Roman" w:hAnsi="Times New Roman" w:eastAsia="仿宋" w:cs="Times New Roman"/>
          <w:sz w:val="32"/>
          <w:szCs w:val="32"/>
        </w:rPr>
        <w:t>。</w:t>
      </w:r>
    </w:p>
    <w:p w14:paraId="6F0C6548">
      <w:pPr>
        <w:pStyle w:val="16"/>
        <w:ind w:firstLine="640" w:firstLineChars="200"/>
        <w:rPr>
          <w:rFonts w:ascii="Times New Roman" w:hAnsi="Times New Roman" w:eastAsia="楷体_GB2312" w:cs="Times New Roman"/>
          <w:b/>
          <w:sz w:val="32"/>
          <w:szCs w:val="32"/>
        </w:rPr>
      </w:pPr>
      <w:r>
        <w:rPr>
          <w:rFonts w:ascii="Times New Roman" w:hAnsi="Times New Roman" w:eastAsia="楷体_GB2312" w:cs="Times New Roman"/>
          <w:b/>
          <w:sz w:val="32"/>
          <w:szCs w:val="32"/>
        </w:rPr>
        <w:t>（二）“三公”经费财政拨款支出决算具体情况说明</w:t>
      </w:r>
    </w:p>
    <w:p w14:paraId="56A2340B">
      <w:pPr>
        <w:pStyle w:val="16"/>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2023年度</w:t>
      </w:r>
      <w:r>
        <w:rPr>
          <w:rFonts w:hint="eastAsia" w:ascii="Times New Roman" w:hAnsi="Times New Roman" w:eastAsia="仿宋" w:cs="Times New Roman"/>
          <w:sz w:val="32"/>
          <w:szCs w:val="32"/>
        </w:rPr>
        <w:t>“</w:t>
      </w:r>
      <w:r>
        <w:rPr>
          <w:rFonts w:ascii="Times New Roman" w:hAnsi="Times New Roman" w:eastAsia="仿宋" w:cs="Times New Roman"/>
          <w:sz w:val="32"/>
          <w:szCs w:val="32"/>
        </w:rPr>
        <w:t>三公</w:t>
      </w:r>
      <w:r>
        <w:rPr>
          <w:rFonts w:hint="eastAsia" w:ascii="Times New Roman" w:hAnsi="Times New Roman" w:eastAsia="仿宋" w:cs="Times New Roman"/>
          <w:sz w:val="32"/>
          <w:szCs w:val="32"/>
        </w:rPr>
        <w:t>”</w:t>
      </w:r>
      <w:r>
        <w:rPr>
          <w:rFonts w:ascii="Times New Roman" w:hAnsi="Times New Roman" w:eastAsia="仿宋" w:cs="Times New Roman"/>
          <w:sz w:val="32"/>
          <w:szCs w:val="32"/>
        </w:rPr>
        <w:t>经费财政拨款支出决算中，公务接待费支出决算</w:t>
      </w:r>
      <w:r>
        <w:rPr>
          <w:rFonts w:hint="eastAsia" w:ascii="Times New Roman" w:hAnsi="Times New Roman" w:eastAsia="仿宋" w:cs="Times New Roman"/>
          <w:sz w:val="32"/>
          <w:szCs w:val="32"/>
        </w:rPr>
        <w:t>1.1</w:t>
      </w:r>
      <w:r>
        <w:rPr>
          <w:rFonts w:ascii="Times New Roman" w:hAnsi="Times New Roman" w:eastAsia="仿宋" w:cs="Times New Roman"/>
          <w:sz w:val="32"/>
          <w:szCs w:val="32"/>
        </w:rPr>
        <w:t>万元，占</w:t>
      </w:r>
      <w:r>
        <w:rPr>
          <w:rFonts w:hint="eastAsia" w:ascii="Times New Roman" w:hAnsi="Times New Roman" w:eastAsia="仿宋" w:cs="Times New Roman"/>
          <w:sz w:val="32"/>
          <w:szCs w:val="32"/>
        </w:rPr>
        <w:t>100</w:t>
      </w:r>
      <w:r>
        <w:rPr>
          <w:rFonts w:ascii="Times New Roman" w:hAnsi="Times New Roman" w:eastAsia="仿宋" w:cs="Times New Roman"/>
          <w:sz w:val="32"/>
          <w:szCs w:val="32"/>
        </w:rPr>
        <w:t>%</w:t>
      </w:r>
      <w:r>
        <w:rPr>
          <w:rFonts w:hint="eastAsia" w:ascii="Times New Roman" w:hAnsi="Times New Roman" w:eastAsia="仿宋" w:cs="Times New Roman"/>
          <w:sz w:val="32"/>
          <w:szCs w:val="32"/>
        </w:rPr>
        <w:t>，</w:t>
      </w:r>
      <w:r>
        <w:rPr>
          <w:rFonts w:ascii="Times New Roman" w:hAnsi="Times New Roman" w:eastAsia="仿宋" w:cs="Times New Roman"/>
          <w:sz w:val="32"/>
          <w:szCs w:val="32"/>
        </w:rPr>
        <w:t>因公出国（境）费支出决算</w:t>
      </w:r>
      <w:r>
        <w:rPr>
          <w:rFonts w:hint="eastAsia" w:ascii="Times New Roman" w:hAnsi="Times New Roman" w:eastAsia="仿宋" w:cs="Times New Roman"/>
          <w:sz w:val="32"/>
          <w:szCs w:val="32"/>
        </w:rPr>
        <w:t>0</w:t>
      </w:r>
      <w:r>
        <w:rPr>
          <w:rFonts w:ascii="Times New Roman" w:hAnsi="Times New Roman" w:eastAsia="仿宋" w:cs="Times New Roman"/>
          <w:sz w:val="32"/>
          <w:szCs w:val="32"/>
        </w:rPr>
        <w:t>万元，占</w:t>
      </w:r>
      <w:r>
        <w:rPr>
          <w:rFonts w:hint="eastAsia" w:ascii="Times New Roman" w:hAnsi="Times New Roman" w:eastAsia="仿宋" w:cs="Times New Roman"/>
          <w:sz w:val="32"/>
          <w:szCs w:val="32"/>
        </w:rPr>
        <w:t>0</w:t>
      </w:r>
      <w:r>
        <w:rPr>
          <w:rFonts w:ascii="Times New Roman" w:hAnsi="Times New Roman" w:eastAsia="仿宋" w:cs="Times New Roman"/>
          <w:sz w:val="32"/>
          <w:szCs w:val="32"/>
        </w:rPr>
        <w:t>%</w:t>
      </w:r>
      <w:r>
        <w:rPr>
          <w:rFonts w:hint="eastAsia" w:ascii="Times New Roman" w:hAnsi="Times New Roman" w:eastAsia="仿宋" w:cs="Times New Roman"/>
          <w:sz w:val="32"/>
          <w:szCs w:val="32"/>
        </w:rPr>
        <w:t>，</w:t>
      </w:r>
      <w:r>
        <w:rPr>
          <w:rFonts w:ascii="Times New Roman" w:hAnsi="Times New Roman" w:eastAsia="仿宋" w:cs="Times New Roman"/>
          <w:sz w:val="32"/>
          <w:szCs w:val="32"/>
        </w:rPr>
        <w:t>公务用车购置费及运行维护费支出决算</w:t>
      </w:r>
      <w:r>
        <w:rPr>
          <w:rFonts w:hint="eastAsia" w:ascii="Times New Roman" w:hAnsi="Times New Roman" w:eastAsia="仿宋" w:cs="Times New Roman"/>
          <w:sz w:val="32"/>
          <w:szCs w:val="32"/>
        </w:rPr>
        <w:t>0</w:t>
      </w:r>
      <w:r>
        <w:rPr>
          <w:rFonts w:ascii="Times New Roman" w:hAnsi="Times New Roman" w:eastAsia="仿宋" w:cs="Times New Roman"/>
          <w:sz w:val="32"/>
          <w:szCs w:val="32"/>
        </w:rPr>
        <w:t>万元，占</w:t>
      </w:r>
      <w:r>
        <w:rPr>
          <w:rFonts w:hint="eastAsia" w:ascii="Times New Roman" w:hAnsi="Times New Roman" w:eastAsia="仿宋" w:cs="Times New Roman"/>
          <w:sz w:val="32"/>
          <w:szCs w:val="32"/>
        </w:rPr>
        <w:t>0</w:t>
      </w:r>
      <w:r>
        <w:rPr>
          <w:rFonts w:ascii="Times New Roman" w:hAnsi="Times New Roman" w:eastAsia="仿宋" w:cs="Times New Roman"/>
          <w:sz w:val="32"/>
          <w:szCs w:val="32"/>
        </w:rPr>
        <w:t>%。其中：</w:t>
      </w:r>
    </w:p>
    <w:p w14:paraId="32080039">
      <w:pPr>
        <w:pStyle w:val="16"/>
        <w:ind w:firstLine="800" w:firstLineChars="250"/>
        <w:rPr>
          <w:rFonts w:ascii="Times New Roman" w:hAnsi="Times New Roman" w:eastAsia="仿宋" w:cs="Times New Roman"/>
          <w:sz w:val="32"/>
          <w:szCs w:val="32"/>
        </w:rPr>
      </w:pPr>
      <w:r>
        <w:rPr>
          <w:rFonts w:ascii="Times New Roman" w:hAnsi="Times New Roman" w:eastAsia="仿宋" w:cs="Times New Roman"/>
          <w:sz w:val="32"/>
          <w:szCs w:val="32"/>
        </w:rPr>
        <w:t>1、因公出国（境）费支出决算为</w:t>
      </w:r>
      <w:r>
        <w:rPr>
          <w:rFonts w:hint="eastAsia" w:ascii="Times New Roman" w:hAnsi="Times New Roman" w:eastAsia="仿宋" w:cs="Times New Roman"/>
          <w:sz w:val="32"/>
          <w:szCs w:val="32"/>
        </w:rPr>
        <w:t>0</w:t>
      </w:r>
      <w:r>
        <w:rPr>
          <w:rFonts w:ascii="Times New Roman" w:hAnsi="Times New Roman" w:eastAsia="仿宋" w:cs="Times New Roman"/>
          <w:sz w:val="32"/>
          <w:szCs w:val="32"/>
        </w:rPr>
        <w:t>万元，全年安排因公出国（境）团组</w:t>
      </w:r>
      <w:r>
        <w:rPr>
          <w:rFonts w:hint="eastAsia" w:ascii="Times New Roman" w:hAnsi="Times New Roman" w:eastAsia="仿宋" w:cs="Times New Roman"/>
          <w:sz w:val="32"/>
          <w:szCs w:val="32"/>
        </w:rPr>
        <w:t>0</w:t>
      </w:r>
      <w:r>
        <w:rPr>
          <w:rFonts w:ascii="Times New Roman" w:hAnsi="Times New Roman" w:eastAsia="仿宋" w:cs="Times New Roman"/>
          <w:sz w:val="32"/>
          <w:szCs w:val="32"/>
        </w:rPr>
        <w:t>个，累计</w:t>
      </w:r>
      <w:r>
        <w:rPr>
          <w:rFonts w:hint="eastAsia" w:ascii="Times New Roman" w:hAnsi="Times New Roman" w:eastAsia="仿宋" w:cs="Times New Roman"/>
          <w:sz w:val="32"/>
          <w:szCs w:val="32"/>
        </w:rPr>
        <w:t>0</w:t>
      </w:r>
      <w:r>
        <w:rPr>
          <w:rFonts w:ascii="Times New Roman" w:hAnsi="Times New Roman" w:eastAsia="仿宋" w:cs="Times New Roman"/>
          <w:sz w:val="32"/>
          <w:szCs w:val="32"/>
        </w:rPr>
        <w:t xml:space="preserve">人次。    </w:t>
      </w:r>
    </w:p>
    <w:p w14:paraId="606BD8E0">
      <w:pPr>
        <w:pStyle w:val="16"/>
        <w:ind w:firstLine="800" w:firstLineChars="250"/>
        <w:rPr>
          <w:rFonts w:ascii="Times New Roman" w:hAnsi="Times New Roman" w:eastAsia="仿宋" w:cs="Times New Roman"/>
          <w:sz w:val="32"/>
          <w:szCs w:val="32"/>
        </w:rPr>
      </w:pPr>
      <w:r>
        <w:rPr>
          <w:rFonts w:ascii="Times New Roman" w:hAnsi="Times New Roman" w:eastAsia="仿宋" w:cs="Times New Roman"/>
          <w:sz w:val="32"/>
          <w:szCs w:val="32"/>
        </w:rPr>
        <w:t>2、公务接待费支出决算为</w:t>
      </w:r>
      <w:r>
        <w:rPr>
          <w:rFonts w:hint="eastAsia" w:ascii="Times New Roman" w:hAnsi="Times New Roman" w:eastAsia="仿宋" w:cs="Times New Roman"/>
          <w:sz w:val="32"/>
          <w:szCs w:val="32"/>
        </w:rPr>
        <w:t>1.1</w:t>
      </w:r>
      <w:r>
        <w:rPr>
          <w:rFonts w:ascii="Times New Roman" w:hAnsi="Times New Roman" w:eastAsia="仿宋" w:cs="Times New Roman"/>
          <w:sz w:val="32"/>
          <w:szCs w:val="32"/>
        </w:rPr>
        <w:t>万元，全年共接待来访团组</w:t>
      </w:r>
      <w:r>
        <w:rPr>
          <w:rFonts w:hint="eastAsia" w:ascii="Times New Roman" w:hAnsi="Times New Roman" w:eastAsia="仿宋" w:cs="Times New Roman"/>
          <w:sz w:val="32"/>
          <w:szCs w:val="32"/>
        </w:rPr>
        <w:t>4</w:t>
      </w:r>
      <w:r>
        <w:rPr>
          <w:rFonts w:ascii="Times New Roman" w:hAnsi="Times New Roman" w:eastAsia="仿宋" w:cs="Times New Roman"/>
          <w:sz w:val="32"/>
          <w:szCs w:val="32"/>
        </w:rPr>
        <w:t>个、来宾</w:t>
      </w:r>
      <w:r>
        <w:rPr>
          <w:rFonts w:hint="eastAsia" w:ascii="Times New Roman" w:hAnsi="Times New Roman" w:eastAsia="仿宋" w:cs="Times New Roman"/>
          <w:sz w:val="32"/>
          <w:szCs w:val="32"/>
        </w:rPr>
        <w:t>62</w:t>
      </w:r>
      <w:r>
        <w:rPr>
          <w:rFonts w:ascii="Times New Roman" w:hAnsi="Times New Roman" w:eastAsia="仿宋" w:cs="Times New Roman"/>
          <w:sz w:val="32"/>
          <w:szCs w:val="32"/>
        </w:rPr>
        <w:t>人次。</w:t>
      </w:r>
    </w:p>
    <w:p w14:paraId="03DCF6CB">
      <w:pPr>
        <w:ind w:firstLine="800" w:firstLineChars="250"/>
        <w:rPr>
          <w:rFonts w:ascii="Times New Roman" w:hAnsi="Times New Roman" w:eastAsia="仿宋" w:cs="Times New Roman"/>
          <w:color w:val="000000"/>
          <w:kern w:val="0"/>
          <w:sz w:val="32"/>
          <w:szCs w:val="32"/>
        </w:rPr>
      </w:pPr>
      <w:r>
        <w:rPr>
          <w:rFonts w:ascii="Times New Roman" w:hAnsi="Times New Roman" w:eastAsia="仿宋" w:cs="Times New Roman"/>
          <w:color w:val="000000"/>
          <w:kern w:val="0"/>
          <w:sz w:val="32"/>
          <w:szCs w:val="32"/>
        </w:rPr>
        <w:t>3、公务用车购置费及运行维护费支出决算为</w:t>
      </w:r>
      <w:r>
        <w:rPr>
          <w:rFonts w:hint="eastAsia" w:ascii="Times New Roman" w:hAnsi="Times New Roman" w:eastAsia="仿宋" w:cs="Times New Roman"/>
          <w:color w:val="000000"/>
          <w:kern w:val="0"/>
          <w:sz w:val="32"/>
          <w:szCs w:val="32"/>
        </w:rPr>
        <w:t>0</w:t>
      </w:r>
      <w:r>
        <w:rPr>
          <w:rFonts w:ascii="Times New Roman" w:hAnsi="Times New Roman" w:eastAsia="仿宋" w:cs="Times New Roman"/>
          <w:color w:val="000000"/>
          <w:kern w:val="0"/>
          <w:sz w:val="32"/>
          <w:szCs w:val="32"/>
        </w:rPr>
        <w:t>万元，其中：公务用车购置费</w:t>
      </w:r>
      <w:r>
        <w:rPr>
          <w:rFonts w:hint="eastAsia" w:ascii="Times New Roman" w:hAnsi="Times New Roman" w:eastAsia="仿宋" w:cs="Times New Roman"/>
          <w:color w:val="000000"/>
          <w:kern w:val="0"/>
          <w:sz w:val="32"/>
          <w:szCs w:val="32"/>
        </w:rPr>
        <w:t>0</w:t>
      </w:r>
      <w:r>
        <w:rPr>
          <w:rFonts w:ascii="Times New Roman" w:hAnsi="Times New Roman" w:eastAsia="仿宋" w:cs="Times New Roman"/>
          <w:color w:val="000000"/>
          <w:kern w:val="0"/>
          <w:sz w:val="32"/>
          <w:szCs w:val="32"/>
        </w:rPr>
        <w:t>万元，购置公务用车</w:t>
      </w:r>
      <w:r>
        <w:rPr>
          <w:rFonts w:hint="eastAsia" w:ascii="Times New Roman" w:hAnsi="Times New Roman" w:eastAsia="仿宋" w:cs="Times New Roman"/>
          <w:color w:val="000000"/>
          <w:kern w:val="0"/>
          <w:sz w:val="32"/>
          <w:szCs w:val="32"/>
        </w:rPr>
        <w:t>0</w:t>
      </w:r>
      <w:r>
        <w:rPr>
          <w:rFonts w:ascii="Times New Roman" w:hAnsi="Times New Roman" w:eastAsia="仿宋" w:cs="Times New Roman"/>
          <w:color w:val="000000"/>
          <w:kern w:val="0"/>
          <w:sz w:val="32"/>
          <w:szCs w:val="32"/>
        </w:rPr>
        <w:t>辆。公务用车运行维护费</w:t>
      </w:r>
      <w:r>
        <w:rPr>
          <w:rFonts w:hint="eastAsia" w:ascii="Times New Roman" w:hAnsi="Times New Roman" w:eastAsia="仿宋" w:cs="Times New Roman"/>
          <w:color w:val="000000"/>
          <w:kern w:val="0"/>
          <w:sz w:val="32"/>
          <w:szCs w:val="32"/>
        </w:rPr>
        <w:t>0</w:t>
      </w:r>
      <w:r>
        <w:rPr>
          <w:rFonts w:ascii="Times New Roman" w:hAnsi="Times New Roman" w:eastAsia="仿宋" w:cs="Times New Roman"/>
          <w:color w:val="000000"/>
          <w:kern w:val="0"/>
          <w:sz w:val="32"/>
          <w:szCs w:val="32"/>
        </w:rPr>
        <w:t>万元，截止2023年12月31日，我单位开支财政拨款的公务用车保有量为</w:t>
      </w:r>
      <w:r>
        <w:rPr>
          <w:rFonts w:hint="eastAsia" w:ascii="Times New Roman" w:hAnsi="Times New Roman" w:eastAsia="仿宋" w:cs="Times New Roman"/>
          <w:color w:val="000000"/>
          <w:kern w:val="0"/>
          <w:sz w:val="32"/>
          <w:szCs w:val="32"/>
        </w:rPr>
        <w:t>0</w:t>
      </w:r>
      <w:r>
        <w:rPr>
          <w:rFonts w:ascii="Times New Roman" w:hAnsi="Times New Roman" w:eastAsia="仿宋" w:cs="Times New Roman"/>
          <w:color w:val="000000"/>
          <w:kern w:val="0"/>
          <w:sz w:val="32"/>
          <w:szCs w:val="32"/>
        </w:rPr>
        <w:t>辆。</w:t>
      </w:r>
    </w:p>
    <w:p w14:paraId="184D616D">
      <w:pPr>
        <w:pStyle w:val="7"/>
        <w:autoSpaceDE w:val="0"/>
        <w:autoSpaceDN w:val="0"/>
        <w:adjustRightInd w:val="0"/>
        <w:spacing w:line="570" w:lineRule="exact"/>
        <w:ind w:firstLine="640" w:firstLineChars="200"/>
        <w:rPr>
          <w:rFonts w:ascii="Times New Roman" w:hAnsi="Times New Roman" w:cs="Times New Roman"/>
          <w:sz w:val="32"/>
          <w:szCs w:val="32"/>
        </w:rPr>
      </w:pPr>
      <w:r>
        <w:rPr>
          <w:rFonts w:ascii="Times New Roman" w:hAnsi="Times New Roman" w:eastAsia="黑体" w:cs="Times New Roman"/>
          <w:color w:val="000000"/>
          <w:kern w:val="0"/>
          <w:sz w:val="32"/>
          <w:szCs w:val="32"/>
        </w:rPr>
        <w:t>八、政府性基金预算收入支出决算情况</w:t>
      </w:r>
    </w:p>
    <w:p w14:paraId="45FB07F9">
      <w:pPr>
        <w:pStyle w:val="16"/>
        <w:spacing w:line="580" w:lineRule="exact"/>
        <w:ind w:firstLine="640" w:firstLineChars="200"/>
        <w:jc w:val="both"/>
        <w:rPr>
          <w:rFonts w:ascii="Times New Roman" w:hAnsi="Times New Roman" w:eastAsia="仿宋_GB2312"/>
          <w:sz w:val="32"/>
          <w:szCs w:val="32"/>
        </w:rPr>
      </w:pPr>
      <w:r>
        <w:rPr>
          <w:rFonts w:hint="eastAsia" w:ascii="Times New Roman" w:hAnsi="Times New Roman" w:eastAsia="仿宋_GB2312"/>
          <w:sz w:val="32"/>
          <w:szCs w:val="32"/>
        </w:rPr>
        <w:t>2023年度本单位无政府性基金预算收入支出。</w:t>
      </w:r>
    </w:p>
    <w:p w14:paraId="1B92B1D1">
      <w:pPr>
        <w:pStyle w:val="7"/>
        <w:autoSpaceDE w:val="0"/>
        <w:autoSpaceDN w:val="0"/>
        <w:adjustRightInd w:val="0"/>
        <w:spacing w:line="570" w:lineRule="exact"/>
        <w:ind w:firstLine="640" w:firstLineChars="200"/>
        <w:rPr>
          <w:rFonts w:ascii="Times New Roman" w:hAnsi="Times New Roman" w:cs="Times New Roman"/>
          <w:sz w:val="32"/>
          <w:szCs w:val="32"/>
        </w:rPr>
      </w:pPr>
      <w:r>
        <w:rPr>
          <w:rFonts w:ascii="Times New Roman" w:hAnsi="Times New Roman" w:eastAsia="黑体" w:cs="Times New Roman"/>
          <w:color w:val="000000"/>
          <w:kern w:val="0"/>
          <w:sz w:val="32"/>
          <w:szCs w:val="32"/>
        </w:rPr>
        <w:t>九、国有资本经营预算支出决算情况</w:t>
      </w:r>
    </w:p>
    <w:p w14:paraId="730715C1">
      <w:pPr>
        <w:pStyle w:val="7"/>
        <w:autoSpaceDE w:val="0"/>
        <w:autoSpaceDN w:val="0"/>
        <w:adjustRightInd w:val="0"/>
        <w:spacing w:line="570" w:lineRule="exact"/>
        <w:ind w:firstLine="640" w:firstLineChars="200"/>
        <w:rPr>
          <w:rFonts w:ascii="Times New Roman" w:hAnsi="Times New Roman" w:eastAsia="仿宋_GB2312" w:cs="Times New Roman"/>
          <w:sz w:val="32"/>
          <w:szCs w:val="32"/>
        </w:rPr>
      </w:pPr>
      <w:r>
        <w:rPr>
          <w:rFonts w:ascii="Times New Roman" w:hAnsi="Times New Roman" w:eastAsia="仿宋" w:cs="Times New Roman"/>
          <w:color w:val="000000"/>
          <w:kern w:val="0"/>
          <w:sz w:val="32"/>
          <w:szCs w:val="32"/>
        </w:rPr>
        <w:t>2023年度本单位没有使用国有资本经营预算安排的支出</w:t>
      </w:r>
      <w:r>
        <w:rPr>
          <w:rFonts w:ascii="Times New Roman" w:hAnsi="Times New Roman" w:eastAsia="仿宋_GB2312" w:cs="Times New Roman"/>
          <w:color w:val="000000"/>
          <w:kern w:val="0"/>
          <w:sz w:val="32"/>
          <w:szCs w:val="32"/>
        </w:rPr>
        <w:t>。</w:t>
      </w:r>
    </w:p>
    <w:p w14:paraId="4DD69061">
      <w:pPr>
        <w:pStyle w:val="7"/>
        <w:autoSpaceDE w:val="0"/>
        <w:autoSpaceDN w:val="0"/>
        <w:adjustRightInd w:val="0"/>
        <w:spacing w:line="570" w:lineRule="exact"/>
        <w:ind w:firstLine="640" w:firstLineChars="200"/>
        <w:rPr>
          <w:rFonts w:ascii="Times New Roman" w:hAnsi="Times New Roman" w:cs="Times New Roman"/>
          <w:sz w:val="32"/>
          <w:szCs w:val="32"/>
        </w:rPr>
      </w:pPr>
      <w:r>
        <w:rPr>
          <w:rFonts w:ascii="Times New Roman" w:hAnsi="Times New Roman" w:eastAsia="黑体" w:cs="Times New Roman"/>
          <w:color w:val="000000"/>
          <w:kern w:val="0"/>
          <w:sz w:val="32"/>
          <w:szCs w:val="32"/>
        </w:rPr>
        <w:t>十、机关运行经费支出说明</w:t>
      </w:r>
    </w:p>
    <w:p w14:paraId="26B624CF">
      <w:pPr>
        <w:pStyle w:val="16"/>
        <w:spacing w:line="580" w:lineRule="exact"/>
        <w:ind w:firstLine="640" w:firstLineChars="200"/>
        <w:jc w:val="both"/>
        <w:rPr>
          <w:rFonts w:ascii="Times New Roman" w:hAnsi="Times New Roman" w:eastAsia="仿宋_GB2312"/>
          <w:sz w:val="32"/>
          <w:szCs w:val="32"/>
        </w:rPr>
      </w:pPr>
      <w:r>
        <w:rPr>
          <w:rFonts w:hint="eastAsia" w:ascii="Times New Roman" w:hAnsi="Times New Roman" w:eastAsia="仿宋_GB2312"/>
          <w:sz w:val="32"/>
          <w:szCs w:val="32"/>
        </w:rPr>
        <w:t>本部门2023年度机关运行经费支出464.64万元，比年初预算数增加21万元，增加4.7%。主要原因是：人员增多，增加了工资福利开支。</w:t>
      </w:r>
    </w:p>
    <w:p w14:paraId="5EF61126">
      <w:pPr>
        <w:pStyle w:val="7"/>
        <w:autoSpaceDE w:val="0"/>
        <w:autoSpaceDN w:val="0"/>
        <w:adjustRightInd w:val="0"/>
        <w:spacing w:line="570" w:lineRule="exact"/>
        <w:ind w:firstLine="640" w:firstLineChars="200"/>
        <w:rPr>
          <w:rFonts w:ascii="Times New Roman" w:hAnsi="Times New Roman" w:cs="Times New Roman"/>
          <w:sz w:val="32"/>
          <w:szCs w:val="32"/>
        </w:rPr>
      </w:pPr>
      <w:r>
        <w:rPr>
          <w:rFonts w:ascii="Times New Roman" w:hAnsi="Times New Roman" w:eastAsia="黑体" w:cs="Times New Roman"/>
          <w:color w:val="000000"/>
          <w:kern w:val="0"/>
          <w:sz w:val="32"/>
          <w:szCs w:val="32"/>
        </w:rPr>
        <w:t>十一、一般性支出情况说明</w:t>
      </w:r>
    </w:p>
    <w:p w14:paraId="75140A53">
      <w:pPr>
        <w:pStyle w:val="16"/>
        <w:spacing w:line="580" w:lineRule="exact"/>
        <w:ind w:firstLine="640" w:firstLineChars="200"/>
        <w:jc w:val="both"/>
        <w:rPr>
          <w:rFonts w:ascii="Times New Roman" w:hAnsi="Times New Roman" w:eastAsia="仿宋_GB2312"/>
          <w:sz w:val="32"/>
          <w:szCs w:val="32"/>
        </w:rPr>
      </w:pPr>
      <w:r>
        <w:rPr>
          <w:rFonts w:hint="eastAsia" w:ascii="Times New Roman" w:hAnsi="Times New Roman" w:eastAsia="仿宋_GB2312"/>
          <w:sz w:val="32"/>
          <w:szCs w:val="32"/>
        </w:rPr>
        <w:t>2023年本部门一般行政管理事务支出33.68万元，一方面用于召开政协常委会议、主席会议、党组会议、机关干部会议、专题协商以及对口协商会议，人数500人，内容为在区委政府的领导下，紧扣政协三大职能，安排政协年度重点工作、审议重大事项，履职做好全年各项工作；另一方面用于政协民主监督、参政议政、文史资料编辑等业务工作。其他一般公共服务支出0.14万元，用于日常业务开支。</w:t>
      </w:r>
    </w:p>
    <w:p w14:paraId="77205B15">
      <w:pPr>
        <w:pStyle w:val="7"/>
        <w:autoSpaceDE w:val="0"/>
        <w:autoSpaceDN w:val="0"/>
        <w:adjustRightInd w:val="0"/>
        <w:spacing w:line="570" w:lineRule="exact"/>
        <w:ind w:firstLine="640" w:firstLineChars="200"/>
        <w:rPr>
          <w:rFonts w:ascii="Times New Roman" w:hAnsi="Times New Roman" w:cs="Times New Roman"/>
          <w:sz w:val="32"/>
          <w:szCs w:val="32"/>
        </w:rPr>
      </w:pPr>
      <w:r>
        <w:rPr>
          <w:rFonts w:ascii="Times New Roman" w:hAnsi="Times New Roman" w:eastAsia="黑体" w:cs="Times New Roman"/>
          <w:color w:val="000000"/>
          <w:kern w:val="0"/>
          <w:sz w:val="32"/>
          <w:szCs w:val="32"/>
        </w:rPr>
        <w:t>十二、政府采购支出说明</w:t>
      </w:r>
    </w:p>
    <w:p w14:paraId="335F4113">
      <w:pPr>
        <w:pStyle w:val="16"/>
        <w:spacing w:line="580" w:lineRule="exact"/>
        <w:ind w:firstLine="640" w:firstLineChars="200"/>
        <w:jc w:val="both"/>
        <w:rPr>
          <w:rFonts w:ascii="Times New Roman" w:hAnsi="Times New Roman" w:eastAsia="仿宋_GB2312"/>
          <w:sz w:val="32"/>
          <w:szCs w:val="32"/>
        </w:rPr>
      </w:pPr>
      <w:r>
        <w:rPr>
          <w:rFonts w:hint="eastAsia" w:ascii="Times New Roman" w:hAnsi="Times New Roman" w:eastAsia="仿宋_GB2312"/>
          <w:sz w:val="32"/>
          <w:szCs w:val="32"/>
        </w:rPr>
        <w:t>本单位2023年度政府采购支出总额0万元，其中：政府采购货物支出0万元、政府采购工程支出0万元、政府采购服务支出0万元。授予中小企业合同金额0万元，占政府采购支出总额的0%，其中：授予小微企业合同金额0万元，占政府采购支出总额的0%。</w:t>
      </w:r>
    </w:p>
    <w:p w14:paraId="3418E127">
      <w:pPr>
        <w:pStyle w:val="7"/>
        <w:autoSpaceDE w:val="0"/>
        <w:autoSpaceDN w:val="0"/>
        <w:adjustRightInd w:val="0"/>
        <w:spacing w:line="570" w:lineRule="exact"/>
        <w:ind w:firstLine="640" w:firstLineChars="200"/>
        <w:rPr>
          <w:rFonts w:ascii="Times New Roman" w:hAnsi="Times New Roman" w:cs="Times New Roman"/>
          <w:sz w:val="32"/>
          <w:szCs w:val="32"/>
        </w:rPr>
      </w:pPr>
      <w:r>
        <w:rPr>
          <w:rFonts w:ascii="Times New Roman" w:hAnsi="Times New Roman" w:eastAsia="黑体" w:cs="Times New Roman"/>
          <w:color w:val="000000"/>
          <w:kern w:val="0"/>
          <w:sz w:val="32"/>
          <w:szCs w:val="32"/>
        </w:rPr>
        <w:t>十三、国有资产占用情况说明</w:t>
      </w:r>
    </w:p>
    <w:p w14:paraId="00F446F7">
      <w:pPr>
        <w:pStyle w:val="16"/>
        <w:spacing w:line="580" w:lineRule="exact"/>
        <w:ind w:firstLine="640" w:firstLineChars="200"/>
        <w:jc w:val="both"/>
        <w:rPr>
          <w:rFonts w:ascii="Times New Roman" w:hAnsi="Times New Roman" w:eastAsia="仿宋_GB2312"/>
          <w:sz w:val="32"/>
          <w:szCs w:val="32"/>
        </w:rPr>
      </w:pPr>
      <w:r>
        <w:rPr>
          <w:rFonts w:hint="eastAsia" w:ascii="Times New Roman" w:hAnsi="Times New Roman" w:eastAsia="仿宋_GB2312"/>
          <w:sz w:val="32"/>
          <w:szCs w:val="32"/>
        </w:rPr>
        <w:t>截至2023年12月31日，本单位共有车辆0辆，其中，主要领导干部用车0辆，机要通信用车0辆、应急保障用车0辆、执法执勤用车0辆、特种专业技术用车0辆、其他用车0辆；单位价值50万元以上通用设备0台；单位价值100万元以上专用设备0台。</w:t>
      </w:r>
    </w:p>
    <w:p w14:paraId="494D7FE1">
      <w:pPr>
        <w:pStyle w:val="7"/>
        <w:autoSpaceDE w:val="0"/>
        <w:autoSpaceDN w:val="0"/>
        <w:adjustRightInd w:val="0"/>
        <w:spacing w:line="570" w:lineRule="exact"/>
        <w:ind w:firstLine="640" w:firstLineChars="200"/>
        <w:rPr>
          <w:rFonts w:ascii="Times New Roman" w:hAnsi="Times New Roman" w:cs="Times New Roman"/>
          <w:sz w:val="32"/>
          <w:szCs w:val="32"/>
        </w:rPr>
      </w:pPr>
      <w:r>
        <w:rPr>
          <w:rFonts w:ascii="Times New Roman" w:hAnsi="Times New Roman" w:eastAsia="黑体" w:cs="Times New Roman"/>
          <w:color w:val="000000"/>
          <w:kern w:val="0"/>
          <w:sz w:val="32"/>
          <w:szCs w:val="32"/>
        </w:rPr>
        <w:t>十四、重点项目预算的绩效评价结果等情况说明</w:t>
      </w:r>
    </w:p>
    <w:p w14:paraId="47F8A009">
      <w:pPr>
        <w:pStyle w:val="7"/>
        <w:autoSpaceDE w:val="0"/>
        <w:autoSpaceDN w:val="0"/>
        <w:adjustRightInd w:val="0"/>
        <w:spacing w:line="570" w:lineRule="exact"/>
        <w:ind w:firstLine="640" w:firstLineChars="200"/>
        <w:rPr>
          <w:rFonts w:ascii="Times New Roman" w:hAnsi="Times New Roman" w:eastAsia="楷体_GB2312" w:cs="Times New Roman"/>
          <w:b/>
          <w:sz w:val="32"/>
          <w:szCs w:val="32"/>
        </w:rPr>
      </w:pPr>
      <w:r>
        <w:rPr>
          <w:rFonts w:ascii="Times New Roman" w:hAnsi="Times New Roman" w:eastAsia="楷体_GB2312" w:cs="Times New Roman"/>
          <w:b/>
          <w:color w:val="000000"/>
          <w:kern w:val="0"/>
          <w:sz w:val="32"/>
          <w:szCs w:val="32"/>
        </w:rPr>
        <w:t>（一）绩效管理评价工作开展情况</w:t>
      </w:r>
    </w:p>
    <w:p w14:paraId="6B5EFF09">
      <w:pPr>
        <w:pStyle w:val="16"/>
        <w:spacing w:line="580" w:lineRule="exact"/>
        <w:ind w:firstLine="640" w:firstLineChars="200"/>
        <w:jc w:val="both"/>
        <w:rPr>
          <w:rFonts w:ascii="Times New Roman" w:hAnsi="Times New Roman" w:eastAsia="仿宋_GB2312"/>
          <w:sz w:val="32"/>
          <w:szCs w:val="32"/>
        </w:rPr>
      </w:pPr>
      <w:r>
        <w:rPr>
          <w:rFonts w:hint="eastAsia" w:ascii="Times New Roman" w:hAnsi="Times New Roman" w:eastAsia="仿宋_GB2312"/>
          <w:sz w:val="32"/>
          <w:szCs w:val="32"/>
        </w:rPr>
        <w:t>根据预算绩效管理要求，本单位组织对“业务性专项经费、政协委员界别活动经费”2个项目开展了重点绩效评价，涉及资金84.6万元，占项目支出预算总额的100%。从评价情况来看，有关项目立项程序完整、规范，预算执行及时、有效，绩效目标得到较好实现，绩效管理水平不断提高，绩效指标体系建设逐渐丰富和完善。</w:t>
      </w:r>
    </w:p>
    <w:p w14:paraId="3BEB0228">
      <w:pPr>
        <w:pStyle w:val="7"/>
        <w:autoSpaceDE w:val="0"/>
        <w:autoSpaceDN w:val="0"/>
        <w:adjustRightInd w:val="0"/>
        <w:spacing w:line="570" w:lineRule="exact"/>
        <w:ind w:firstLine="640" w:firstLineChars="200"/>
        <w:rPr>
          <w:rFonts w:ascii="Times New Roman" w:hAnsi="Times New Roman" w:eastAsia="楷体_GB2312" w:cs="Times New Roman"/>
          <w:b/>
          <w:sz w:val="32"/>
          <w:szCs w:val="32"/>
        </w:rPr>
      </w:pPr>
      <w:r>
        <w:rPr>
          <w:rFonts w:ascii="Times New Roman" w:hAnsi="Times New Roman" w:eastAsia="楷体_GB2312" w:cs="Times New Roman"/>
          <w:b/>
          <w:color w:val="000000"/>
          <w:kern w:val="0"/>
          <w:sz w:val="32"/>
          <w:szCs w:val="32"/>
        </w:rPr>
        <w:t>（二）部门评价项目绩效评价结果。</w:t>
      </w:r>
    </w:p>
    <w:p w14:paraId="29EF5981">
      <w:pPr>
        <w:pStyle w:val="16"/>
        <w:spacing w:line="580" w:lineRule="exact"/>
        <w:ind w:firstLine="640" w:firstLineChars="200"/>
        <w:jc w:val="both"/>
        <w:rPr>
          <w:rFonts w:ascii="Times New Roman" w:hAnsi="Times New Roman" w:eastAsia="仿宋_GB2312"/>
          <w:sz w:val="32"/>
          <w:szCs w:val="32"/>
        </w:rPr>
      </w:pPr>
      <w:r>
        <w:rPr>
          <w:rFonts w:hint="eastAsia" w:ascii="Times New Roman" w:hAnsi="Times New Roman"/>
          <w:sz w:val="32"/>
          <w:szCs w:val="32"/>
        </w:rPr>
        <w:t>业务性专项经费绩效自评综述：</w:t>
      </w:r>
      <w:r>
        <w:rPr>
          <w:rFonts w:hint="eastAsia" w:ascii="Times New Roman" w:hAnsi="Times New Roman" w:eastAsia="仿宋_GB2312"/>
          <w:sz w:val="32"/>
          <w:szCs w:val="32"/>
        </w:rPr>
        <w:t>根据年初设定的绩效目标，项目绩效自评得分为10分。项目全年预算数为31.5万元，执行数为31.5万元，完成预算的100</w:t>
      </w:r>
      <w:r>
        <w:rPr>
          <w:rFonts w:ascii="Times New Roman" w:hAnsi="Times New Roman" w:eastAsia="仿宋_GB2312"/>
          <w:sz w:val="32"/>
          <w:szCs w:val="32"/>
        </w:rPr>
        <w:t>%</w:t>
      </w:r>
      <w:r>
        <w:rPr>
          <w:rFonts w:hint="eastAsia" w:ascii="Times New Roman" w:hAnsi="Times New Roman" w:eastAsia="仿宋_GB2312"/>
          <w:sz w:val="32"/>
          <w:szCs w:val="32"/>
        </w:rPr>
        <w:t>。</w:t>
      </w:r>
    </w:p>
    <w:p w14:paraId="111E9947">
      <w:pPr>
        <w:pStyle w:val="16"/>
        <w:spacing w:line="580" w:lineRule="exact"/>
        <w:ind w:firstLine="640" w:firstLineChars="200"/>
        <w:jc w:val="both"/>
        <w:rPr>
          <w:rFonts w:ascii="Times New Roman" w:hAnsi="Times New Roman" w:eastAsia="仿宋_GB2312"/>
          <w:sz w:val="32"/>
          <w:szCs w:val="32"/>
        </w:rPr>
      </w:pPr>
      <w:r>
        <w:rPr>
          <w:rFonts w:hint="eastAsia" w:ascii="Times New Roman" w:hAnsi="Times New Roman" w:eastAsia="仿宋_GB2312"/>
          <w:sz w:val="32"/>
          <w:szCs w:val="32"/>
        </w:rPr>
        <w:t>实施期绩效目标：为石峰区的发展建设建言献策。</w:t>
      </w:r>
    </w:p>
    <w:p w14:paraId="0ED849D7">
      <w:pPr>
        <w:pStyle w:val="16"/>
        <w:spacing w:line="580" w:lineRule="exact"/>
        <w:ind w:firstLine="640" w:firstLineChars="200"/>
        <w:jc w:val="both"/>
        <w:rPr>
          <w:rFonts w:ascii="Times New Roman" w:hAnsi="Times New Roman" w:eastAsia="仿宋_GB2312"/>
          <w:sz w:val="32"/>
          <w:szCs w:val="32"/>
        </w:rPr>
      </w:pPr>
      <w:r>
        <w:rPr>
          <w:rFonts w:hint="eastAsia" w:ascii="Times New Roman" w:hAnsi="Times New Roman" w:eastAsia="仿宋_GB2312"/>
          <w:sz w:val="32"/>
          <w:szCs w:val="32"/>
        </w:rPr>
        <w:t>年度绩效目标：收集整理政协委员提交的提案及建议，会后转交相关职能部门并听取答复。</w:t>
      </w:r>
    </w:p>
    <w:p w14:paraId="7CAF0F9D">
      <w:pPr>
        <w:pStyle w:val="16"/>
        <w:spacing w:line="580" w:lineRule="exact"/>
        <w:ind w:firstLine="640" w:firstLineChars="200"/>
        <w:jc w:val="both"/>
        <w:rPr>
          <w:rFonts w:ascii="Times New Roman" w:hAnsi="Times New Roman" w:eastAsia="仿宋_GB2312"/>
          <w:sz w:val="32"/>
          <w:szCs w:val="32"/>
        </w:rPr>
      </w:pPr>
      <w:r>
        <w:rPr>
          <w:rFonts w:hint="eastAsia" w:ascii="Times New Roman" w:hAnsi="Times New Roman" w:eastAsia="仿宋_GB2312"/>
          <w:sz w:val="32"/>
          <w:szCs w:val="32"/>
        </w:rPr>
        <w:t>实际完成情况：全体干部职工围绕开好“两会”做了精心的准备工作，包括文字材料、后勤物资准备、与区机关事务服务中心对接好“两会”期间用餐及进出车辆摆放情况、做好与区其他相关部门（纪委、组织部、宣传部、政法等）的工作对接，按照既定计划，大会获得圆满成功。</w:t>
      </w:r>
    </w:p>
    <w:p w14:paraId="3969127F">
      <w:pPr>
        <w:pStyle w:val="16"/>
        <w:spacing w:line="580" w:lineRule="exact"/>
        <w:ind w:firstLine="640" w:firstLineChars="200"/>
        <w:jc w:val="both"/>
        <w:rPr>
          <w:rFonts w:ascii="Times New Roman" w:hAnsi="Times New Roman" w:eastAsia="仿宋_GB2312"/>
          <w:sz w:val="32"/>
          <w:szCs w:val="32"/>
        </w:rPr>
      </w:pPr>
      <w:r>
        <w:rPr>
          <w:rFonts w:hint="eastAsia" w:ascii="Times New Roman" w:hAnsi="Times New Roman" w:eastAsia="仿宋_GB2312"/>
          <w:sz w:val="32"/>
          <w:szCs w:val="32"/>
        </w:rPr>
        <w:t>社会效益指标：对石峰区当前的重点、难点问题提出解决的意见和建议。</w:t>
      </w:r>
    </w:p>
    <w:p w14:paraId="4C24679A">
      <w:pPr>
        <w:pStyle w:val="16"/>
        <w:spacing w:line="580" w:lineRule="exact"/>
        <w:ind w:firstLine="640" w:firstLineChars="200"/>
        <w:jc w:val="both"/>
        <w:rPr>
          <w:rFonts w:ascii="Times New Roman" w:hAnsi="Times New Roman" w:eastAsia="仿宋_GB2312"/>
          <w:sz w:val="32"/>
          <w:szCs w:val="32"/>
        </w:rPr>
      </w:pPr>
      <w:r>
        <w:rPr>
          <w:rFonts w:hint="eastAsia" w:ascii="Times New Roman" w:hAnsi="Times New Roman" w:cs="宋体"/>
          <w:sz w:val="32"/>
          <w:szCs w:val="32"/>
          <w:shd w:val="clear" w:color="auto" w:fill="FFFFFF"/>
        </w:rPr>
        <w:t>政协委员界别活动和委员培训经费绩效自评综述：</w:t>
      </w:r>
      <w:r>
        <w:rPr>
          <w:rFonts w:hint="eastAsia" w:ascii="Times New Roman" w:hAnsi="Times New Roman" w:eastAsia="仿宋_GB2312"/>
          <w:sz w:val="32"/>
          <w:szCs w:val="32"/>
        </w:rPr>
        <w:t>根据年初设定的绩效目标，项目绩效自评得分为10分。项目全年预算数为53.1万元，执行数为47.51万元。决算数小于年初预算数的主要原因是厉行节约。</w:t>
      </w:r>
    </w:p>
    <w:p w14:paraId="44A1CD4D">
      <w:pPr>
        <w:pStyle w:val="16"/>
        <w:spacing w:line="580" w:lineRule="exact"/>
        <w:ind w:firstLine="640" w:firstLineChars="200"/>
        <w:jc w:val="both"/>
        <w:rPr>
          <w:rFonts w:ascii="Times New Roman" w:hAnsi="Times New Roman" w:eastAsia="仿宋_GB2312"/>
          <w:sz w:val="32"/>
          <w:szCs w:val="32"/>
        </w:rPr>
      </w:pPr>
      <w:r>
        <w:rPr>
          <w:rFonts w:hint="eastAsia" w:ascii="Times New Roman" w:hAnsi="Times New Roman" w:eastAsia="仿宋_GB2312"/>
          <w:sz w:val="32"/>
          <w:szCs w:val="32"/>
        </w:rPr>
        <w:t>实施期绩效目标：发挥政协委员在本届别的代表作用，深入调研、积极履职；发挥政协委员联系群众的桥梁纽带作用，为区政府排忧解难；发挥委员主体作用，进一步提升委员履职能力。</w:t>
      </w:r>
    </w:p>
    <w:p w14:paraId="72511CFD">
      <w:pPr>
        <w:pStyle w:val="16"/>
        <w:spacing w:line="580" w:lineRule="exact"/>
        <w:ind w:firstLine="640" w:firstLineChars="200"/>
        <w:jc w:val="both"/>
        <w:rPr>
          <w:rFonts w:ascii="Times New Roman" w:hAnsi="Times New Roman" w:eastAsia="仿宋_GB2312"/>
          <w:sz w:val="32"/>
          <w:szCs w:val="32"/>
        </w:rPr>
      </w:pPr>
      <w:r>
        <w:rPr>
          <w:rFonts w:hint="eastAsia" w:ascii="Times New Roman" w:hAnsi="Times New Roman" w:eastAsia="仿宋_GB2312"/>
          <w:sz w:val="32"/>
          <w:szCs w:val="32"/>
        </w:rPr>
        <w:t>年度绩效目标：围绕石峰区“十四五”发展规划，完成安排的10个专题调研及其他任务；每个界别小组全年开展4次以上活动，完成年初政协安排的各项任务；开展委员学习培训1次。</w:t>
      </w:r>
    </w:p>
    <w:p w14:paraId="7B605CCE">
      <w:pPr>
        <w:pStyle w:val="16"/>
        <w:spacing w:line="580" w:lineRule="exact"/>
        <w:ind w:firstLine="640" w:firstLineChars="200"/>
        <w:jc w:val="both"/>
        <w:rPr>
          <w:rFonts w:ascii="Times New Roman" w:hAnsi="Times New Roman" w:eastAsia="仿宋_GB2312"/>
          <w:sz w:val="32"/>
          <w:szCs w:val="32"/>
        </w:rPr>
      </w:pPr>
      <w:r>
        <w:rPr>
          <w:rFonts w:hint="eastAsia" w:ascii="Times New Roman" w:hAnsi="Times New Roman" w:eastAsia="仿宋_GB2312"/>
          <w:sz w:val="32"/>
          <w:szCs w:val="32"/>
        </w:rPr>
        <w:t>社会效益指标：针对人民群众生产、生活中的热点、重点、难点问题提出可操作性的建议；为各部门及企业遇到的困难鼓与呼；切实提升委员履职能力和调研水平。</w:t>
      </w:r>
    </w:p>
    <w:p w14:paraId="780ABD06">
      <w:pPr>
        <w:pStyle w:val="7"/>
        <w:autoSpaceDE w:val="0"/>
        <w:autoSpaceDN w:val="0"/>
        <w:adjustRightInd w:val="0"/>
        <w:spacing w:line="570" w:lineRule="exact"/>
        <w:ind w:firstLine="640" w:firstLineChars="200"/>
        <w:rPr>
          <w:rFonts w:ascii="Times New Roman" w:hAnsi="Times New Roman" w:cs="Times New Roman"/>
          <w:sz w:val="32"/>
          <w:szCs w:val="32"/>
        </w:rPr>
      </w:pPr>
      <w:r>
        <w:rPr>
          <w:rFonts w:ascii="Times New Roman" w:hAnsi="Times New Roman" w:eastAsia="黑体" w:cs="Times New Roman"/>
          <w:color w:val="000000"/>
          <w:kern w:val="0"/>
          <w:sz w:val="32"/>
          <w:szCs w:val="32"/>
        </w:rPr>
        <w:t>十五、其他重要事项情况说明</w:t>
      </w:r>
    </w:p>
    <w:p w14:paraId="70FD0AA4">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本单位没有独立网站，因此只在株洲市石峰区区政府门户网财政预决算和三公经费公开专栏中公开。</w:t>
      </w:r>
    </w:p>
    <w:p w14:paraId="4419D202">
      <w:pPr>
        <w:pStyle w:val="16"/>
        <w:jc w:val="both"/>
        <w:rPr>
          <w:rFonts w:ascii="Times New Roman" w:hAnsi="Times New Roman" w:cs="Times New Roman"/>
          <w:sz w:val="84"/>
          <w:szCs w:val="84"/>
        </w:rPr>
      </w:pPr>
    </w:p>
    <w:p w14:paraId="3BDF3878">
      <w:pPr>
        <w:pStyle w:val="16"/>
        <w:jc w:val="both"/>
        <w:rPr>
          <w:rFonts w:ascii="Times New Roman" w:hAnsi="Times New Roman" w:cs="Times New Roman"/>
          <w:sz w:val="84"/>
          <w:szCs w:val="84"/>
        </w:rPr>
      </w:pPr>
    </w:p>
    <w:p w14:paraId="4BC26255">
      <w:pPr>
        <w:pStyle w:val="16"/>
        <w:jc w:val="both"/>
        <w:rPr>
          <w:rFonts w:ascii="Times New Roman" w:hAnsi="Times New Roman" w:cs="Times New Roman"/>
          <w:sz w:val="84"/>
          <w:szCs w:val="84"/>
        </w:rPr>
      </w:pPr>
    </w:p>
    <w:p w14:paraId="77BC78D0">
      <w:pPr>
        <w:pStyle w:val="16"/>
        <w:jc w:val="both"/>
        <w:rPr>
          <w:rFonts w:ascii="Times New Roman" w:hAnsi="Times New Roman" w:cs="Times New Roman"/>
          <w:sz w:val="84"/>
          <w:szCs w:val="84"/>
        </w:rPr>
      </w:pPr>
    </w:p>
    <w:p w14:paraId="69D42898">
      <w:pPr>
        <w:pStyle w:val="16"/>
        <w:jc w:val="both"/>
        <w:rPr>
          <w:rFonts w:ascii="Times New Roman" w:hAnsi="Times New Roman" w:cs="Times New Roman"/>
          <w:sz w:val="84"/>
          <w:szCs w:val="84"/>
        </w:rPr>
      </w:pPr>
    </w:p>
    <w:p w14:paraId="56F3E974">
      <w:pPr>
        <w:pStyle w:val="16"/>
        <w:jc w:val="both"/>
        <w:rPr>
          <w:rFonts w:ascii="Times New Roman" w:hAnsi="Times New Roman" w:cs="Times New Roman"/>
          <w:sz w:val="84"/>
          <w:szCs w:val="84"/>
        </w:rPr>
      </w:pPr>
    </w:p>
    <w:p w14:paraId="7537A8DA">
      <w:pPr>
        <w:pStyle w:val="16"/>
        <w:jc w:val="center"/>
        <w:rPr>
          <w:rFonts w:ascii="Times New Roman" w:hAnsi="Times New Roman" w:eastAsia="方正小标宋简体" w:cs="Times New Roman"/>
          <w:sz w:val="76"/>
          <w:szCs w:val="76"/>
        </w:rPr>
      </w:pPr>
      <w:r>
        <w:rPr>
          <w:rFonts w:ascii="Times New Roman" w:hAnsi="Times New Roman" w:eastAsia="方正小标宋简体" w:cs="Times New Roman"/>
          <w:sz w:val="76"/>
          <w:szCs w:val="76"/>
        </w:rPr>
        <w:t>第四部分</w:t>
      </w:r>
    </w:p>
    <w:p w14:paraId="4598459E">
      <w:pPr>
        <w:pStyle w:val="16"/>
        <w:jc w:val="center"/>
        <w:rPr>
          <w:rFonts w:ascii="Times New Roman" w:hAnsi="Times New Roman" w:eastAsia="方正小标宋简体" w:cs="Times New Roman"/>
          <w:sz w:val="76"/>
          <w:szCs w:val="76"/>
        </w:rPr>
      </w:pPr>
    </w:p>
    <w:p w14:paraId="5B2C6255">
      <w:pPr>
        <w:pStyle w:val="16"/>
        <w:jc w:val="center"/>
        <w:rPr>
          <w:rFonts w:ascii="Times New Roman" w:hAnsi="Times New Roman" w:eastAsia="方正小标宋简体" w:cs="Times New Roman"/>
          <w:sz w:val="76"/>
          <w:szCs w:val="76"/>
        </w:rPr>
      </w:pPr>
      <w:r>
        <w:rPr>
          <w:rFonts w:ascii="Times New Roman" w:hAnsi="Times New Roman" w:eastAsia="方正小标宋简体" w:cs="Times New Roman"/>
          <w:sz w:val="76"/>
          <w:szCs w:val="76"/>
        </w:rPr>
        <w:t>名词解释</w:t>
      </w:r>
    </w:p>
    <w:p w14:paraId="5281A235">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方正小标宋简体" w:cs="Times New Roman"/>
          <w:sz w:val="32"/>
          <w:szCs w:val="32"/>
        </w:rPr>
        <w:br w:type="page"/>
      </w:r>
      <w:r>
        <w:rPr>
          <w:rFonts w:ascii="Times New Roman" w:hAnsi="Times New Roman" w:eastAsia="黑体" w:cs="Times New Roman"/>
          <w:color w:val="000000"/>
          <w:kern w:val="0"/>
          <w:sz w:val="32"/>
          <w:szCs w:val="32"/>
        </w:rPr>
        <w:t>一、财政拨款收入：</w:t>
      </w:r>
      <w:r>
        <w:rPr>
          <w:rFonts w:ascii="Times New Roman" w:hAnsi="Times New Roman" w:eastAsia="仿宋_GB2312" w:cs="Times New Roman"/>
          <w:color w:val="000000"/>
          <w:kern w:val="0"/>
          <w:sz w:val="32"/>
          <w:szCs w:val="32"/>
        </w:rPr>
        <w:t>指单位从同级财政部门取得的财政预算资金。</w:t>
      </w:r>
    </w:p>
    <w:p w14:paraId="4C9EC80B">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二、事业收入：</w:t>
      </w:r>
      <w:r>
        <w:rPr>
          <w:rFonts w:ascii="Times New Roman" w:hAnsi="Times New Roman" w:eastAsia="仿宋_GB2312" w:cs="Times New Roman"/>
          <w:color w:val="000000"/>
          <w:kern w:val="0"/>
          <w:sz w:val="32"/>
          <w:szCs w:val="32"/>
        </w:rPr>
        <w:t>指事业单位开展专业业务活动及辅助活动取得的收入。</w:t>
      </w:r>
    </w:p>
    <w:p w14:paraId="07230FB6">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三、经营收入：</w:t>
      </w:r>
      <w:r>
        <w:rPr>
          <w:rFonts w:ascii="Times New Roman" w:hAnsi="Times New Roman" w:eastAsia="仿宋_GB2312" w:cs="Times New Roman"/>
          <w:color w:val="000000"/>
          <w:kern w:val="0"/>
          <w:sz w:val="32"/>
          <w:szCs w:val="32"/>
        </w:rPr>
        <w:t>指事业单位在专业业务活动及其辅助活动之外开展非独立核算经营活动取得的收入。</w:t>
      </w:r>
    </w:p>
    <w:p w14:paraId="6B13F7AE">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四、其他收入：</w:t>
      </w:r>
      <w:r>
        <w:rPr>
          <w:rFonts w:ascii="Times New Roman" w:hAnsi="Times New Roman" w:eastAsia="仿宋_GB2312" w:cs="Times New Roman"/>
          <w:color w:val="000000"/>
          <w:kern w:val="0"/>
          <w:sz w:val="32"/>
          <w:szCs w:val="32"/>
        </w:rPr>
        <w:t>指单位取得的除上述收入以外的各项收入。</w:t>
      </w:r>
    </w:p>
    <w:p w14:paraId="0026557B">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五、用事业基金弥补收支差额：</w:t>
      </w:r>
      <w:r>
        <w:rPr>
          <w:rFonts w:ascii="Times New Roman" w:hAnsi="Times New Roman" w:eastAsia="仿宋_GB2312" w:cs="Times New Roman"/>
          <w:color w:val="000000"/>
          <w:kern w:val="0"/>
          <w:sz w:val="32"/>
          <w:szCs w:val="32"/>
        </w:rPr>
        <w:t>指事业单位在当年的财政拨款收入、事业收入、其他收入不足以安排当年支出的情况下，使用以前年度积累的事业基金（事业单位当年收支相抵后按国家规定提取、用于弥补以后年度收支差额的基金）弥补本年度收支缺口的资金。</w:t>
      </w:r>
    </w:p>
    <w:p w14:paraId="508BEF33">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六、年初结转和结余：</w:t>
      </w:r>
      <w:r>
        <w:rPr>
          <w:rFonts w:ascii="Times New Roman" w:hAnsi="Times New Roman" w:eastAsia="仿宋_GB2312" w:cs="Times New Roman"/>
          <w:color w:val="000000"/>
          <w:kern w:val="0"/>
          <w:sz w:val="32"/>
          <w:szCs w:val="32"/>
        </w:rPr>
        <w:t>指单位以前年度尚未完成、结转到本年按有关规定继续使用的资金。</w:t>
      </w:r>
    </w:p>
    <w:p w14:paraId="3132D075">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七、“三公经费”支出：</w:t>
      </w:r>
      <w:r>
        <w:rPr>
          <w:rFonts w:ascii="Times New Roman" w:hAnsi="Times New Roman" w:eastAsia="仿宋_GB2312" w:cs="Times New Roman"/>
          <w:color w:val="000000"/>
          <w:kern w:val="0"/>
          <w:sz w:val="32"/>
          <w:szCs w:val="32"/>
        </w:rPr>
        <w:t>指通过财政拨款资金安排的因公出国（境）费、公务用车购置及运行费和公务接待费支出。</w:t>
      </w:r>
    </w:p>
    <w:p w14:paraId="2695D844">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八、机关运行经费：</w:t>
      </w:r>
      <w:r>
        <w:rPr>
          <w:rFonts w:ascii="Times New Roman" w:hAnsi="Times New Roman" w:eastAsia="仿宋_GB2312" w:cs="Times New Roman"/>
          <w:color w:val="000000"/>
          <w:kern w:val="0"/>
          <w:sz w:val="32"/>
          <w:szCs w:val="32"/>
        </w:rPr>
        <w:t>为保障行政单位（含参照公务员法管理的事业单位）运行用于购买货物和服务的各项资金，包括办公费、印刷费、咨询费、手续费、水费、电费、邮电费、取暖费、物业管理费、差旅费、因公出国（境）费、维修（护）费、租赁费、会议费、培训费、公务接待费、专用材料费、劳务费、委托业务费、工会经费、福利费、公务用车运行维护费以及其他费用等。</w:t>
      </w:r>
    </w:p>
    <w:p w14:paraId="486DCE0C">
      <w:pPr>
        <w:pStyle w:val="16"/>
        <w:jc w:val="both"/>
        <w:rPr>
          <w:rFonts w:ascii="Times New Roman" w:hAnsi="Times New Roman" w:cs="Times New Roman"/>
          <w:sz w:val="72"/>
          <w:szCs w:val="72"/>
        </w:rPr>
      </w:pPr>
    </w:p>
    <w:p w14:paraId="73FEB53A">
      <w:pPr>
        <w:pStyle w:val="16"/>
        <w:jc w:val="both"/>
        <w:rPr>
          <w:rFonts w:ascii="Times New Roman" w:hAnsi="Times New Roman" w:cs="Times New Roman"/>
          <w:sz w:val="84"/>
          <w:szCs w:val="84"/>
        </w:rPr>
      </w:pPr>
    </w:p>
    <w:p w14:paraId="2451D182">
      <w:pPr>
        <w:pStyle w:val="16"/>
        <w:jc w:val="both"/>
        <w:rPr>
          <w:rFonts w:ascii="Times New Roman" w:hAnsi="Times New Roman" w:cs="Times New Roman"/>
          <w:sz w:val="84"/>
          <w:szCs w:val="84"/>
        </w:rPr>
      </w:pPr>
    </w:p>
    <w:p w14:paraId="1DA3D9D3">
      <w:pPr>
        <w:pStyle w:val="16"/>
        <w:jc w:val="center"/>
        <w:rPr>
          <w:rFonts w:ascii="Times New Roman" w:hAnsi="Times New Roman" w:eastAsia="方正小标宋简体" w:cs="Times New Roman"/>
          <w:sz w:val="56"/>
          <w:szCs w:val="56"/>
        </w:rPr>
      </w:pPr>
      <w:r>
        <w:rPr>
          <w:rFonts w:ascii="Times New Roman" w:hAnsi="Times New Roman" w:eastAsia="方正小标宋简体" w:cs="Times New Roman"/>
          <w:sz w:val="56"/>
          <w:szCs w:val="56"/>
        </w:rPr>
        <w:t>第五部分</w:t>
      </w:r>
    </w:p>
    <w:p w14:paraId="08A9A140">
      <w:pPr>
        <w:pStyle w:val="16"/>
        <w:jc w:val="center"/>
        <w:rPr>
          <w:rFonts w:ascii="Times New Roman" w:hAnsi="Times New Roman" w:eastAsia="方正小标宋简体" w:cs="Times New Roman"/>
          <w:sz w:val="56"/>
          <w:szCs w:val="56"/>
        </w:rPr>
      </w:pPr>
    </w:p>
    <w:p w14:paraId="25CA8BDA">
      <w:pPr>
        <w:pStyle w:val="16"/>
        <w:jc w:val="center"/>
        <w:rPr>
          <w:rFonts w:ascii="Times New Roman" w:hAnsi="Times New Roman" w:eastAsia="方正小标宋简体" w:cs="Times New Roman"/>
          <w:sz w:val="56"/>
          <w:szCs w:val="56"/>
        </w:rPr>
      </w:pPr>
      <w:r>
        <w:rPr>
          <w:rFonts w:ascii="Times New Roman" w:hAnsi="Times New Roman" w:eastAsia="方正小标宋简体" w:cs="Times New Roman"/>
          <w:sz w:val="56"/>
          <w:szCs w:val="56"/>
        </w:rPr>
        <w:t>附  件</w:t>
      </w:r>
    </w:p>
    <w:p w14:paraId="1ED99B64">
      <w:pPr>
        <w:pStyle w:val="16"/>
        <w:spacing w:line="596" w:lineRule="exact"/>
        <w:jc w:val="center"/>
        <w:rPr>
          <w:rFonts w:ascii="Times New Roman" w:hAnsi="Times New Roman" w:eastAsia="方正小标宋简体" w:cs="Times New Roman"/>
          <w:sz w:val="76"/>
          <w:szCs w:val="76"/>
        </w:rPr>
      </w:pPr>
      <w:r>
        <w:rPr>
          <w:rFonts w:ascii="Times New Roman" w:hAnsi="Times New Roman" w:eastAsia="方正小标宋简体" w:cs="Times New Roman"/>
          <w:sz w:val="76"/>
          <w:szCs w:val="76"/>
        </w:rPr>
        <w:br w:type="page"/>
      </w:r>
    </w:p>
    <w:p w14:paraId="47CEB8D4">
      <w:pPr>
        <w:pStyle w:val="16"/>
        <w:spacing w:line="596"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202</w:t>
      </w:r>
      <w:r>
        <w:rPr>
          <w:rFonts w:hint="eastAsia" w:ascii="Times New Roman" w:hAnsi="Times New Roman" w:eastAsia="方正小标宋简体" w:cs="Times New Roman"/>
          <w:sz w:val="44"/>
          <w:szCs w:val="44"/>
        </w:rPr>
        <w:t>3</w:t>
      </w:r>
      <w:r>
        <w:rPr>
          <w:rFonts w:ascii="Times New Roman" w:hAnsi="Times New Roman" w:eastAsia="方正小标宋简体" w:cs="Times New Roman"/>
          <w:sz w:val="44"/>
          <w:szCs w:val="44"/>
        </w:rPr>
        <w:t>年度部门整体支出</w:t>
      </w:r>
      <w:bookmarkStart w:id="0" w:name="_GoBack"/>
      <w:bookmarkEnd w:id="0"/>
      <w:r>
        <w:rPr>
          <w:rFonts w:ascii="Times New Roman" w:hAnsi="Times New Roman" w:eastAsia="方正小标宋简体" w:cs="Times New Roman"/>
          <w:sz w:val="44"/>
          <w:szCs w:val="44"/>
        </w:rPr>
        <w:t>绩效</w:t>
      </w:r>
      <w:r>
        <w:rPr>
          <w:rFonts w:hint="eastAsia" w:ascii="Times New Roman" w:hAnsi="Times New Roman" w:eastAsia="方正小标宋简体" w:cs="Times New Roman"/>
          <w:sz w:val="44"/>
          <w:szCs w:val="44"/>
        </w:rPr>
        <w:t>自评报告</w:t>
      </w:r>
    </w:p>
    <w:p w14:paraId="757F8C4A">
      <w:pPr>
        <w:pStyle w:val="16"/>
        <w:spacing w:line="596" w:lineRule="exact"/>
        <w:jc w:val="center"/>
        <w:rPr>
          <w:rFonts w:ascii="Times New Roman" w:hAnsi="Times New Roman" w:eastAsia="方正小标宋简体" w:cs="Times New Roman"/>
          <w:sz w:val="32"/>
          <w:szCs w:val="32"/>
        </w:rPr>
      </w:pPr>
    </w:p>
    <w:p w14:paraId="6CF570B6">
      <w:pPr>
        <w:pStyle w:val="16"/>
        <w:spacing w:line="596" w:lineRule="exact"/>
        <w:jc w:val="center"/>
        <w:rPr>
          <w:rFonts w:ascii="Times New Roman" w:hAnsi="Times New Roman" w:eastAsia="仿宋_GB2312" w:cs="Times New Roman"/>
          <w:sz w:val="28"/>
          <w:szCs w:val="28"/>
        </w:rPr>
      </w:pP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详</w:t>
      </w:r>
      <w:r>
        <w:rPr>
          <w:rFonts w:ascii="Times New Roman" w:hAnsi="Times New Roman" w:eastAsia="仿宋_GB2312" w:cs="Times New Roman"/>
          <w:sz w:val="32"/>
          <w:szCs w:val="32"/>
        </w:rPr>
        <w:t>见附件</w:t>
      </w: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w:t>
      </w:r>
    </w:p>
    <w:sectPr>
      <w:pgSz w:w="11906" w:h="16838"/>
      <w:pgMar w:top="1984" w:right="1531" w:bottom="1701" w:left="1531" w:header="851" w:footer="1191"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582564">
    <w:pPr>
      <w:pStyle w:val="5"/>
      <w:rPr>
        <w:rFonts w:cs="Times New Roman"/>
      </w:rP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5788144">
                          <w:pPr>
                            <w:pStyle w:val="5"/>
                            <w:rPr>
                              <w:rFonts w:ascii="宋体" w:cs="Times New Roman"/>
                              <w:sz w:val="28"/>
                              <w:szCs w:val="2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18</w:t>
                          </w:r>
                          <w:r>
                            <w:rPr>
                              <w:rFonts w:ascii="宋体" w:hAnsi="宋体" w:cs="宋体"/>
                              <w:sz w:val="28"/>
                              <w:szCs w:val="28"/>
                            </w:rPr>
                            <w:fldChar w:fldCharType="end"/>
                          </w:r>
                          <w:r>
                            <w:rPr>
                              <w:rFonts w:ascii="宋体" w:hAnsi="宋体" w:cs="宋体"/>
                              <w:sz w:val="28"/>
                              <w:szCs w:val="28"/>
                            </w:rPr>
                            <w:t xml:space="preserve"> —</w:t>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DZoPcHzwEAAKoDAAAOAAAAAAAAAAEAIAAAAB4BAABkcnMv&#10;ZTJvRG9jLnhtbFBLBQYAAAAABgAGAFkBAABfBQAAAAA=&#10;">
              <v:fill on="f" focussize="0,0"/>
              <v:stroke on="f"/>
              <v:imagedata o:title=""/>
              <o:lock v:ext="edit" aspectratio="f"/>
              <v:textbox inset="0mm,0mm,0mm,0mm" style="mso-fit-shape-to-text:t;">
                <w:txbxContent>
                  <w:p w14:paraId="15788144">
                    <w:pPr>
                      <w:pStyle w:val="5"/>
                      <w:rPr>
                        <w:rFonts w:ascii="宋体" w:cs="Times New Roman"/>
                        <w:sz w:val="28"/>
                        <w:szCs w:val="2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18</w:t>
                    </w:r>
                    <w:r>
                      <w:rPr>
                        <w:rFonts w:ascii="宋体" w:hAnsi="宋体" w:cs="宋体"/>
                        <w:sz w:val="28"/>
                        <w:szCs w:val="28"/>
                      </w:rPr>
                      <w:fldChar w:fldCharType="end"/>
                    </w:r>
                    <w:r>
                      <w:rPr>
                        <w:rFonts w:ascii="宋体" w:hAnsi="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NotTrackMoves/>
  <w:documentProtection w:enforcement="0"/>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layout v:ext="edit">
      <o:idmap v:ext="edit" data="1"/>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Y4MTNiMzQ5ZmVkMTRjODU4M2Y0MTgwMzQwNTIyYmUifQ=="/>
  </w:docVars>
  <w:rsids>
    <w:rsidRoot w:val="004506F9"/>
    <w:rsid w:val="00005205"/>
    <w:rsid w:val="0002229B"/>
    <w:rsid w:val="000273BD"/>
    <w:rsid w:val="000326BD"/>
    <w:rsid w:val="000415B7"/>
    <w:rsid w:val="00041E3F"/>
    <w:rsid w:val="00047162"/>
    <w:rsid w:val="000528EA"/>
    <w:rsid w:val="00055DAA"/>
    <w:rsid w:val="00061F7B"/>
    <w:rsid w:val="000658A3"/>
    <w:rsid w:val="00074155"/>
    <w:rsid w:val="000873EF"/>
    <w:rsid w:val="000A3521"/>
    <w:rsid w:val="000A3F69"/>
    <w:rsid w:val="000C263A"/>
    <w:rsid w:val="000C708E"/>
    <w:rsid w:val="000D622D"/>
    <w:rsid w:val="000E4798"/>
    <w:rsid w:val="000E7A2C"/>
    <w:rsid w:val="000F7834"/>
    <w:rsid w:val="001010F1"/>
    <w:rsid w:val="00103957"/>
    <w:rsid w:val="001041C1"/>
    <w:rsid w:val="00120CBE"/>
    <w:rsid w:val="00124A1F"/>
    <w:rsid w:val="0014142C"/>
    <w:rsid w:val="00152C6D"/>
    <w:rsid w:val="00162D39"/>
    <w:rsid w:val="001678BD"/>
    <w:rsid w:val="00170E4E"/>
    <w:rsid w:val="00182373"/>
    <w:rsid w:val="001A67DB"/>
    <w:rsid w:val="001B2BE4"/>
    <w:rsid w:val="001C3C29"/>
    <w:rsid w:val="001D51E5"/>
    <w:rsid w:val="001E080D"/>
    <w:rsid w:val="001E53D0"/>
    <w:rsid w:val="001F0C3B"/>
    <w:rsid w:val="001F3A16"/>
    <w:rsid w:val="002019A2"/>
    <w:rsid w:val="00202C14"/>
    <w:rsid w:val="00202C82"/>
    <w:rsid w:val="00214427"/>
    <w:rsid w:val="00226CB7"/>
    <w:rsid w:val="0024329E"/>
    <w:rsid w:val="0024338B"/>
    <w:rsid w:val="00264552"/>
    <w:rsid w:val="00264EF9"/>
    <w:rsid w:val="00265724"/>
    <w:rsid w:val="00273A5E"/>
    <w:rsid w:val="0027426B"/>
    <w:rsid w:val="00283449"/>
    <w:rsid w:val="002E0A30"/>
    <w:rsid w:val="002E6A2A"/>
    <w:rsid w:val="002F51BE"/>
    <w:rsid w:val="0030641C"/>
    <w:rsid w:val="003130C4"/>
    <w:rsid w:val="00316C4B"/>
    <w:rsid w:val="0032192B"/>
    <w:rsid w:val="00324460"/>
    <w:rsid w:val="003479BD"/>
    <w:rsid w:val="003504CA"/>
    <w:rsid w:val="00353306"/>
    <w:rsid w:val="0037197D"/>
    <w:rsid w:val="003768D5"/>
    <w:rsid w:val="003914B6"/>
    <w:rsid w:val="00397339"/>
    <w:rsid w:val="003A2B43"/>
    <w:rsid w:val="003C4197"/>
    <w:rsid w:val="003C47E6"/>
    <w:rsid w:val="003C4FC2"/>
    <w:rsid w:val="003D1405"/>
    <w:rsid w:val="003E2331"/>
    <w:rsid w:val="003E6275"/>
    <w:rsid w:val="003E70B1"/>
    <w:rsid w:val="003F56A4"/>
    <w:rsid w:val="00416E61"/>
    <w:rsid w:val="00426B15"/>
    <w:rsid w:val="0042790C"/>
    <w:rsid w:val="0043290F"/>
    <w:rsid w:val="00444FDC"/>
    <w:rsid w:val="00447C5A"/>
    <w:rsid w:val="004506F9"/>
    <w:rsid w:val="004717A2"/>
    <w:rsid w:val="00473DF3"/>
    <w:rsid w:val="00487911"/>
    <w:rsid w:val="00491741"/>
    <w:rsid w:val="004B0CEE"/>
    <w:rsid w:val="004C518E"/>
    <w:rsid w:val="004F3A05"/>
    <w:rsid w:val="00500E5F"/>
    <w:rsid w:val="005122EF"/>
    <w:rsid w:val="0051441A"/>
    <w:rsid w:val="005161BE"/>
    <w:rsid w:val="00517C33"/>
    <w:rsid w:val="00517D5F"/>
    <w:rsid w:val="00521AF2"/>
    <w:rsid w:val="00523644"/>
    <w:rsid w:val="0054069E"/>
    <w:rsid w:val="00544866"/>
    <w:rsid w:val="005767CC"/>
    <w:rsid w:val="005774C3"/>
    <w:rsid w:val="00590D9F"/>
    <w:rsid w:val="00595D26"/>
    <w:rsid w:val="005975E2"/>
    <w:rsid w:val="005A317E"/>
    <w:rsid w:val="005A74E6"/>
    <w:rsid w:val="005B404E"/>
    <w:rsid w:val="005B7582"/>
    <w:rsid w:val="005C12C8"/>
    <w:rsid w:val="005C5979"/>
    <w:rsid w:val="005D4D55"/>
    <w:rsid w:val="005E2CFB"/>
    <w:rsid w:val="005F2103"/>
    <w:rsid w:val="005F3D1C"/>
    <w:rsid w:val="00602320"/>
    <w:rsid w:val="006043C9"/>
    <w:rsid w:val="00612501"/>
    <w:rsid w:val="0062378F"/>
    <w:rsid w:val="00641842"/>
    <w:rsid w:val="00651EEC"/>
    <w:rsid w:val="00653151"/>
    <w:rsid w:val="00664B48"/>
    <w:rsid w:val="00686673"/>
    <w:rsid w:val="00691E8C"/>
    <w:rsid w:val="006A22C4"/>
    <w:rsid w:val="006A348B"/>
    <w:rsid w:val="006A351B"/>
    <w:rsid w:val="006B0422"/>
    <w:rsid w:val="006C1B53"/>
    <w:rsid w:val="006C6995"/>
    <w:rsid w:val="006D5E1B"/>
    <w:rsid w:val="006D7730"/>
    <w:rsid w:val="006E5284"/>
    <w:rsid w:val="006F3EB5"/>
    <w:rsid w:val="00702E34"/>
    <w:rsid w:val="00704395"/>
    <w:rsid w:val="00710FE7"/>
    <w:rsid w:val="00717621"/>
    <w:rsid w:val="00720FF1"/>
    <w:rsid w:val="00727A53"/>
    <w:rsid w:val="0073606A"/>
    <w:rsid w:val="0074082B"/>
    <w:rsid w:val="00760BC6"/>
    <w:rsid w:val="00783A35"/>
    <w:rsid w:val="00787B42"/>
    <w:rsid w:val="007A100D"/>
    <w:rsid w:val="007B2C1D"/>
    <w:rsid w:val="007C4539"/>
    <w:rsid w:val="007C6F0C"/>
    <w:rsid w:val="007E2D32"/>
    <w:rsid w:val="007F3657"/>
    <w:rsid w:val="008064EA"/>
    <w:rsid w:val="00812ED5"/>
    <w:rsid w:val="00817223"/>
    <w:rsid w:val="00824FDA"/>
    <w:rsid w:val="008277D9"/>
    <w:rsid w:val="00833DBD"/>
    <w:rsid w:val="0084478C"/>
    <w:rsid w:val="00847892"/>
    <w:rsid w:val="008510AA"/>
    <w:rsid w:val="0086638C"/>
    <w:rsid w:val="0086795D"/>
    <w:rsid w:val="008878D0"/>
    <w:rsid w:val="008A0ABD"/>
    <w:rsid w:val="008A3E8D"/>
    <w:rsid w:val="008E75DA"/>
    <w:rsid w:val="008F7DBD"/>
    <w:rsid w:val="00903999"/>
    <w:rsid w:val="00916B5E"/>
    <w:rsid w:val="009237C4"/>
    <w:rsid w:val="00944C48"/>
    <w:rsid w:val="00950252"/>
    <w:rsid w:val="0095291E"/>
    <w:rsid w:val="0096582A"/>
    <w:rsid w:val="00967F5D"/>
    <w:rsid w:val="009719DB"/>
    <w:rsid w:val="00975212"/>
    <w:rsid w:val="009761D9"/>
    <w:rsid w:val="00981AFE"/>
    <w:rsid w:val="00982186"/>
    <w:rsid w:val="009A0F95"/>
    <w:rsid w:val="009B2C29"/>
    <w:rsid w:val="009B3ADF"/>
    <w:rsid w:val="009B4BC7"/>
    <w:rsid w:val="009C3B52"/>
    <w:rsid w:val="009C4746"/>
    <w:rsid w:val="009C7ADE"/>
    <w:rsid w:val="009E6817"/>
    <w:rsid w:val="009E6E9A"/>
    <w:rsid w:val="009F24E3"/>
    <w:rsid w:val="00A0197E"/>
    <w:rsid w:val="00A01D2B"/>
    <w:rsid w:val="00A12713"/>
    <w:rsid w:val="00A229EF"/>
    <w:rsid w:val="00A42218"/>
    <w:rsid w:val="00A57140"/>
    <w:rsid w:val="00A70249"/>
    <w:rsid w:val="00A70B02"/>
    <w:rsid w:val="00A71D9F"/>
    <w:rsid w:val="00A92E9F"/>
    <w:rsid w:val="00AA7EA5"/>
    <w:rsid w:val="00AB2EF8"/>
    <w:rsid w:val="00AB695A"/>
    <w:rsid w:val="00AF60C0"/>
    <w:rsid w:val="00B12AB3"/>
    <w:rsid w:val="00B13B87"/>
    <w:rsid w:val="00B17983"/>
    <w:rsid w:val="00B33BEA"/>
    <w:rsid w:val="00B57C9F"/>
    <w:rsid w:val="00B63572"/>
    <w:rsid w:val="00B845B3"/>
    <w:rsid w:val="00B85D8B"/>
    <w:rsid w:val="00B93B74"/>
    <w:rsid w:val="00BB4A40"/>
    <w:rsid w:val="00BC79C5"/>
    <w:rsid w:val="00BD47BA"/>
    <w:rsid w:val="00BD5A99"/>
    <w:rsid w:val="00BD6C3E"/>
    <w:rsid w:val="00BE3674"/>
    <w:rsid w:val="00C05CF1"/>
    <w:rsid w:val="00C10681"/>
    <w:rsid w:val="00C16881"/>
    <w:rsid w:val="00C3049A"/>
    <w:rsid w:val="00C31B1E"/>
    <w:rsid w:val="00C34068"/>
    <w:rsid w:val="00C52CCA"/>
    <w:rsid w:val="00C5598E"/>
    <w:rsid w:val="00C62C50"/>
    <w:rsid w:val="00C77645"/>
    <w:rsid w:val="00CD22F0"/>
    <w:rsid w:val="00CE04C3"/>
    <w:rsid w:val="00CE2010"/>
    <w:rsid w:val="00CE76A0"/>
    <w:rsid w:val="00CF62EF"/>
    <w:rsid w:val="00CF7390"/>
    <w:rsid w:val="00D03F42"/>
    <w:rsid w:val="00D055F6"/>
    <w:rsid w:val="00D148C6"/>
    <w:rsid w:val="00D1680B"/>
    <w:rsid w:val="00D17A8A"/>
    <w:rsid w:val="00D415BA"/>
    <w:rsid w:val="00D46BD7"/>
    <w:rsid w:val="00D52066"/>
    <w:rsid w:val="00D63780"/>
    <w:rsid w:val="00D63DDE"/>
    <w:rsid w:val="00D644EE"/>
    <w:rsid w:val="00D662D8"/>
    <w:rsid w:val="00D75489"/>
    <w:rsid w:val="00D855D0"/>
    <w:rsid w:val="00DD06FF"/>
    <w:rsid w:val="00DD5FE9"/>
    <w:rsid w:val="00DE4EB3"/>
    <w:rsid w:val="00E00C7A"/>
    <w:rsid w:val="00E13932"/>
    <w:rsid w:val="00E209CF"/>
    <w:rsid w:val="00E25314"/>
    <w:rsid w:val="00E37D6C"/>
    <w:rsid w:val="00E46354"/>
    <w:rsid w:val="00E467AF"/>
    <w:rsid w:val="00E55AC3"/>
    <w:rsid w:val="00E55B68"/>
    <w:rsid w:val="00E67BE6"/>
    <w:rsid w:val="00E8683C"/>
    <w:rsid w:val="00EA2B72"/>
    <w:rsid w:val="00EC214E"/>
    <w:rsid w:val="00EC4F00"/>
    <w:rsid w:val="00F21988"/>
    <w:rsid w:val="00F4725C"/>
    <w:rsid w:val="00F50188"/>
    <w:rsid w:val="00F576E2"/>
    <w:rsid w:val="00F6395B"/>
    <w:rsid w:val="00F67643"/>
    <w:rsid w:val="00F74360"/>
    <w:rsid w:val="00FB462F"/>
    <w:rsid w:val="00FD0A50"/>
    <w:rsid w:val="00FE16FA"/>
    <w:rsid w:val="00FE328A"/>
    <w:rsid w:val="00FE6269"/>
    <w:rsid w:val="00FF5CD6"/>
    <w:rsid w:val="028C1D30"/>
    <w:rsid w:val="06915006"/>
    <w:rsid w:val="0751274D"/>
    <w:rsid w:val="07634BF4"/>
    <w:rsid w:val="07A77932"/>
    <w:rsid w:val="08F14AE1"/>
    <w:rsid w:val="0B567F72"/>
    <w:rsid w:val="0C7C6B53"/>
    <w:rsid w:val="0D3F15F5"/>
    <w:rsid w:val="0EF6245F"/>
    <w:rsid w:val="11E43B98"/>
    <w:rsid w:val="13692089"/>
    <w:rsid w:val="18985D2F"/>
    <w:rsid w:val="18FA38C9"/>
    <w:rsid w:val="1B323160"/>
    <w:rsid w:val="1B714E5F"/>
    <w:rsid w:val="1E532BCB"/>
    <w:rsid w:val="1EBE63A2"/>
    <w:rsid w:val="1F041D62"/>
    <w:rsid w:val="1F6317DE"/>
    <w:rsid w:val="1F745786"/>
    <w:rsid w:val="21B1218A"/>
    <w:rsid w:val="238B2E7B"/>
    <w:rsid w:val="2AD95BF4"/>
    <w:rsid w:val="2F101369"/>
    <w:rsid w:val="321612FC"/>
    <w:rsid w:val="32B56379"/>
    <w:rsid w:val="38090922"/>
    <w:rsid w:val="38D75D21"/>
    <w:rsid w:val="395219B1"/>
    <w:rsid w:val="46BE0A2A"/>
    <w:rsid w:val="472236C4"/>
    <w:rsid w:val="47867568"/>
    <w:rsid w:val="47C05439"/>
    <w:rsid w:val="4B1C68ED"/>
    <w:rsid w:val="4B8003CD"/>
    <w:rsid w:val="4F976C0B"/>
    <w:rsid w:val="4FEB77E7"/>
    <w:rsid w:val="523F5138"/>
    <w:rsid w:val="538D47D7"/>
    <w:rsid w:val="538E105C"/>
    <w:rsid w:val="53BF69FD"/>
    <w:rsid w:val="591A5257"/>
    <w:rsid w:val="5D2E7409"/>
    <w:rsid w:val="60841B7E"/>
    <w:rsid w:val="635D15B9"/>
    <w:rsid w:val="6434341A"/>
    <w:rsid w:val="64714AD2"/>
    <w:rsid w:val="64857E64"/>
    <w:rsid w:val="65965345"/>
    <w:rsid w:val="65F04BE5"/>
    <w:rsid w:val="6A484E25"/>
    <w:rsid w:val="6E0F6D2F"/>
    <w:rsid w:val="6EAE4254"/>
    <w:rsid w:val="74205B29"/>
    <w:rsid w:val="75F714AD"/>
    <w:rsid w:val="78081C98"/>
    <w:rsid w:val="7DC2177C"/>
    <w:rsid w:val="7EAA7C1A"/>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1"/>
    <w:semiHidden/>
    <w:qFormat/>
    <w:uiPriority w:val="99"/>
    <w:pPr>
      <w:jc w:val="left"/>
    </w:pPr>
  </w:style>
  <w:style w:type="paragraph" w:styleId="3">
    <w:name w:val="Body Text"/>
    <w:basedOn w:val="1"/>
    <w:link w:val="12"/>
    <w:qFormat/>
    <w:uiPriority w:val="99"/>
    <w:pPr>
      <w:spacing w:before="100" w:beforeAutospacing="1" w:after="120"/>
    </w:pPr>
    <w:rPr>
      <w:rFonts w:ascii="Times New Roman" w:hAnsi="Times New Roman" w:cs="Times New Roman"/>
    </w:rPr>
  </w:style>
  <w:style w:type="paragraph" w:styleId="4">
    <w:name w:val="Balloon Text"/>
    <w:basedOn w:val="1"/>
    <w:link w:val="13"/>
    <w:semiHidden/>
    <w:qFormat/>
    <w:uiPriority w:val="99"/>
    <w:rPr>
      <w:sz w:val="18"/>
      <w:szCs w:val="18"/>
    </w:rPr>
  </w:style>
  <w:style w:type="paragraph" w:styleId="5">
    <w:name w:val="footer"/>
    <w:basedOn w:val="1"/>
    <w:link w:val="14"/>
    <w:qFormat/>
    <w:uiPriority w:val="99"/>
    <w:pPr>
      <w:tabs>
        <w:tab w:val="center" w:pos="4153"/>
        <w:tab w:val="right" w:pos="8306"/>
      </w:tabs>
      <w:snapToGrid w:val="0"/>
      <w:jc w:val="left"/>
    </w:pPr>
    <w:rPr>
      <w:sz w:val="18"/>
      <w:szCs w:val="18"/>
    </w:rPr>
  </w:style>
  <w:style w:type="paragraph" w:styleId="6">
    <w:name w:val="header"/>
    <w:basedOn w:val="1"/>
    <w:link w:val="15"/>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rPr>
      <w:sz w:val="24"/>
    </w:rPr>
  </w:style>
  <w:style w:type="character" w:styleId="10">
    <w:name w:val="annotation reference"/>
    <w:basedOn w:val="9"/>
    <w:semiHidden/>
    <w:qFormat/>
    <w:uiPriority w:val="99"/>
    <w:rPr>
      <w:sz w:val="21"/>
      <w:szCs w:val="21"/>
    </w:rPr>
  </w:style>
  <w:style w:type="character" w:customStyle="1" w:styleId="11">
    <w:name w:val="批注文字 Char"/>
    <w:basedOn w:val="9"/>
    <w:link w:val="2"/>
    <w:semiHidden/>
    <w:qFormat/>
    <w:locked/>
    <w:uiPriority w:val="99"/>
    <w:rPr>
      <w:rFonts w:ascii="Calibri" w:hAnsi="Calibri" w:cs="Calibri"/>
      <w:sz w:val="21"/>
      <w:szCs w:val="21"/>
    </w:rPr>
  </w:style>
  <w:style w:type="character" w:customStyle="1" w:styleId="12">
    <w:name w:val="正文文本 Char"/>
    <w:basedOn w:val="9"/>
    <w:link w:val="3"/>
    <w:qFormat/>
    <w:locked/>
    <w:uiPriority w:val="99"/>
    <w:rPr>
      <w:rFonts w:eastAsia="宋体"/>
      <w:kern w:val="2"/>
      <w:sz w:val="21"/>
      <w:szCs w:val="21"/>
      <w:lang w:val="en-US" w:eastAsia="zh-CN"/>
    </w:rPr>
  </w:style>
  <w:style w:type="character" w:customStyle="1" w:styleId="13">
    <w:name w:val="批注框文本 Char"/>
    <w:basedOn w:val="9"/>
    <w:link w:val="4"/>
    <w:semiHidden/>
    <w:qFormat/>
    <w:locked/>
    <w:uiPriority w:val="99"/>
    <w:rPr>
      <w:sz w:val="18"/>
      <w:szCs w:val="18"/>
    </w:rPr>
  </w:style>
  <w:style w:type="character" w:customStyle="1" w:styleId="14">
    <w:name w:val="页脚 Char"/>
    <w:basedOn w:val="9"/>
    <w:link w:val="5"/>
    <w:qFormat/>
    <w:locked/>
    <w:uiPriority w:val="99"/>
    <w:rPr>
      <w:sz w:val="18"/>
      <w:szCs w:val="18"/>
    </w:rPr>
  </w:style>
  <w:style w:type="character" w:customStyle="1" w:styleId="15">
    <w:name w:val="页眉 Char"/>
    <w:basedOn w:val="9"/>
    <w:link w:val="6"/>
    <w:qFormat/>
    <w:locked/>
    <w:uiPriority w:val="99"/>
    <w:rPr>
      <w:sz w:val="18"/>
      <w:szCs w:val="18"/>
    </w:rPr>
  </w:style>
  <w:style w:type="paragraph" w:customStyle="1" w:styleId="16">
    <w:name w:val="Default"/>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 w:type="paragraph" w:styleId="17">
    <w:name w:val="List Paragraph"/>
    <w:basedOn w:val="1"/>
    <w:qFormat/>
    <w:uiPriority w:val="99"/>
    <w:pPr>
      <w:ind w:firstLine="420" w:firstLineChars="200"/>
    </w:pPr>
  </w:style>
  <w:style w:type="paragraph" w:customStyle="1" w:styleId="18">
    <w:name w:val="msonormal"/>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9">
    <w:name w:val="正文文字"/>
    <w:basedOn w:val="1"/>
    <w:next w:val="1"/>
    <w:qFormat/>
    <w:uiPriority w:val="99"/>
    <w:pPr>
      <w:spacing w:before="100" w:beforeAutospacing="1" w:after="12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20BFD09-0E6B-4DA2-B428-6FA26A5E151E}">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18</Pages>
  <Words>4984</Words>
  <Characters>5309</Characters>
  <Lines>39</Lines>
  <Paragraphs>11</Paragraphs>
  <TotalTime>68</TotalTime>
  <ScaleCrop>false</ScaleCrop>
  <LinksUpToDate>false</LinksUpToDate>
  <CharactersWithSpaces>5328</CharactersWithSpaces>
  <Application>WPS Office_12.1.0.18334_F1E327BC-269C-435d-A152-05C5408002CA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2024-11-21T07:35:00Z</dcterms:created>
  <dc:creator>李航 null</dc:creator>
  <cp:lastModifiedBy>Administrator</cp:lastModifiedBy>
  <cp:lastPrinted>2022-10-11T01:13:00Z</cp:lastPrinted>
  <dcterms:modified xsi:type="dcterms:W3CDTF">2024-10-30T20:50:07Z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2052-12.1.0.18334</vt:lpwstr>
  </property>
  <property fmtid="{D5CDD505-2E9C-101B-9397-08002B2CF9AE}" pid="3" name="ICV">
    <vt:lpwstr>F6B709B7B6E84201A3B8A158ECEF7772_13</vt:lpwstr>
  </property>
</Properties>
</file>