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5C2FA">
      <w:pPr>
        <w:tabs>
          <w:tab w:val="left" w:pos="7560"/>
        </w:tabs>
        <w:adjustRightInd w:val="0"/>
        <w:snapToGrid w:val="0"/>
        <w:spacing w:line="56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358979CD">
      <w:pPr>
        <w:tabs>
          <w:tab w:val="left" w:pos="7560"/>
        </w:tabs>
        <w:adjustRightInd w:val="0"/>
        <w:snapToGrid w:val="0"/>
        <w:spacing w:line="560" w:lineRule="exact"/>
        <w:jc w:val="center"/>
        <w:rPr>
          <w:rFonts w:ascii="Times New Roman" w:hAnsi="Times New Roman" w:eastAsia="方正小标宋简体" w:cs="Times New Roman"/>
          <w:sz w:val="44"/>
          <w:szCs w:val="32"/>
        </w:rPr>
      </w:pPr>
    </w:p>
    <w:p w14:paraId="7273E76F">
      <w:pPr>
        <w:tabs>
          <w:tab w:val="left" w:pos="7560"/>
        </w:tabs>
        <w:adjustRightInd w:val="0"/>
        <w:snapToGrid w:val="0"/>
        <w:spacing w:line="560" w:lineRule="exact"/>
        <w:rPr>
          <w:rFonts w:ascii="Times New Roman" w:hAnsi="Times New Roman" w:eastAsia="方正小标宋简体" w:cs="Times New Roman"/>
          <w:sz w:val="44"/>
          <w:szCs w:val="32"/>
        </w:rPr>
      </w:pPr>
    </w:p>
    <w:p w14:paraId="3B7BE8BF">
      <w:pPr>
        <w:tabs>
          <w:tab w:val="left" w:pos="7560"/>
        </w:tabs>
        <w:adjustRightInd w:val="0"/>
        <w:snapToGrid w:val="0"/>
        <w:spacing w:line="560" w:lineRule="exact"/>
        <w:jc w:val="center"/>
        <w:rPr>
          <w:rFonts w:ascii="Times New Roman" w:hAnsi="Times New Roman" w:eastAsia="方正小标宋简体" w:cs="Times New Roman"/>
          <w:sz w:val="44"/>
          <w:szCs w:val="32"/>
        </w:rPr>
      </w:pPr>
      <w:r>
        <w:rPr>
          <w:rFonts w:hint="eastAsia" w:ascii="Times New Roman" w:hAnsi="Times New Roman" w:eastAsia="方正小标宋简体" w:cs="Times New Roman"/>
          <w:sz w:val="44"/>
          <w:szCs w:val="32"/>
        </w:rPr>
        <w:t>2023</w:t>
      </w:r>
      <w:r>
        <w:rPr>
          <w:rFonts w:ascii="Times New Roman" w:hAnsi="Times New Roman" w:eastAsia="方正小标宋简体" w:cs="Times New Roman"/>
          <w:sz w:val="44"/>
          <w:szCs w:val="32"/>
        </w:rPr>
        <w:t>年度部门整体支出绩效自评报告</w:t>
      </w:r>
    </w:p>
    <w:p w14:paraId="7A8E14D5">
      <w:pPr>
        <w:tabs>
          <w:tab w:val="left" w:pos="7560"/>
        </w:tabs>
        <w:adjustRightInd w:val="0"/>
        <w:snapToGrid w:val="0"/>
        <w:spacing w:line="560" w:lineRule="exact"/>
        <w:jc w:val="left"/>
        <w:rPr>
          <w:rFonts w:ascii="Times New Roman" w:hAnsi="Times New Roman" w:eastAsia="仿宋_GB2312" w:cs="Times New Roman"/>
          <w:sz w:val="32"/>
          <w:szCs w:val="32"/>
        </w:rPr>
      </w:pPr>
    </w:p>
    <w:p w14:paraId="176CD795">
      <w:pPr>
        <w:tabs>
          <w:tab w:val="left" w:pos="7560"/>
        </w:tabs>
        <w:adjustRightInd w:val="0"/>
        <w:snapToGrid w:val="0"/>
        <w:spacing w:line="560" w:lineRule="exact"/>
        <w:jc w:val="left"/>
        <w:rPr>
          <w:rFonts w:ascii="Times New Roman" w:hAnsi="Times New Roman" w:eastAsia="仿宋_GB2312" w:cs="Times New Roman"/>
          <w:sz w:val="32"/>
          <w:szCs w:val="32"/>
        </w:rPr>
      </w:pPr>
    </w:p>
    <w:p w14:paraId="52987D95">
      <w:pPr>
        <w:tabs>
          <w:tab w:val="left" w:pos="7560"/>
        </w:tabs>
        <w:adjustRightInd w:val="0"/>
        <w:snapToGrid w:val="0"/>
        <w:spacing w:line="560" w:lineRule="exact"/>
        <w:jc w:val="left"/>
        <w:rPr>
          <w:rFonts w:ascii="Times New Roman" w:hAnsi="Times New Roman" w:eastAsia="仿宋_GB2312" w:cs="Times New Roman"/>
          <w:sz w:val="32"/>
          <w:szCs w:val="32"/>
        </w:rPr>
      </w:pPr>
    </w:p>
    <w:p w14:paraId="5458CD71">
      <w:pPr>
        <w:tabs>
          <w:tab w:val="left" w:pos="7560"/>
        </w:tabs>
        <w:adjustRightInd w:val="0"/>
        <w:snapToGrid w:val="0"/>
        <w:spacing w:line="560" w:lineRule="exact"/>
        <w:jc w:val="left"/>
        <w:rPr>
          <w:rFonts w:ascii="Times New Roman" w:hAnsi="Times New Roman" w:eastAsia="仿宋_GB2312" w:cs="Times New Roman"/>
          <w:sz w:val="32"/>
          <w:szCs w:val="32"/>
        </w:rPr>
      </w:pPr>
    </w:p>
    <w:p w14:paraId="7836C8B8">
      <w:pPr>
        <w:tabs>
          <w:tab w:val="left" w:pos="7560"/>
        </w:tabs>
        <w:adjustRightInd w:val="0"/>
        <w:snapToGrid w:val="0"/>
        <w:spacing w:line="560" w:lineRule="exact"/>
        <w:jc w:val="left"/>
        <w:rPr>
          <w:rFonts w:ascii="Times New Roman" w:hAnsi="Times New Roman" w:eastAsia="仿宋_GB2312" w:cs="Times New Roman"/>
          <w:sz w:val="32"/>
          <w:szCs w:val="32"/>
        </w:rPr>
      </w:pPr>
    </w:p>
    <w:p w14:paraId="6906D971">
      <w:pPr>
        <w:tabs>
          <w:tab w:val="left" w:pos="7560"/>
        </w:tabs>
        <w:adjustRightInd w:val="0"/>
        <w:snapToGrid w:val="0"/>
        <w:spacing w:line="560" w:lineRule="exact"/>
        <w:jc w:val="left"/>
        <w:rPr>
          <w:rFonts w:ascii="Times New Roman" w:hAnsi="Times New Roman" w:eastAsia="仿宋_GB2312" w:cs="Times New Roman"/>
          <w:sz w:val="32"/>
          <w:szCs w:val="32"/>
        </w:rPr>
      </w:pPr>
    </w:p>
    <w:p w14:paraId="78A2EC0A">
      <w:pPr>
        <w:tabs>
          <w:tab w:val="left" w:pos="7560"/>
        </w:tabs>
        <w:adjustRightInd w:val="0"/>
        <w:snapToGrid w:val="0"/>
        <w:spacing w:line="560" w:lineRule="exact"/>
        <w:jc w:val="left"/>
        <w:rPr>
          <w:rFonts w:ascii="Times New Roman" w:hAnsi="Times New Roman" w:eastAsia="仿宋_GB2312" w:cs="Times New Roman"/>
          <w:sz w:val="32"/>
          <w:szCs w:val="32"/>
        </w:rPr>
      </w:pPr>
    </w:p>
    <w:p w14:paraId="352DF380">
      <w:pPr>
        <w:tabs>
          <w:tab w:val="left" w:pos="7560"/>
        </w:tabs>
        <w:adjustRightInd w:val="0"/>
        <w:snapToGrid w:val="0"/>
        <w:spacing w:line="560" w:lineRule="exact"/>
        <w:jc w:val="left"/>
        <w:rPr>
          <w:rFonts w:ascii="Times New Roman" w:hAnsi="Times New Roman" w:eastAsia="仿宋_GB2312" w:cs="Times New Roman"/>
          <w:sz w:val="32"/>
          <w:szCs w:val="32"/>
        </w:rPr>
      </w:pPr>
    </w:p>
    <w:p w14:paraId="591FEF20">
      <w:pPr>
        <w:tabs>
          <w:tab w:val="left" w:pos="7560"/>
        </w:tabs>
        <w:adjustRightInd w:val="0"/>
        <w:snapToGrid w:val="0"/>
        <w:spacing w:line="560" w:lineRule="exact"/>
        <w:jc w:val="left"/>
        <w:rPr>
          <w:rFonts w:ascii="Times New Roman" w:hAnsi="Times New Roman" w:eastAsia="仿宋_GB2312" w:cs="Times New Roman"/>
          <w:sz w:val="32"/>
          <w:szCs w:val="32"/>
        </w:rPr>
      </w:pPr>
    </w:p>
    <w:p w14:paraId="3945974E">
      <w:pPr>
        <w:tabs>
          <w:tab w:val="left" w:pos="7560"/>
        </w:tabs>
        <w:adjustRightInd w:val="0"/>
        <w:snapToGrid w:val="0"/>
        <w:spacing w:line="560" w:lineRule="exact"/>
        <w:jc w:val="left"/>
        <w:rPr>
          <w:rFonts w:ascii="Times New Roman" w:hAnsi="Times New Roman" w:eastAsia="仿宋_GB2312" w:cs="Times New Roman"/>
          <w:sz w:val="32"/>
          <w:szCs w:val="32"/>
        </w:rPr>
      </w:pPr>
    </w:p>
    <w:p w14:paraId="0E608A0E">
      <w:pPr>
        <w:tabs>
          <w:tab w:val="left" w:pos="7560"/>
        </w:tabs>
        <w:adjustRightInd w:val="0"/>
        <w:snapToGrid w:val="0"/>
        <w:spacing w:line="560" w:lineRule="exact"/>
        <w:jc w:val="left"/>
        <w:rPr>
          <w:rFonts w:ascii="Times New Roman" w:hAnsi="Times New Roman" w:eastAsia="仿宋_GB2312" w:cs="Times New Roman"/>
          <w:sz w:val="32"/>
          <w:szCs w:val="32"/>
        </w:rPr>
      </w:pPr>
    </w:p>
    <w:p w14:paraId="4818CFCD">
      <w:pPr>
        <w:tabs>
          <w:tab w:val="left" w:pos="7560"/>
        </w:tabs>
        <w:adjustRightInd w:val="0"/>
        <w:snapToGrid w:val="0"/>
        <w:spacing w:line="560" w:lineRule="exact"/>
        <w:jc w:val="left"/>
        <w:rPr>
          <w:rFonts w:ascii="Times New Roman" w:hAnsi="Times New Roman" w:eastAsia="仿宋_GB2312" w:cs="Times New Roman"/>
          <w:sz w:val="32"/>
          <w:szCs w:val="32"/>
        </w:rPr>
      </w:pPr>
    </w:p>
    <w:p w14:paraId="58B57887">
      <w:pPr>
        <w:tabs>
          <w:tab w:val="left" w:pos="7560"/>
        </w:tabs>
        <w:adjustRightInd w:val="0"/>
        <w:snapToGrid w:val="0"/>
        <w:spacing w:line="560" w:lineRule="exact"/>
        <w:jc w:val="left"/>
        <w:rPr>
          <w:rFonts w:ascii="Times New Roman" w:hAnsi="Times New Roman" w:eastAsia="仿宋_GB2312" w:cs="Times New Roman"/>
          <w:sz w:val="32"/>
          <w:szCs w:val="32"/>
        </w:rPr>
      </w:pPr>
    </w:p>
    <w:p w14:paraId="6A1CAFA4">
      <w:pPr>
        <w:tabs>
          <w:tab w:val="left" w:pos="7560"/>
        </w:tabs>
        <w:adjustRightInd w:val="0"/>
        <w:snapToGrid w:val="0"/>
        <w:spacing w:line="560" w:lineRule="exact"/>
        <w:jc w:val="left"/>
        <w:rPr>
          <w:rFonts w:ascii="Times New Roman" w:hAnsi="Times New Roman" w:eastAsia="仿宋_GB2312" w:cs="Times New Roman"/>
          <w:sz w:val="32"/>
          <w:szCs w:val="32"/>
        </w:rPr>
      </w:pPr>
    </w:p>
    <w:p w14:paraId="04C9D039">
      <w:pPr>
        <w:tabs>
          <w:tab w:val="left" w:pos="7560"/>
        </w:tabs>
        <w:adjustRightInd w:val="0"/>
        <w:snapToGrid w:val="0"/>
        <w:spacing w:line="560" w:lineRule="exact"/>
        <w:jc w:val="center"/>
        <w:rPr>
          <w:rFonts w:ascii="Times New Roman" w:hAnsi="Times New Roman" w:eastAsia="黑体" w:cs="Times New Roman"/>
          <w:sz w:val="36"/>
          <w:szCs w:val="44"/>
        </w:rPr>
      </w:pPr>
      <w:r>
        <w:rPr>
          <w:rFonts w:ascii="Times New Roman" w:hAnsi="Times New Roman" w:eastAsia="黑体" w:cs="Times New Roman"/>
          <w:sz w:val="36"/>
          <w:szCs w:val="44"/>
        </w:rPr>
        <w:t>单位名称（盖章）</w:t>
      </w:r>
    </w:p>
    <w:p w14:paraId="46EFB61F">
      <w:pPr>
        <w:tabs>
          <w:tab w:val="left" w:pos="7560"/>
        </w:tabs>
        <w:adjustRightInd w:val="0"/>
        <w:snapToGrid w:val="0"/>
        <w:spacing w:line="560" w:lineRule="exact"/>
        <w:jc w:val="left"/>
        <w:rPr>
          <w:rFonts w:ascii="Times New Roman" w:hAnsi="Times New Roman" w:eastAsia="仿宋_GB2312" w:cs="Times New Roman"/>
          <w:sz w:val="32"/>
          <w:szCs w:val="32"/>
        </w:rPr>
      </w:pPr>
    </w:p>
    <w:p w14:paraId="3713989C">
      <w:pPr>
        <w:tabs>
          <w:tab w:val="left" w:pos="7560"/>
        </w:tabs>
        <w:adjustRightInd w:val="0"/>
        <w:snapToGrid w:val="0"/>
        <w:spacing w:line="560" w:lineRule="exact"/>
        <w:jc w:val="left"/>
        <w:rPr>
          <w:rFonts w:ascii="Times New Roman" w:hAnsi="Times New Roman" w:eastAsia="仿宋_GB2312" w:cs="Times New Roman"/>
          <w:sz w:val="32"/>
          <w:szCs w:val="32"/>
        </w:rPr>
      </w:pPr>
    </w:p>
    <w:p w14:paraId="4B7E49B0">
      <w:pPr>
        <w:tabs>
          <w:tab w:val="left" w:pos="7560"/>
        </w:tabs>
        <w:adjustRightInd w:val="0"/>
        <w:snapToGrid w:val="0"/>
        <w:spacing w:line="540" w:lineRule="exact"/>
        <w:ind w:firstLine="640" w:firstLineChars="200"/>
        <w:jc w:val="left"/>
        <w:rPr>
          <w:rFonts w:ascii="Times New Roman" w:hAnsi="Times New Roman" w:eastAsia="黑体" w:cs="Times New Roman"/>
          <w:sz w:val="32"/>
          <w:szCs w:val="32"/>
        </w:rPr>
        <w:sectPr>
          <w:footerReference r:id="rId3" w:type="default"/>
          <w:pgSz w:w="11906" w:h="16838"/>
          <w:pgMar w:top="1984" w:right="1531" w:bottom="1701" w:left="1531" w:header="851" w:footer="992" w:gutter="0"/>
          <w:cols w:space="425" w:num="1"/>
          <w:docGrid w:type="linesAndChars" w:linePitch="312" w:charSpace="0"/>
        </w:sectPr>
      </w:pPr>
    </w:p>
    <w:p w14:paraId="21882123">
      <w:pPr>
        <w:tabs>
          <w:tab w:val="left" w:pos="7560"/>
        </w:tabs>
        <w:adjustRightInd w:val="0"/>
        <w:snapToGri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一、预算单位基本情况</w:t>
      </w:r>
    </w:p>
    <w:p w14:paraId="1D617BF8">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根据相关文件规定，石峰区政协主要职责是：</w:t>
      </w:r>
    </w:p>
    <w:p w14:paraId="35D11116">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（一）负责区政协全体会议、常委会议、主席会议、党组会议、专题协商以及对口协商会议的会务工作，负责上述会议所形成的决议、决定、建议案的组织实施。</w:t>
      </w:r>
    </w:p>
    <w:p w14:paraId="387E893F">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（二）组织协调区政协各专门委员会的工作，充分发挥区政协委员的作用，履行好政治协商、民主监督、参政议政的基本职责。</w:t>
      </w:r>
    </w:p>
    <w:p w14:paraId="5D8453DF">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（三）负责区政协委员进行走访、视察、调研、座谈、学习、研讨等日常活动的服务和具体组织工作；组织驻区的省、市政协委员进行视察调研活动。</w:t>
      </w:r>
    </w:p>
    <w:p w14:paraId="3A377FF7">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（四）研究统一战线和人民政协的理论、政策。</w:t>
      </w:r>
    </w:p>
    <w:p w14:paraId="51F5C4AB">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（五）收集和反映区政协委员和各界人士的意见与建议，收集、反映社情民意，宣传人民政协的方针政策、工作业绩和经验以及政协委员的先进事迹。</w:t>
      </w:r>
    </w:p>
    <w:p w14:paraId="38F2A2BC">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（六）联系各民主党派、工商联、各人民团体和无党派人士，联系区直有关部门，互通信息，协调工作，加强合作。</w:t>
      </w:r>
    </w:p>
    <w:p w14:paraId="1C808E70">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（七）负责区政协开展各项活动的有关后勤服务管理工作和区政协机关行政事务管理工作。</w:t>
      </w:r>
    </w:p>
    <w:p w14:paraId="4B204E96">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（八）负责权限范围内的委员任免。</w:t>
      </w:r>
    </w:p>
    <w:p w14:paraId="0F04A2A7">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（九）负责接待来区访问的海外有关友好人士和对外联谊工作。</w:t>
      </w:r>
    </w:p>
    <w:p w14:paraId="61585E2D">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（十）完成区政协常委会、主席会议和上级政协交办的其他工作。</w:t>
      </w:r>
    </w:p>
    <w:p w14:paraId="010E1ADD">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石峰区政协是正处级行政机关，属一级预算单位。机构设置内设科室</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个（二级机构</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个），分别是：</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个科级综合性办公室，</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个科级的专门委员会，其机构设置名称：政协办公室、提案和委员学习联络委员会，经济科技和外事委员会，文教卫体和文史委员会，农业农村和人口资源环境委员会，社会法制和民族宗教委员会。核定行政编制</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名，实有在职人员</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2人（其中改非</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人），全部为全额拨款的行政编。区政协设有一个下属事业单位：政协委员事务中心，编制</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人，实有在职人员</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名，不进行独立核算。</w:t>
      </w:r>
    </w:p>
    <w:p w14:paraId="3425B4FA">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黑体" w:cs="Times New Roman"/>
          <w:sz w:val="32"/>
          <w:szCs w:val="32"/>
        </w:rPr>
        <w:t>二、预算收支出情况（按单位预算口径）</w:t>
      </w:r>
    </w:p>
    <w:p w14:paraId="468D22D1">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2023</w:t>
      </w:r>
      <w:r>
        <w:rPr>
          <w:rFonts w:ascii="Times New Roman" w:hAnsi="Times New Roman" w:eastAsia="仿宋_GB2312" w:cs="Times New Roman"/>
          <w:sz w:val="32"/>
          <w:szCs w:val="32"/>
        </w:rPr>
        <w:t>年预算收入</w:t>
      </w:r>
      <w:r>
        <w:rPr>
          <w:rFonts w:hint="eastAsia" w:ascii="Times New Roman" w:hAnsi="Times New Roman" w:eastAsia="仿宋_GB2312" w:cs="Times New Roman"/>
          <w:sz w:val="32"/>
          <w:szCs w:val="32"/>
        </w:rPr>
        <w:t>587.19</w:t>
      </w:r>
      <w:r>
        <w:rPr>
          <w:rFonts w:ascii="Times New Roman" w:hAnsi="Times New Roman" w:eastAsia="仿宋_GB2312" w:cs="Times New Roman"/>
          <w:sz w:val="32"/>
          <w:szCs w:val="32"/>
        </w:rPr>
        <w:t>万元，其中年初预算</w:t>
      </w:r>
      <w:r>
        <w:rPr>
          <w:rFonts w:hint="eastAsia" w:ascii="Times New Roman" w:hAnsi="Times New Roman" w:eastAsia="仿宋_GB2312" w:cs="Times New Roman"/>
          <w:sz w:val="32"/>
          <w:szCs w:val="32"/>
        </w:rPr>
        <w:t>528.24</w:t>
      </w:r>
      <w:r>
        <w:rPr>
          <w:rFonts w:ascii="Times New Roman" w:hAnsi="Times New Roman" w:eastAsia="仿宋_GB2312" w:cs="Times New Roman"/>
          <w:sz w:val="32"/>
          <w:szCs w:val="32"/>
        </w:rPr>
        <w:t>万元，调整追加</w:t>
      </w:r>
      <w:r>
        <w:rPr>
          <w:rFonts w:hint="eastAsia" w:ascii="Times New Roman" w:hAnsi="Times New Roman" w:eastAsia="仿宋_GB2312" w:cs="Times New Roman"/>
          <w:sz w:val="32"/>
          <w:szCs w:val="32"/>
        </w:rPr>
        <w:t>58.95</w:t>
      </w:r>
      <w:r>
        <w:rPr>
          <w:rFonts w:ascii="Times New Roman" w:hAnsi="Times New Roman" w:eastAsia="仿宋_GB2312" w:cs="Times New Roman"/>
          <w:sz w:val="32"/>
          <w:szCs w:val="32"/>
        </w:rPr>
        <w:t>万元。其他资金来源</w:t>
      </w:r>
      <w:r>
        <w:rPr>
          <w:rFonts w:hint="eastAsia" w:ascii="Times New Roman" w:hAnsi="Times New Roman" w:eastAsia="仿宋_GB2312" w:cs="Times New Roman"/>
          <w:sz w:val="32"/>
          <w:szCs w:val="32"/>
        </w:rPr>
        <w:t>0.70</w:t>
      </w:r>
      <w:r>
        <w:rPr>
          <w:rFonts w:ascii="Times New Roman" w:hAnsi="Times New Roman" w:eastAsia="仿宋_GB2312" w:cs="Times New Roman"/>
          <w:sz w:val="32"/>
          <w:szCs w:val="32"/>
        </w:rPr>
        <w:t>万元。</w:t>
      </w:r>
    </w:p>
    <w:p w14:paraId="73118E4C">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2023</w:t>
      </w:r>
      <w:r>
        <w:rPr>
          <w:rFonts w:ascii="Times New Roman" w:hAnsi="Times New Roman" w:eastAsia="仿宋_GB2312" w:cs="Times New Roman"/>
          <w:sz w:val="32"/>
          <w:szCs w:val="32"/>
        </w:rPr>
        <w:t>年支出</w:t>
      </w:r>
      <w:r>
        <w:rPr>
          <w:rFonts w:hint="eastAsia" w:ascii="Times New Roman" w:hAnsi="Times New Roman" w:eastAsia="仿宋_GB2312" w:cs="Times New Roman"/>
          <w:sz w:val="32"/>
          <w:szCs w:val="32"/>
        </w:rPr>
        <w:t>587.19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483.40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103.79</w:t>
      </w:r>
      <w:r>
        <w:rPr>
          <w:rFonts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rPr>
        <w:t>86.49</w:t>
      </w:r>
      <w:r>
        <w:rPr>
          <w:rFonts w:ascii="Times New Roman" w:hAnsi="Times New Roman" w:eastAsia="仿宋_GB2312" w:cs="Times New Roman"/>
          <w:sz w:val="32"/>
          <w:szCs w:val="32"/>
        </w:rPr>
        <w:t>万元。</w:t>
      </w:r>
    </w:p>
    <w:p w14:paraId="1757B872">
      <w:pPr>
        <w:tabs>
          <w:tab w:val="left" w:pos="7560"/>
        </w:tabs>
        <w:adjustRightInd w:val="0"/>
        <w:snapToGri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三、资金使用及绩效情况（包含单位管理的公共专项）</w:t>
      </w:r>
    </w:p>
    <w:p w14:paraId="56CFF0EA">
      <w:pPr>
        <w:tabs>
          <w:tab w:val="left" w:pos="7560"/>
        </w:tabs>
        <w:adjustRightInd w:val="0"/>
        <w:snapToGri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（一）整体支出绩效情况</w:t>
      </w:r>
    </w:p>
    <w:p w14:paraId="76928976">
      <w:pPr>
        <w:pStyle w:val="2"/>
        <w:spacing w:after="0" w:line="570" w:lineRule="exact"/>
        <w:ind w:firstLine="640" w:firstLineChars="200"/>
        <w:rPr>
          <w:rFonts w:hAnsi="仿宋_GB2312" w:eastAsia="仿宋_GB2312" w:cs="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3年本部门在区委区政府的精心指导和坚强领导</w:t>
      </w:r>
      <w:bookmarkStart w:id="0" w:name="_GoBack"/>
      <w:bookmarkEnd w:id="0"/>
      <w:r>
        <w:rPr>
          <w:rFonts w:hint="eastAsia" w:ascii="Times New Roman" w:hAnsi="Times New Roman" w:eastAsia="仿宋_GB2312" w:cs="Times New Roman"/>
          <w:sz w:val="32"/>
          <w:szCs w:val="32"/>
        </w:rPr>
        <w:t>下，不</w:t>
      </w:r>
      <w:r>
        <w:rPr>
          <w:rFonts w:hint="eastAsia" w:hAnsi="仿宋_GB2312" w:eastAsia="仿宋_GB2312" w:cs="仿宋_GB2312"/>
          <w:color w:val="000000"/>
          <w:sz w:val="32"/>
          <w:szCs w:val="32"/>
        </w:rPr>
        <w:t>断推动政协工作高质量发展，单位整体支出绩效目标实现较好，全面完成绩效目标任务</w:t>
      </w:r>
      <w:r>
        <w:rPr>
          <w:rFonts w:hint="eastAsia" w:hAnsi="仿宋_GB2312" w:eastAsia="仿宋_GB2312" w:cs="仿宋_GB2312"/>
          <w:sz w:val="32"/>
          <w:szCs w:val="32"/>
        </w:rPr>
        <w:t>。</w:t>
      </w:r>
    </w:p>
    <w:p w14:paraId="51771166">
      <w:pPr>
        <w:pStyle w:val="2"/>
        <w:spacing w:after="0" w:line="570" w:lineRule="exact"/>
        <w:ind w:firstLine="640" w:firstLineChars="200"/>
        <w:rPr>
          <w:rFonts w:ascii="Times New Roman" w:hAnsi="Times New Roman" w:eastAsia="仿宋_GB2312" w:cs="Times New Roman"/>
          <w:sz w:val="32"/>
          <w:szCs w:val="32"/>
        </w:rPr>
      </w:pPr>
      <w:r>
        <w:rPr>
          <w:rFonts w:hint="eastAsia" w:ascii="楷体_GB2312" w:hAnsi="楷体_GB2312" w:eastAsia="楷体_GB2312" w:cs="楷体_GB2312"/>
          <w:b/>
          <w:bCs/>
          <w:color w:val="000000"/>
          <w:sz w:val="32"/>
          <w:szCs w:val="32"/>
        </w:rPr>
        <w:t>高质量进行重点协商。</w:t>
      </w:r>
      <w:r>
        <w:rPr>
          <w:rFonts w:ascii="Times New Roman" w:hAnsi="Times New Roman" w:eastAsia="仿宋_GB2312" w:cs="Times New Roman"/>
          <w:sz w:val="32"/>
          <w:szCs w:val="32"/>
        </w:rPr>
        <w:t>深化提升、持续擦亮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株事好商量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协商议事品牌，通过会前深入走访调研，会中邀请区委、区政府领导参与、职能部门与委员互动协商，会后总结归纳协商意见，形成协商共识。区政协举办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聚焦龙头品牌，助力乡村振兴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落实‘双减’政策，推动石峰教育高质量发展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优化营商环境，助推高质量发展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市域社会治理现代化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等4场大型协商活动，引领带动界别和委员工作室开展各类协商议事活动14场，引导各界群众广泛有序参与，充分表达意见，生动诠释</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有事好商量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这一人民民主的真谛。</w:t>
      </w:r>
    </w:p>
    <w:p w14:paraId="5DA060E2">
      <w:pPr>
        <w:pStyle w:val="2"/>
        <w:spacing w:after="0" w:line="570" w:lineRule="exact"/>
        <w:ind w:firstLine="640" w:firstLineChars="200"/>
        <w:rPr>
          <w:rFonts w:ascii="Times New Roman" w:hAnsi="Times New Roman" w:eastAsia="仿宋_GB2312" w:cs="Times New Roman"/>
          <w:sz w:val="32"/>
          <w:szCs w:val="32"/>
        </w:rPr>
      </w:pPr>
      <w:r>
        <w:rPr>
          <w:rFonts w:ascii="楷体_GB2312" w:hAnsi="楷体_GB2312" w:eastAsia="楷体_GB2312" w:cs="楷体_GB2312"/>
          <w:b/>
          <w:bCs/>
          <w:color w:val="000000"/>
          <w:sz w:val="32"/>
          <w:szCs w:val="32"/>
        </w:rPr>
        <w:t>高频次开展民主监督。</w:t>
      </w:r>
      <w:r>
        <w:rPr>
          <w:rFonts w:ascii="Times New Roman" w:hAnsi="Times New Roman" w:eastAsia="仿宋_GB2312" w:cs="Times New Roman"/>
          <w:sz w:val="32"/>
          <w:szCs w:val="32"/>
        </w:rPr>
        <w:t>落实省市政协部署，以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改善生态环境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为重点，聚焦天更蓝、水更清、地更净目标，由主席会议成员带领政协各参加单位，发动政协界别、委员工作室，联合镇（街）政协工作力量，采取明察暗访等形式深入开展监督。在全国生态日、委员活动日、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环保有我</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等活动中倡议践行、宣传发动，与区直部门、镇（街）协同推动。全年组织开展现场监督40余次、环保志愿服务活动10余次，收集群众建议160余条。在市政协已开展的专项民主监督季度测评中，区政协在各县市区中分别位列第2名、第1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上下+横向联动，助解环保问题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创新做法被省政协评为优秀案例，在全省推广。主席会议成员和政协委员就清水塘新城建设及土壤污染治理、田心片区城市更新、法院物业案件审理等开展3次专题视察，深度关注、协商监督重大项目和民生事项。对区财政局、区卫生健康局、区网格化管理服务中心、区机关事务服务中心等4家单位开展民主监督，寓监督于支持之中，助推作风转变、效能提升。</w:t>
      </w:r>
    </w:p>
    <w:p w14:paraId="0A444EBB">
      <w:pPr>
        <w:pStyle w:val="2"/>
        <w:spacing w:after="0" w:line="570" w:lineRule="exact"/>
        <w:ind w:firstLine="640" w:firstLineChars="200"/>
        <w:rPr>
          <w:rFonts w:ascii="Times New Roman" w:hAnsi="Times New Roman" w:eastAsia="仿宋_GB2312" w:cs="Times New Roman"/>
          <w:sz w:val="32"/>
          <w:szCs w:val="32"/>
        </w:rPr>
      </w:pPr>
      <w:r>
        <w:rPr>
          <w:rFonts w:ascii="楷体_GB2312" w:hAnsi="楷体_GB2312" w:eastAsia="楷体_GB2312" w:cs="楷体_GB2312"/>
          <w:b/>
          <w:bCs/>
          <w:color w:val="000000"/>
          <w:sz w:val="32"/>
          <w:szCs w:val="32"/>
        </w:rPr>
        <w:t>高效能做好参政议政。</w:t>
      </w:r>
      <w:r>
        <w:rPr>
          <w:rFonts w:ascii="Times New Roman" w:hAnsi="Times New Roman" w:eastAsia="仿宋_GB2312" w:cs="Times New Roman"/>
          <w:sz w:val="32"/>
          <w:szCs w:val="32"/>
        </w:rPr>
        <w:t>坚持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区委出题，政协答题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当好参谋助手，完成区委邹志超书记交办的长株潭一体化融城发展、汇亚资产盘活等课题调研。广泛发动政协委员撰写提案、微建议和社情民意，全年收集提案83件、微建议125件、社情民意30条。在区政府石慧彬区长逐件审阅交办、分管副区长领衔办理、职能部门用心办理下，立案提案全部办结，办复率100%，满意率100%。一年来，一批站得高、看得远、研得深的资政成果涌现出来，《进一步推进高速公路通行规范与优化管理，预防与减少重特大交通事故发生》一文，被中共湖南省委办公厅、省政协办公厅采用；《发挥人民政协制度优势，推进民主协商向基层延伸》一文，获评市政协理论文章一等奖；《关于加快我市轨道交通制动产业发展的建议》获评市政协优秀调研报告三等奖；《关于减少高速公路交通事故发生的几点建议》《完善重点群众就业支持体系，做好重点群体就业服务》等5篇社情民意被市政府、市政协采用。</w:t>
      </w:r>
    </w:p>
    <w:p w14:paraId="561D90A6">
      <w:pPr>
        <w:tabs>
          <w:tab w:val="left" w:pos="7560"/>
        </w:tabs>
        <w:adjustRightInd w:val="0"/>
        <w:snapToGrid w:val="0"/>
        <w:spacing w:line="540" w:lineRule="exact"/>
        <w:ind w:firstLine="640" w:firstLineChars="200"/>
        <w:jc w:val="left"/>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（二）项目支出绩效情况</w:t>
      </w:r>
    </w:p>
    <w:p w14:paraId="71DC212D">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对应年初预算申报及年中预算调整的子项目分别描述绩效情况（可单独提供项目绩效评价报告），格式参考如下：</w:t>
      </w:r>
    </w:p>
    <w:p w14:paraId="7B0BAFB5">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政协委员界别活动经费</w:t>
      </w:r>
      <w:r>
        <w:rPr>
          <w:rFonts w:ascii="Times New Roman" w:hAnsi="Times New Roman" w:eastAsia="仿宋_GB2312" w:cs="Times New Roman"/>
          <w:sz w:val="32"/>
          <w:szCs w:val="32"/>
        </w:rPr>
        <w:t>”年初预算金额</w:t>
      </w:r>
      <w:r>
        <w:rPr>
          <w:rFonts w:hint="eastAsia" w:ascii="Times New Roman" w:hAnsi="Times New Roman" w:eastAsia="仿宋_GB2312" w:cs="Times New Roman"/>
          <w:sz w:val="32"/>
          <w:szCs w:val="32"/>
        </w:rPr>
        <w:t>53.10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追加66.52万元，</w:t>
      </w:r>
      <w:r>
        <w:rPr>
          <w:rFonts w:ascii="Times New Roman" w:hAnsi="Times New Roman" w:eastAsia="仿宋_GB2312" w:cs="Times New Roman"/>
          <w:sz w:val="32"/>
          <w:szCs w:val="32"/>
        </w:rPr>
        <w:t>实际支出</w:t>
      </w:r>
      <w:r>
        <w:rPr>
          <w:rFonts w:hint="eastAsia" w:ascii="Times New Roman" w:hAnsi="Times New Roman" w:eastAsia="仿宋_GB2312" w:cs="Times New Roman"/>
          <w:sz w:val="32"/>
          <w:szCs w:val="32"/>
        </w:rPr>
        <w:t>70.11</w:t>
      </w:r>
      <w:r>
        <w:rPr>
          <w:rFonts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rPr>
        <w:t>49.51</w:t>
      </w:r>
      <w:r>
        <w:rPr>
          <w:rFonts w:ascii="Times New Roman" w:hAnsi="Times New Roman" w:eastAsia="仿宋_GB2312" w:cs="Times New Roman"/>
          <w:sz w:val="32"/>
          <w:szCs w:val="32"/>
        </w:rPr>
        <w:t>万元。项目实施及绩效情况如下：</w:t>
      </w:r>
    </w:p>
    <w:p w14:paraId="75C7AB12">
      <w:pPr>
        <w:tabs>
          <w:tab w:val="left" w:pos="7560"/>
        </w:tabs>
        <w:adjustRightInd w:val="0"/>
        <w:snapToGrid w:val="0"/>
        <w:spacing w:line="540" w:lineRule="exact"/>
        <w:ind w:firstLine="640" w:firstLineChars="200"/>
        <w:jc w:val="left"/>
        <w:rPr>
          <w:rFonts w:eastAsia="仿宋_GB2312" w:cs="仿宋_GB2312"/>
          <w:b/>
          <w:bCs/>
          <w:sz w:val="32"/>
          <w:szCs w:val="32"/>
        </w:rPr>
      </w:pPr>
      <w:r>
        <w:rPr>
          <w:rFonts w:hint="eastAsia" w:eastAsia="仿宋_GB2312" w:cs="仿宋_GB2312"/>
          <w:b/>
          <w:bCs/>
          <w:sz w:val="32"/>
          <w:szCs w:val="32"/>
        </w:rPr>
        <w:t>政协委员界别活动和委员培训经费项目</w:t>
      </w:r>
    </w:p>
    <w:p w14:paraId="05D2A24E">
      <w:pPr>
        <w:tabs>
          <w:tab w:val="left" w:pos="7560"/>
        </w:tabs>
        <w:adjustRightInd w:val="0"/>
        <w:snapToGrid w:val="0"/>
        <w:spacing w:line="540" w:lineRule="exact"/>
        <w:ind w:firstLine="640" w:firstLineChars="200"/>
        <w:jc w:val="left"/>
      </w:pP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70.11</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rPr>
        <w:t>开展委员学习培训、界别活动及调研、视察、走访，组织委员参加民主监督、民主评议等工作。</w:t>
      </w:r>
    </w:p>
    <w:p w14:paraId="37EF398E">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业务性专项经费</w:t>
      </w:r>
      <w:r>
        <w:rPr>
          <w:rFonts w:ascii="Times New Roman" w:hAnsi="Times New Roman" w:eastAsia="仿宋_GB2312" w:cs="Times New Roman"/>
          <w:sz w:val="32"/>
          <w:szCs w:val="32"/>
        </w:rPr>
        <w:t>”年初预算金额</w:t>
      </w:r>
      <w:r>
        <w:rPr>
          <w:rFonts w:hint="eastAsia" w:ascii="Times New Roman" w:hAnsi="Times New Roman" w:eastAsia="仿宋_GB2312" w:cs="Times New Roman"/>
          <w:sz w:val="32"/>
          <w:szCs w:val="32"/>
        </w:rPr>
        <w:t>31.50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追加21.56万元，</w:t>
      </w:r>
      <w:r>
        <w:rPr>
          <w:rFonts w:ascii="Times New Roman" w:hAnsi="Times New Roman" w:eastAsia="仿宋_GB2312" w:cs="Times New Roman"/>
          <w:sz w:val="32"/>
          <w:szCs w:val="32"/>
        </w:rPr>
        <w:t>实际支出</w:t>
      </w:r>
      <w:r>
        <w:rPr>
          <w:rFonts w:hint="eastAsia" w:ascii="Times New Roman" w:hAnsi="Times New Roman" w:eastAsia="仿宋_GB2312" w:cs="Times New Roman"/>
          <w:sz w:val="32"/>
          <w:szCs w:val="32"/>
        </w:rPr>
        <w:t>33.68</w:t>
      </w:r>
      <w:r>
        <w:rPr>
          <w:rFonts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rPr>
        <w:t>19.38</w:t>
      </w:r>
      <w:r>
        <w:rPr>
          <w:rFonts w:ascii="Times New Roman" w:hAnsi="Times New Roman" w:eastAsia="仿宋_GB2312" w:cs="Times New Roman"/>
          <w:sz w:val="32"/>
          <w:szCs w:val="32"/>
        </w:rPr>
        <w:t>万元。项目实施及绩效情况如下：</w:t>
      </w:r>
    </w:p>
    <w:p w14:paraId="39114E4C">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业务性专项经费</w:t>
      </w:r>
      <w:r>
        <w:rPr>
          <w:rFonts w:ascii="Times New Roman" w:hAnsi="Times New Roman" w:eastAsia="仿宋_GB2312" w:cs="Times New Roman"/>
          <w:sz w:val="32"/>
          <w:szCs w:val="32"/>
        </w:rPr>
        <w:t>项目</w:t>
      </w:r>
    </w:p>
    <w:p w14:paraId="41BC2867">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33.68</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rPr>
        <w:t>按《政协章程》要求召开好政协全会，协商讨论“一府两院”、财政、计划报告，补选区政协常委会相关组成人员；审议通过全会报告；指导各界别委员做好年度工作计划。</w:t>
      </w:r>
    </w:p>
    <w:p w14:paraId="56039F4B">
      <w:pPr>
        <w:tabs>
          <w:tab w:val="left" w:pos="7560"/>
        </w:tabs>
        <w:adjustRightInd w:val="0"/>
        <w:snapToGrid w:val="0"/>
        <w:spacing w:line="54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四、绩效管理存在的问题及下一步改进措施</w:t>
      </w:r>
    </w:p>
    <w:p w14:paraId="357CB16A">
      <w:pPr>
        <w:spacing w:line="570" w:lineRule="exact"/>
        <w:ind w:firstLine="640" w:firstLineChars="200"/>
        <w:rPr>
          <w:rFonts w:eastAsia="仿宋_GB2312"/>
          <w:sz w:val="32"/>
          <w:szCs w:val="32"/>
        </w:rPr>
      </w:pPr>
      <w:r>
        <w:rPr>
          <w:rFonts w:hint="eastAsia" w:eastAsia="仿宋_GB2312" w:cs="仿宋_GB2312"/>
          <w:sz w:val="32"/>
          <w:szCs w:val="32"/>
        </w:rPr>
        <w:t>通过前述对我政协各委办整体支出情况的分析，反映出目前在整体支出的预算编制、执行和管理过程中，依然存在一些问题和不足：</w:t>
      </w:r>
    </w:p>
    <w:p w14:paraId="15B92D28">
      <w:pPr>
        <w:spacing w:line="570" w:lineRule="exact"/>
        <w:ind w:firstLine="640" w:firstLineChars="200"/>
        <w:rPr>
          <w:rFonts w:eastAsia="仿宋_GB2312"/>
          <w:kern w:val="0"/>
          <w:sz w:val="32"/>
          <w:szCs w:val="32"/>
        </w:rPr>
      </w:pPr>
      <w:r>
        <w:rPr>
          <w:rFonts w:eastAsia="仿宋_GB2312"/>
          <w:kern w:val="0"/>
          <w:sz w:val="32"/>
          <w:szCs w:val="32"/>
        </w:rPr>
        <w:t>1</w:t>
      </w:r>
      <w:r>
        <w:rPr>
          <w:rFonts w:hint="eastAsia" w:eastAsia="仿宋_GB2312" w:cs="仿宋_GB2312"/>
          <w:kern w:val="0"/>
          <w:sz w:val="32"/>
          <w:szCs w:val="32"/>
        </w:rPr>
        <w:t>．预算完成率有待提高。由于部分项目、结余指标下达时间晚，未能及时拨付使用；有关项目工作开展时间较晚，结算支出时间滞后；导致预算完成率略低，有待进一步提高。</w:t>
      </w:r>
    </w:p>
    <w:p w14:paraId="223B7E6A">
      <w:pPr>
        <w:spacing w:line="570" w:lineRule="exact"/>
        <w:ind w:firstLine="640" w:firstLineChars="200"/>
        <w:rPr>
          <w:rFonts w:eastAsia="仿宋_GB2312"/>
          <w:kern w:val="0"/>
          <w:sz w:val="32"/>
          <w:szCs w:val="32"/>
        </w:rPr>
      </w:pPr>
      <w:r>
        <w:rPr>
          <w:rFonts w:eastAsia="仿宋_GB2312"/>
          <w:kern w:val="0"/>
          <w:sz w:val="32"/>
          <w:szCs w:val="32"/>
        </w:rPr>
        <w:t>2</w:t>
      </w:r>
      <w:r>
        <w:rPr>
          <w:rFonts w:hint="eastAsia" w:eastAsia="仿宋_GB2312" w:cs="仿宋_GB2312"/>
          <w:kern w:val="0"/>
          <w:sz w:val="32"/>
          <w:szCs w:val="32"/>
        </w:rPr>
        <w:t>．预算控制率有待降低。除政策性因素以外，由于部分临时、紧急或突发的工作任务导致年中追加预算。</w:t>
      </w:r>
    </w:p>
    <w:p w14:paraId="006D5E49">
      <w:pPr>
        <w:tabs>
          <w:tab w:val="left" w:pos="7560"/>
        </w:tabs>
        <w:adjustRightInd w:val="0"/>
        <w:snapToGrid w:val="0"/>
        <w:spacing w:line="540" w:lineRule="exact"/>
        <w:ind w:firstLine="640" w:firstLineChars="200"/>
        <w:jc w:val="left"/>
        <w:rPr>
          <w:rFonts w:ascii="黑体" w:hAnsi="黑体" w:eastAsia="黑体"/>
          <w:sz w:val="32"/>
          <w:szCs w:val="32"/>
        </w:rPr>
      </w:pPr>
      <w:r>
        <w:rPr>
          <w:rFonts w:hint="eastAsia" w:ascii="黑体" w:hAnsi="黑体" w:eastAsia="黑体"/>
          <w:sz w:val="32"/>
          <w:szCs w:val="32"/>
        </w:rPr>
        <w:t>五、其他需要说明的情况</w:t>
      </w:r>
    </w:p>
    <w:p w14:paraId="0F237738">
      <w:pPr>
        <w:tabs>
          <w:tab w:val="left" w:pos="7560"/>
        </w:tabs>
        <w:adjustRightInd w:val="0"/>
        <w:snapToGrid w:val="0"/>
        <w:spacing w:line="540" w:lineRule="exact"/>
        <w:ind w:firstLine="640" w:firstLineChars="200"/>
        <w:jc w:val="left"/>
      </w:pPr>
      <w:r>
        <w:rPr>
          <w:rFonts w:hint="eastAsia" w:ascii="仿宋_GB2312" w:eastAsia="仿宋_GB2312"/>
          <w:sz w:val="32"/>
          <w:szCs w:val="32"/>
        </w:rPr>
        <w:t>无其他需要说明的情况。</w:t>
      </w:r>
    </w:p>
    <w:sectPr>
      <w:footerReference r:id="rId4" w:type="default"/>
      <w:pgSz w:w="11906" w:h="16838"/>
      <w:pgMar w:top="1531" w:right="1531" w:bottom="153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0A8E">
    <w:pPr>
      <w:pStyle w:val="5"/>
      <w:ind w:right="360" w:firstLine="360"/>
      <w:rPr>
        <w:rFonts w:cs="Times New Roman"/>
      </w:rPr>
    </w:pPr>
    <w:r>
      <w:pict>
        <v:shape id="文本框 102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ZWcsBAACc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7Is&#10;VmV2qAtQYeNjwNbUf/B97p7ygMksvFfR5jdKIlhHf08Xf2WfiMgflauyLLAksDYfEIc9fR4ipI/S&#10;W5KDmka8wMFXfryHNLbOLXma83faGMzzyrh/EoiZMyxzHznmKPW7fiK+880J9XR49zV1uOqUmE8O&#10;rc1rMgdxDnZzcAhR71ukthx4Qbg9JCQxcMsTRthpMF7aoG5asLwVz89D19N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k62VnLAQAAnAMAAA4AAAAAAAAAAQAgAAAAHgEAAGRycy9lMm9E&#10;b2MueG1sUEsFBgAAAAAGAAYAWQEAAFsFAAAAAA==&#10;">
          <v:path/>
          <v:fill on="f" focussize="0,0"/>
          <v:stroke on="f" joinstyle="miter"/>
          <v:imagedata o:title=""/>
          <o:lock v:ext="edit"/>
          <v:textbox inset="0mm,0mm,0mm,0mm" style="mso-fit-shape-to-text:t;">
            <w:txbxContent>
              <w:p w14:paraId="3DAA102A">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C9C6">
    <w:pPr>
      <w:pStyle w:val="5"/>
      <w:ind w:right="360" w:firstLine="360"/>
      <w:rPr>
        <w:rFonts w:cs="Times New Roman"/>
      </w:rPr>
    </w:pPr>
    <w:r>
      <w:pict>
        <v:shape id="文本框 1027" o:spid="_x0000_s3073"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V4aQ8sBAACc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FeGkPLAQAAnAMAAA4AAAAAAAAAAQAgAAAAHgEAAGRycy9lMm9E&#10;b2MueG1sUEsFBgAAAAAGAAYAWQEAAFsFAAAAAA==&#10;">
          <v:path/>
          <v:fill on="f" focussize="0,0"/>
          <v:stroke on="f" joinstyle="miter"/>
          <v:imagedata o:title=""/>
          <o:lock v:ext="edit"/>
          <v:textbox inset="0mm,0mm,0mm,0mm" style="mso-fit-shape-to-text:t;">
            <w:txbxContent>
              <w:p w14:paraId="37A0C32D">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MwNjFlYzQ2YjlhNWJkYTAzNzUyYzZkMTQzM2M4M2IifQ=="/>
  </w:docVars>
  <w:rsids>
    <w:rsidRoot w:val="008E6491"/>
    <w:rsid w:val="000248EA"/>
    <w:rsid w:val="000A3A1B"/>
    <w:rsid w:val="000B191F"/>
    <w:rsid w:val="000E17EC"/>
    <w:rsid w:val="00124F21"/>
    <w:rsid w:val="00220AC5"/>
    <w:rsid w:val="002476BD"/>
    <w:rsid w:val="002650BA"/>
    <w:rsid w:val="002C1873"/>
    <w:rsid w:val="002C2128"/>
    <w:rsid w:val="002C305D"/>
    <w:rsid w:val="002F4169"/>
    <w:rsid w:val="00304E26"/>
    <w:rsid w:val="003055F8"/>
    <w:rsid w:val="0031281F"/>
    <w:rsid w:val="00341D1C"/>
    <w:rsid w:val="00380CD5"/>
    <w:rsid w:val="003C549F"/>
    <w:rsid w:val="003D5E68"/>
    <w:rsid w:val="003F01CC"/>
    <w:rsid w:val="0043193B"/>
    <w:rsid w:val="00433B4B"/>
    <w:rsid w:val="004E64C2"/>
    <w:rsid w:val="005A6F70"/>
    <w:rsid w:val="00634606"/>
    <w:rsid w:val="00634CB8"/>
    <w:rsid w:val="00694C32"/>
    <w:rsid w:val="006B1B13"/>
    <w:rsid w:val="00753562"/>
    <w:rsid w:val="00780303"/>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352B9"/>
    <w:rsid w:val="00BC5463"/>
    <w:rsid w:val="00C02A97"/>
    <w:rsid w:val="00C05631"/>
    <w:rsid w:val="00C52AFF"/>
    <w:rsid w:val="00C87654"/>
    <w:rsid w:val="00CC3803"/>
    <w:rsid w:val="00D41057"/>
    <w:rsid w:val="00D942F4"/>
    <w:rsid w:val="00D96B47"/>
    <w:rsid w:val="00DE300B"/>
    <w:rsid w:val="00E07250"/>
    <w:rsid w:val="00E61034"/>
    <w:rsid w:val="00E83891"/>
    <w:rsid w:val="00EC433B"/>
    <w:rsid w:val="00ED34BC"/>
    <w:rsid w:val="00EF3CBB"/>
    <w:rsid w:val="00F618A5"/>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066356"/>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F96452E"/>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3E479E"/>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9E11EA"/>
    <w:rsid w:val="379E1472"/>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872650"/>
    <w:rsid w:val="51D1739A"/>
    <w:rsid w:val="527D12F0"/>
    <w:rsid w:val="52D761D0"/>
    <w:rsid w:val="537222B5"/>
    <w:rsid w:val="539E2A68"/>
    <w:rsid w:val="53FBB549"/>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9E279F1"/>
    <w:rsid w:val="5A0F1FE2"/>
    <w:rsid w:val="5ACE500F"/>
    <w:rsid w:val="5B777609"/>
    <w:rsid w:val="5B8135BF"/>
    <w:rsid w:val="5B952750"/>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D2829"/>
    <w:rsid w:val="633E4244"/>
    <w:rsid w:val="63785F66"/>
    <w:rsid w:val="63903F3A"/>
    <w:rsid w:val="64802980"/>
    <w:rsid w:val="64F03848"/>
    <w:rsid w:val="66BD30AA"/>
    <w:rsid w:val="677A293B"/>
    <w:rsid w:val="67A443BD"/>
    <w:rsid w:val="68CB1083"/>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style>
  <w:style w:type="paragraph" w:styleId="3">
    <w:name w:val="Body Text"/>
    <w:basedOn w:val="1"/>
    <w:qFormat/>
    <w:uiPriority w:val="0"/>
    <w:rPr>
      <w:rFonts w:ascii="Times New Roman" w:hAnsi="Times New Roman" w:cs="Times New Roman"/>
    </w:rPr>
  </w:style>
  <w:style w:type="paragraph" w:styleId="4">
    <w:name w:val="Date"/>
    <w:basedOn w:val="1"/>
    <w:next w:val="1"/>
    <w:link w:val="12"/>
    <w:semiHidden/>
    <w:qFormat/>
    <w:uiPriority w:val="99"/>
    <w:pPr>
      <w:ind w:left="100" w:leftChars="2500"/>
    </w:p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character" w:customStyle="1" w:styleId="10">
    <w:name w:val="页眉 Char"/>
    <w:basedOn w:val="8"/>
    <w:link w:val="6"/>
    <w:semiHidden/>
    <w:qFormat/>
    <w:locked/>
    <w:uiPriority w:val="99"/>
    <w:rPr>
      <w:sz w:val="18"/>
      <w:szCs w:val="18"/>
    </w:rPr>
  </w:style>
  <w:style w:type="character" w:customStyle="1" w:styleId="11">
    <w:name w:val="页脚 Char"/>
    <w:basedOn w:val="8"/>
    <w:link w:val="5"/>
    <w:qFormat/>
    <w:locked/>
    <w:uiPriority w:val="99"/>
    <w:rPr>
      <w:sz w:val="18"/>
      <w:szCs w:val="18"/>
    </w:rPr>
  </w:style>
  <w:style w:type="character" w:customStyle="1" w:styleId="12">
    <w:name w:val="日期 Char"/>
    <w:basedOn w:val="8"/>
    <w:link w:val="4"/>
    <w:semiHidden/>
    <w:qFormat/>
    <w:locked/>
    <w:uiPriority w:val="99"/>
  </w:style>
  <w:style w:type="character" w:customStyle="1" w:styleId="13">
    <w:name w:val="font41"/>
    <w:basedOn w:val="8"/>
    <w:qFormat/>
    <w:uiPriority w:val="99"/>
    <w:rPr>
      <w:rFonts w:ascii="宋体" w:hAnsi="宋体" w:eastAsia="宋体" w:cs="宋体"/>
      <w:b/>
      <w:bCs/>
      <w:color w:val="000000"/>
      <w:sz w:val="44"/>
      <w:szCs w:val="44"/>
      <w:u w:val="none"/>
    </w:rPr>
  </w:style>
  <w:style w:type="character" w:customStyle="1" w:styleId="14">
    <w:name w:val="font11"/>
    <w:basedOn w:val="8"/>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2519</Words>
  <Characters>2624</Characters>
  <Lines>19</Lines>
  <Paragraphs>5</Paragraphs>
  <TotalTime>2</TotalTime>
  <ScaleCrop>false</ScaleCrop>
  <LinksUpToDate>false</LinksUpToDate>
  <CharactersWithSpaces>2624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2019-01-15T11:17:00Z</dcterms:created>
  <dc:creator>Windows 用户</dc:creator>
  <cp:lastModifiedBy>Administrator</cp:lastModifiedBy>
  <cp:lastPrinted>2023-08-28T15:21:00Z</cp:lastPrinted>
  <dcterms:modified xsi:type="dcterms:W3CDTF">2024-07-08T03:05:07Z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22B51B3C1AC4480FAE93E063104EED06_13</vt:lpwstr>
  </property>
</Properties>
</file>