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3A8C2">
      <w:pPr>
        <w:tabs>
          <w:tab w:val="left" w:pos="7560"/>
        </w:tabs>
        <w:adjustRightInd w:val="0"/>
        <w:snapToGrid w:val="0"/>
        <w:spacing w:line="560" w:lineRule="exact"/>
        <w:jc w:val="left"/>
        <w:rPr>
          <w:rFonts w:hint="eastAsia" w:ascii="Times New Roman" w:hAnsi="Times New Roman" w:eastAsia="黑体" w:cs="Times New Roman"/>
          <w:sz w:val="32"/>
          <w:szCs w:val="32"/>
        </w:rPr>
      </w:pPr>
      <w:bookmarkStart w:id="0" w:name="_GoBack"/>
      <w:bookmarkEnd w:id="0"/>
      <w:r>
        <w:rPr>
          <w:rFonts w:hint="eastAsia" w:ascii="Times New Roman" w:hAnsi="Times New Roman" w:eastAsia="黑体" w:cs="Times New Roman"/>
          <w:sz w:val="32"/>
          <w:szCs w:val="32"/>
        </w:rPr>
        <w:t>附件1</w:t>
      </w:r>
    </w:p>
    <w:p w14:paraId="0ACCC3E5">
      <w:pPr>
        <w:tabs>
          <w:tab w:val="left" w:pos="7560"/>
        </w:tabs>
        <w:adjustRightInd w:val="0"/>
        <w:snapToGrid w:val="0"/>
        <w:spacing w:line="560" w:lineRule="exact"/>
        <w:jc w:val="left"/>
        <w:rPr>
          <w:rFonts w:ascii="Times New Roman" w:hAnsi="Times New Roman" w:eastAsia="黑体" w:cs="Times New Roman"/>
          <w:sz w:val="32"/>
          <w:szCs w:val="32"/>
        </w:rPr>
      </w:pPr>
    </w:p>
    <w:p w14:paraId="4F30A3C5">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2023年度部门（单位）整体支出</w:t>
      </w:r>
    </w:p>
    <w:p w14:paraId="205E0C64">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14:paraId="6B55F976">
      <w:pPr>
        <w:spacing w:line="600" w:lineRule="exact"/>
        <w:ind w:firstLine="3520" w:firstLineChars="1100"/>
        <w:jc w:val="left"/>
        <w:rPr>
          <w:rFonts w:ascii="Times New Roman" w:hAnsi="Times New Roman" w:eastAsia="仿宋_GB2312" w:cs="Times New Roman"/>
          <w:sz w:val="32"/>
          <w:szCs w:val="32"/>
        </w:rPr>
      </w:pPr>
    </w:p>
    <w:p w14:paraId="60F93454">
      <w:pPr>
        <w:jc w:val="center"/>
        <w:rPr>
          <w:rFonts w:ascii="Times New Roman" w:hAnsi="Times New Roman" w:eastAsia="楷体_GB2312" w:cs="Times New Roman"/>
          <w:b/>
          <w:sz w:val="32"/>
          <w:szCs w:val="32"/>
        </w:rPr>
      </w:pPr>
    </w:p>
    <w:p w14:paraId="5CF3AC6B">
      <w:pPr>
        <w:jc w:val="center"/>
        <w:rPr>
          <w:rFonts w:ascii="Times New Roman" w:hAnsi="Times New Roman" w:eastAsia="楷体_GB2312" w:cs="Times New Roman"/>
          <w:b/>
          <w:sz w:val="32"/>
          <w:szCs w:val="32"/>
        </w:rPr>
      </w:pPr>
    </w:p>
    <w:p w14:paraId="17990EAB">
      <w:pPr>
        <w:jc w:val="center"/>
        <w:rPr>
          <w:rFonts w:ascii="Times New Roman" w:hAnsi="Times New Roman" w:eastAsia="楷体_GB2312" w:cs="Times New Roman"/>
          <w:b/>
          <w:sz w:val="32"/>
          <w:szCs w:val="32"/>
        </w:rPr>
      </w:pPr>
    </w:p>
    <w:p w14:paraId="3D63DD52">
      <w:pPr>
        <w:jc w:val="center"/>
        <w:rPr>
          <w:rFonts w:ascii="Times New Roman" w:hAnsi="Times New Roman" w:eastAsia="楷体_GB2312" w:cs="Times New Roman"/>
          <w:b/>
          <w:sz w:val="32"/>
          <w:szCs w:val="32"/>
        </w:rPr>
      </w:pPr>
    </w:p>
    <w:p w14:paraId="694B13FC">
      <w:pPr>
        <w:jc w:val="center"/>
        <w:rPr>
          <w:rFonts w:ascii="Times New Roman" w:hAnsi="Times New Roman" w:eastAsia="楷体_GB2312" w:cs="Times New Roman"/>
          <w:b/>
          <w:sz w:val="32"/>
          <w:szCs w:val="32"/>
        </w:rPr>
      </w:pPr>
    </w:p>
    <w:p w14:paraId="108CFC6D">
      <w:pPr>
        <w:jc w:val="center"/>
        <w:rPr>
          <w:rFonts w:ascii="Times New Roman" w:hAnsi="Times New Roman" w:eastAsia="楷体_GB2312" w:cs="Times New Roman"/>
          <w:b/>
          <w:sz w:val="32"/>
          <w:szCs w:val="32"/>
        </w:rPr>
      </w:pPr>
    </w:p>
    <w:p w14:paraId="202EFD0B">
      <w:pPr>
        <w:jc w:val="center"/>
        <w:rPr>
          <w:rFonts w:ascii="Times New Roman" w:hAnsi="Times New Roman" w:eastAsia="黑体" w:cs="Times New Roman"/>
          <w:sz w:val="32"/>
          <w:szCs w:val="32"/>
        </w:rPr>
      </w:pPr>
    </w:p>
    <w:p w14:paraId="4F59BD94">
      <w:pPr>
        <w:jc w:val="center"/>
        <w:rPr>
          <w:rFonts w:ascii="Times New Roman" w:hAnsi="Times New Roman" w:eastAsia="黑体" w:cs="Times New Roman"/>
          <w:sz w:val="32"/>
          <w:szCs w:val="32"/>
        </w:rPr>
      </w:pPr>
    </w:p>
    <w:p w14:paraId="277CAFF7">
      <w:pPr>
        <w:jc w:val="center"/>
        <w:rPr>
          <w:rFonts w:ascii="Times New Roman" w:hAnsi="Times New Roman" w:eastAsia="黑体" w:cs="Times New Roman"/>
          <w:sz w:val="32"/>
          <w:szCs w:val="32"/>
        </w:rPr>
      </w:pPr>
    </w:p>
    <w:p w14:paraId="761EB98B">
      <w:pPr>
        <w:jc w:val="center"/>
        <w:rPr>
          <w:rFonts w:ascii="Times New Roman" w:hAnsi="Times New Roman" w:eastAsia="黑体" w:cs="Times New Roman"/>
          <w:sz w:val="32"/>
          <w:szCs w:val="32"/>
        </w:rPr>
      </w:pPr>
    </w:p>
    <w:p w14:paraId="67ECD5E3">
      <w:pPr>
        <w:jc w:val="center"/>
        <w:rPr>
          <w:rFonts w:ascii="Times New Roman" w:hAnsi="Times New Roman" w:eastAsia="黑体" w:cs="Times New Roman"/>
          <w:sz w:val="32"/>
          <w:szCs w:val="32"/>
        </w:rPr>
      </w:pPr>
    </w:p>
    <w:p w14:paraId="64292AC1">
      <w:pPr>
        <w:jc w:val="center"/>
        <w:rPr>
          <w:rFonts w:ascii="Times New Roman" w:hAnsi="Times New Roman" w:eastAsia="黑体" w:cs="Times New Roman"/>
          <w:sz w:val="32"/>
          <w:szCs w:val="32"/>
        </w:rPr>
      </w:pPr>
    </w:p>
    <w:p w14:paraId="0CEBC5D0">
      <w:pPr>
        <w:jc w:val="center"/>
        <w:rPr>
          <w:rFonts w:ascii="Times New Roman" w:hAnsi="Times New Roman" w:eastAsia="黑体" w:cs="Times New Roman"/>
          <w:sz w:val="32"/>
          <w:szCs w:val="32"/>
        </w:rPr>
      </w:pPr>
    </w:p>
    <w:p w14:paraId="3FB1E666">
      <w:pPr>
        <w:jc w:val="center"/>
        <w:rPr>
          <w:rFonts w:ascii="Times New Roman" w:hAnsi="Times New Roman" w:eastAsia="黑体" w:cs="Times New Roman"/>
          <w:sz w:val="32"/>
          <w:szCs w:val="32"/>
        </w:rPr>
      </w:pPr>
    </w:p>
    <w:p w14:paraId="08B92737">
      <w:pPr>
        <w:jc w:val="center"/>
        <w:rPr>
          <w:rFonts w:ascii="Times New Roman" w:hAnsi="Times New Roman" w:eastAsia="黑体" w:cs="Times New Roman"/>
          <w:sz w:val="32"/>
          <w:szCs w:val="32"/>
        </w:rPr>
      </w:pPr>
    </w:p>
    <w:p w14:paraId="64A5305A">
      <w:pPr>
        <w:jc w:val="center"/>
        <w:rPr>
          <w:rFonts w:ascii="Times New Roman" w:hAnsi="Times New Roman" w:eastAsia="黑体" w:cs="Times New Roman"/>
          <w:sz w:val="32"/>
          <w:szCs w:val="32"/>
        </w:rPr>
      </w:pPr>
    </w:p>
    <w:p w14:paraId="4F2009A9">
      <w:pPr>
        <w:spacing w:line="600" w:lineRule="exact"/>
        <w:ind w:firstLine="0" w:firstLineChars="0"/>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rPr>
        <w:t>株洲市芦淞区龙泉街道办事处（盖章）</w:t>
      </w:r>
    </w:p>
    <w:p w14:paraId="13811FA6">
      <w:pPr>
        <w:spacing w:line="600" w:lineRule="exact"/>
        <w:jc w:val="center"/>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年  月  日</w:t>
      </w:r>
    </w:p>
    <w:p w14:paraId="7E6077F3">
      <w:pPr>
        <w:jc w:val="center"/>
        <w:rPr>
          <w:rFonts w:hint="eastAsia" w:ascii="Times New Roman" w:hAnsi="Times New Roman" w:eastAsia="仿宋_GB2312" w:cs="Times New Roman"/>
          <w:sz w:val="32"/>
          <w:szCs w:val="32"/>
        </w:rPr>
      </w:pPr>
    </w:p>
    <w:p w14:paraId="458C7662">
      <w:pPr>
        <w:ind w:firstLine="2880" w:firstLineChars="900"/>
        <w:rPr>
          <w:rFonts w:hint="eastAsia" w:ascii="Times New Roman" w:hAnsi="Times New Roman" w:eastAsia="仿宋_GB2312" w:cs="Times New Roman"/>
          <w:sz w:val="32"/>
          <w:szCs w:val="32"/>
        </w:rPr>
      </w:pPr>
    </w:p>
    <w:p w14:paraId="6E497048">
      <w:pPr>
        <w:ind w:firstLine="2880" w:firstLineChars="900"/>
        <w:rPr>
          <w:rFonts w:hint="eastAsia" w:ascii="Times New Roman" w:hAnsi="Times New Roman" w:eastAsia="仿宋_GB2312" w:cs="Times New Roman"/>
          <w:sz w:val="32"/>
          <w:szCs w:val="32"/>
        </w:rPr>
      </w:pPr>
    </w:p>
    <w:p w14:paraId="0277036E">
      <w:pPr>
        <w:ind w:firstLine="2880" w:firstLineChars="900"/>
        <w:rPr>
          <w:rFonts w:hint="eastAsia" w:ascii="Times New Roman" w:hAnsi="Times New Roman" w:eastAsia="仿宋_GB2312" w:cs="Times New Roman"/>
          <w:sz w:val="32"/>
          <w:szCs w:val="32"/>
        </w:rPr>
      </w:pPr>
    </w:p>
    <w:p w14:paraId="63BD3280">
      <w:pPr>
        <w:ind w:firstLine="2880" w:firstLineChars="900"/>
        <w:rPr>
          <w:rFonts w:hint="eastAsia" w:ascii="Times New Roman" w:hAnsi="Times New Roman" w:eastAsia="仿宋_GB2312" w:cs="Times New Roman"/>
          <w:sz w:val="32"/>
          <w:szCs w:val="32"/>
        </w:rPr>
      </w:pPr>
    </w:p>
    <w:p w14:paraId="27D79847">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br w:type="page"/>
      </w:r>
      <w:r>
        <w:rPr>
          <w:rFonts w:hint="eastAsia" w:ascii="Times New Roman" w:hAnsi="Times New Roman" w:eastAsia="方正小标宋简体" w:cs="Times New Roman"/>
          <w:sz w:val="40"/>
          <w:szCs w:val="32"/>
        </w:rPr>
        <w:t>2023年度</w:t>
      </w:r>
      <w:r>
        <w:rPr>
          <w:rFonts w:hint="eastAsia" w:ascii="Times New Roman" w:hAnsi="Times New Roman" w:eastAsia="方正小标宋简体" w:cs="Times New Roman"/>
          <w:sz w:val="40"/>
          <w:szCs w:val="32"/>
          <w:lang w:eastAsia="zh-CN"/>
        </w:rPr>
        <w:t>株洲市芦淞区</w:t>
      </w:r>
      <w:r>
        <w:rPr>
          <w:rFonts w:hint="eastAsia" w:ascii="Times New Roman" w:hAnsi="Times New Roman" w:eastAsia="方正小标宋简体" w:cs="Times New Roman"/>
          <w:sz w:val="40"/>
          <w:szCs w:val="32"/>
          <w:lang w:val="en-US" w:eastAsia="zh-CN"/>
        </w:rPr>
        <w:t>龙泉街道办事处</w:t>
      </w:r>
      <w:r>
        <w:rPr>
          <w:rFonts w:hint="eastAsia" w:ascii="Times New Roman" w:hAnsi="Times New Roman" w:eastAsia="方正小标宋简体" w:cs="Times New Roman"/>
          <w:sz w:val="40"/>
          <w:szCs w:val="32"/>
        </w:rPr>
        <w:t>整体支出</w:t>
      </w:r>
    </w:p>
    <w:p w14:paraId="4E77168F">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绩效自评报告</w:t>
      </w:r>
    </w:p>
    <w:p w14:paraId="29FBD390">
      <w:pPr>
        <w:jc w:val="left"/>
        <w:rPr>
          <w:rFonts w:ascii="Times New Roman" w:hAnsi="Times New Roman" w:eastAsia="仿宋_GB2312" w:cs="Times New Roman"/>
          <w:sz w:val="32"/>
          <w:szCs w:val="32"/>
        </w:rPr>
      </w:pPr>
    </w:p>
    <w:p w14:paraId="45B8B52A">
      <w:pPr>
        <w:jc w:val="left"/>
        <w:rPr>
          <w:rFonts w:ascii="Times New Roman" w:hAnsi="Times New Roman" w:eastAsia="仿宋_GB2312" w:cs="Times New Roman"/>
          <w:sz w:val="32"/>
          <w:szCs w:val="32"/>
        </w:rPr>
      </w:pPr>
    </w:p>
    <w:p w14:paraId="067D65F7">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一、部门（单位）基本情况</w:t>
      </w:r>
    </w:p>
    <w:p w14:paraId="400F6E7A">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主要职能</w:t>
      </w:r>
      <w:r>
        <w:rPr>
          <w:rFonts w:hint="eastAsia" w:ascii="Times New Roman" w:hAnsi="Times New Roman" w:eastAsia="仿宋_GB2312" w:cs="Times New Roman"/>
          <w:kern w:val="2"/>
          <w:sz w:val="32"/>
          <w:szCs w:val="32"/>
          <w:lang w:val="en-US" w:eastAsia="zh-CN" w:bidi="ar-SA"/>
        </w:rPr>
        <w:t>。</w:t>
      </w:r>
    </w:p>
    <w:p w14:paraId="783F020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1.加强党的建设。落实基层党建工作责任制，加强基层服务型党组织建设，深入推进“区域化”党建，全面推行街道“大工委”制，增强基层党组织的政治属性和服务功能。</w:t>
      </w:r>
    </w:p>
    <w:p w14:paraId="54C568F0">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服务经济发展。统筹落实社区发展的重大决策和社区建设规划，参与辖区公共服务设施建设规划，推动辖区健康、有序、可持续发展。优化发展环境，为辖区企业提供良好的服务，统筹做好采集企业信息、促进项目发展、服务驻区企业、优化投资环境等工作。</w:t>
      </w:r>
    </w:p>
    <w:p w14:paraId="7A8E69A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3.组织公共服务。组织实施与居民生活密切相关的公共服务，落实劳动就业、社会保障、法律援助、基本医疗卫生、文化教育、环境保护等公共服务方面的相关政策。</w:t>
      </w:r>
    </w:p>
    <w:p w14:paraId="0A149A6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4.实施公共管理。科学设置管理网络，对辖区内城市管理、人口管理、社会管理、民生保障等区域性、综合性工作，承担组织领导、综合协调和监督检查职责。</w:t>
      </w:r>
    </w:p>
    <w:p w14:paraId="34A09EFF">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5.监督行政执法。对辖区内各类行政执法工作进行统筹协调，组织开展群众监督和社会监督。</w:t>
      </w:r>
    </w:p>
    <w:p w14:paraId="6CA03D3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6.动员社会参与。动员和支持各类驻辖区单位、社区居民、社会组织及志愿者等社区力量参与社区治理，引导驻辖区单位履行社会责任，整合区域内各种社会力量为社区发展服务。</w:t>
      </w:r>
    </w:p>
    <w:p w14:paraId="4409EDC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7.指导基层自治。指导村（居）民委员会建设，健全自治功能，组织社区居民、村民和辖区单位参与城乡社区建设和治理</w:t>
      </w:r>
    </w:p>
    <w:p w14:paraId="2B1B492D">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8.维护公共安全。承担辖区社会治安综合管理有关工作，处理群众来信来访，反映社情民意，化解矛盾纠纷等。</w:t>
      </w:r>
    </w:p>
    <w:p w14:paraId="1B3706B6">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9.做好国防动员。开展国防教育，抓好征兵工作，组织民兵训练。</w:t>
      </w:r>
    </w:p>
    <w:p w14:paraId="0DF0F298">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10.完成区委、区政府交办的其他工作任务。加强党的建设，落实基层党建工作责任制，加强党对基层治理的全面领导,统筹抓好基层党建工作和基层党组织建设各项制度，增强基层党组织的政治功能和组织功能；服务经济发展、组织公共服务、实施公共管理、组织基层执法、维护公共安全、做好国防动员。开展国防教育，抓好征兵工作，组织民兵训练。</w:t>
      </w:r>
    </w:p>
    <w:p w14:paraId="015AFFD2">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机构设置</w:t>
      </w:r>
    </w:p>
    <w:p w14:paraId="70C22D05">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党政办公室、党建办公室、城市管理办公室（农业农村工作办公室）、公共服务办公室、公共安全办公室、生态环境办公室。</w:t>
      </w:r>
    </w:p>
    <w:p w14:paraId="4CED3575">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（三）人员情况</w:t>
      </w:r>
    </w:p>
    <w:p w14:paraId="31E7FCAA">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2023年本单位年末实有人数37人。（其中：</w:t>
      </w:r>
      <w:r>
        <w:rPr>
          <w:rFonts w:hint="eastAsia" w:ascii="Times New Roman" w:hAnsi="Times New Roman" w:eastAsia="仿宋_GB2312" w:cs="Times New Roman"/>
          <w:kern w:val="2"/>
          <w:sz w:val="32"/>
          <w:szCs w:val="32"/>
          <w:lang w:val="zh-CN" w:eastAsia="zh-CN" w:bidi="ar-SA"/>
        </w:rPr>
        <w:t>行政编制</w:t>
      </w:r>
      <w:r>
        <w:rPr>
          <w:rFonts w:hint="eastAsia" w:ascii="Times New Roman" w:hAnsi="Times New Roman" w:eastAsia="仿宋_GB2312" w:cs="Times New Roman"/>
          <w:kern w:val="2"/>
          <w:sz w:val="32"/>
          <w:szCs w:val="32"/>
          <w:lang w:val="en-US" w:eastAsia="zh-CN" w:bidi="ar-SA"/>
        </w:rPr>
        <w:t>19</w:t>
      </w:r>
      <w:r>
        <w:rPr>
          <w:rFonts w:hint="eastAsia" w:ascii="Times New Roman" w:hAnsi="Times New Roman" w:eastAsia="仿宋_GB2312" w:cs="Times New Roman"/>
          <w:kern w:val="2"/>
          <w:sz w:val="32"/>
          <w:szCs w:val="32"/>
          <w:lang w:val="zh-CN" w:eastAsia="zh-CN" w:bidi="ar-SA"/>
        </w:rPr>
        <w:t>人，事业编制</w:t>
      </w:r>
      <w:r>
        <w:rPr>
          <w:rFonts w:hint="eastAsia" w:ascii="Times New Roman" w:hAnsi="Times New Roman" w:eastAsia="仿宋_GB2312" w:cs="Times New Roman"/>
          <w:kern w:val="2"/>
          <w:sz w:val="32"/>
          <w:szCs w:val="32"/>
          <w:lang w:val="en-US" w:eastAsia="zh-CN" w:bidi="ar-SA"/>
        </w:rPr>
        <w:t>18</w:t>
      </w:r>
      <w:r>
        <w:rPr>
          <w:rFonts w:hint="eastAsia" w:ascii="Times New Roman" w:hAnsi="Times New Roman" w:eastAsia="仿宋_GB2312" w:cs="Times New Roman"/>
          <w:kern w:val="2"/>
          <w:sz w:val="32"/>
          <w:szCs w:val="32"/>
          <w:lang w:val="zh-CN" w:eastAsia="zh-CN" w:bidi="ar-SA"/>
        </w:rPr>
        <w:t>人）</w:t>
      </w:r>
    </w:p>
    <w:p w14:paraId="2C896D76">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14:paraId="741AD252">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（一）基本支出情况</w:t>
      </w:r>
    </w:p>
    <w:p w14:paraId="60681DA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年预算资金</w:t>
      </w:r>
      <w:r>
        <w:rPr>
          <w:rFonts w:hint="eastAsia" w:ascii="Times New Roman" w:hAnsi="Times New Roman" w:eastAsia="仿宋_GB2312" w:cs="Times New Roman"/>
          <w:kern w:val="2"/>
          <w:sz w:val="32"/>
          <w:szCs w:val="32"/>
          <w:lang w:val="en-US" w:eastAsia="zh-CN" w:bidi="ar-SA"/>
        </w:rPr>
        <w:t>573.38</w:t>
      </w:r>
      <w:r>
        <w:rPr>
          <w:rFonts w:hint="default" w:ascii="Times New Roman" w:hAnsi="Times New Roman" w:eastAsia="仿宋_GB2312" w:cs="Times New Roman"/>
          <w:kern w:val="2"/>
          <w:sz w:val="32"/>
          <w:szCs w:val="32"/>
          <w:lang w:val="en-US" w:eastAsia="zh-CN" w:bidi="ar-SA"/>
        </w:rPr>
        <w:t>万元。</w:t>
      </w:r>
    </w:p>
    <w:p w14:paraId="6BBA7BF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年度单位一般公共预算财政拨款收入</w:t>
      </w:r>
      <w:r>
        <w:rPr>
          <w:rFonts w:hint="eastAsia" w:ascii="Times New Roman" w:hAnsi="Times New Roman" w:eastAsia="仿宋_GB2312" w:cs="Times New Roman"/>
          <w:kern w:val="2"/>
          <w:sz w:val="32"/>
          <w:szCs w:val="32"/>
          <w:lang w:val="en-US" w:eastAsia="zh-CN" w:bidi="ar-SA"/>
        </w:rPr>
        <w:t>1926.41</w:t>
      </w:r>
      <w:r>
        <w:rPr>
          <w:rFonts w:hint="default" w:ascii="Times New Roman" w:hAnsi="Times New Roman" w:eastAsia="仿宋_GB2312" w:cs="Times New Roman"/>
          <w:kern w:val="2"/>
          <w:sz w:val="32"/>
          <w:szCs w:val="32"/>
          <w:lang w:val="en-US" w:eastAsia="zh-CN" w:bidi="ar-SA"/>
        </w:rPr>
        <w:t>万元。</w:t>
      </w:r>
    </w:p>
    <w:p w14:paraId="5F07EC1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年度单位一般公共预算财政拨款支出</w:t>
      </w:r>
      <w:r>
        <w:rPr>
          <w:rFonts w:hint="eastAsia" w:ascii="Times New Roman" w:hAnsi="Times New Roman" w:eastAsia="仿宋_GB2312" w:cs="Times New Roman"/>
          <w:kern w:val="2"/>
          <w:sz w:val="32"/>
          <w:szCs w:val="32"/>
          <w:lang w:val="en-US" w:eastAsia="zh-CN" w:bidi="ar-SA"/>
        </w:rPr>
        <w:t>1926.41</w:t>
      </w:r>
      <w:r>
        <w:rPr>
          <w:rFonts w:hint="default" w:ascii="Times New Roman" w:hAnsi="Times New Roman" w:eastAsia="仿宋_GB2312" w:cs="Times New Roman"/>
          <w:kern w:val="2"/>
          <w:sz w:val="32"/>
          <w:szCs w:val="32"/>
          <w:lang w:val="en-US" w:eastAsia="zh-CN" w:bidi="ar-SA"/>
        </w:rPr>
        <w:t>万元，其中：项目支出</w:t>
      </w:r>
      <w:r>
        <w:rPr>
          <w:rFonts w:hint="eastAsia" w:ascii="Times New Roman" w:hAnsi="Times New Roman" w:eastAsia="仿宋_GB2312" w:cs="Times New Roman"/>
          <w:kern w:val="2"/>
          <w:sz w:val="32"/>
          <w:szCs w:val="32"/>
          <w:lang w:val="en-US" w:eastAsia="zh-CN" w:bidi="ar-SA"/>
        </w:rPr>
        <w:t>1110.25</w:t>
      </w:r>
      <w:r>
        <w:rPr>
          <w:rFonts w:hint="default" w:ascii="Times New Roman" w:hAnsi="Times New Roman" w:eastAsia="仿宋_GB2312" w:cs="Times New Roman"/>
          <w:kern w:val="2"/>
          <w:sz w:val="32"/>
          <w:szCs w:val="32"/>
          <w:lang w:val="en-US" w:eastAsia="zh-CN" w:bidi="ar-SA"/>
        </w:rPr>
        <w:t>万元，基本支出</w:t>
      </w:r>
      <w:r>
        <w:rPr>
          <w:rFonts w:hint="eastAsia" w:ascii="Times New Roman" w:hAnsi="Times New Roman" w:eastAsia="仿宋_GB2312" w:cs="Times New Roman"/>
          <w:kern w:val="2"/>
          <w:sz w:val="32"/>
          <w:szCs w:val="32"/>
          <w:lang w:val="en-US" w:eastAsia="zh-CN" w:bidi="ar-SA"/>
        </w:rPr>
        <w:t>816.16</w:t>
      </w:r>
      <w:r>
        <w:rPr>
          <w:rFonts w:hint="default" w:ascii="Times New Roman" w:hAnsi="Times New Roman" w:eastAsia="仿宋_GB2312" w:cs="Times New Roman"/>
          <w:kern w:val="2"/>
          <w:sz w:val="32"/>
          <w:szCs w:val="32"/>
          <w:lang w:val="en-US" w:eastAsia="zh-CN" w:bidi="ar-SA"/>
        </w:rPr>
        <w:t>万元，其中：人员经</w:t>
      </w:r>
      <w:r>
        <w:rPr>
          <w:rFonts w:hint="eastAsia" w:ascii="Times New Roman" w:hAnsi="Times New Roman" w:eastAsia="仿宋_GB2312" w:cs="Times New Roman"/>
          <w:kern w:val="2"/>
          <w:sz w:val="32"/>
          <w:szCs w:val="32"/>
          <w:lang w:val="en-US" w:eastAsia="zh-CN" w:bidi="ar-SA"/>
        </w:rPr>
        <w:t>费729.58</w:t>
      </w:r>
      <w:r>
        <w:rPr>
          <w:rFonts w:hint="default" w:ascii="Times New Roman" w:hAnsi="Times New Roman" w:eastAsia="仿宋_GB2312" w:cs="Times New Roman"/>
          <w:kern w:val="2"/>
          <w:sz w:val="32"/>
          <w:szCs w:val="32"/>
          <w:lang w:val="en-US" w:eastAsia="zh-CN" w:bidi="ar-SA"/>
        </w:rPr>
        <w:t>万元，公用经费</w:t>
      </w:r>
      <w:r>
        <w:rPr>
          <w:rFonts w:hint="eastAsia" w:ascii="Times New Roman" w:hAnsi="Times New Roman" w:eastAsia="仿宋_GB2312" w:cs="Times New Roman"/>
          <w:kern w:val="2"/>
          <w:sz w:val="32"/>
          <w:szCs w:val="32"/>
          <w:lang w:val="en-US" w:eastAsia="zh-CN" w:bidi="ar-SA"/>
        </w:rPr>
        <w:t>86.58</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w:t>
      </w:r>
    </w:p>
    <w:p w14:paraId="5E79D0F5">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项目支出情况</w:t>
      </w:r>
    </w:p>
    <w:p w14:paraId="6929E51F">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年度一般公共预算安排项目支出</w:t>
      </w:r>
      <w:r>
        <w:rPr>
          <w:rFonts w:hint="eastAsia" w:ascii="Times New Roman" w:hAnsi="Times New Roman" w:eastAsia="仿宋_GB2312" w:cs="Times New Roman"/>
          <w:kern w:val="2"/>
          <w:sz w:val="32"/>
          <w:szCs w:val="32"/>
          <w:lang w:val="en-US" w:eastAsia="zh-CN" w:bidi="ar-SA"/>
        </w:rPr>
        <w:t>1110.25</w:t>
      </w:r>
      <w:r>
        <w:rPr>
          <w:rFonts w:hint="default" w:ascii="Times New Roman" w:hAnsi="Times New Roman" w:eastAsia="仿宋_GB2312" w:cs="Times New Roman"/>
          <w:kern w:val="2"/>
          <w:sz w:val="32"/>
          <w:szCs w:val="32"/>
          <w:lang w:val="en-US" w:eastAsia="zh-CN" w:bidi="ar-SA"/>
        </w:rPr>
        <w:t>万元。其中：补助社区工作经费</w:t>
      </w:r>
      <w:r>
        <w:rPr>
          <w:rFonts w:hint="eastAsia" w:ascii="Times New Roman" w:hAnsi="Times New Roman" w:eastAsia="仿宋_GB2312" w:cs="Times New Roman"/>
          <w:kern w:val="2"/>
          <w:sz w:val="32"/>
          <w:szCs w:val="32"/>
          <w:lang w:val="en-US" w:eastAsia="zh-CN" w:bidi="ar-SA"/>
        </w:rPr>
        <w:t>414.38万元，城管环卫及自建房整治经费324.82万元，就业补助及优抚对象补助经费293.90万元，其他项目支出77.15万元。</w:t>
      </w:r>
    </w:p>
    <w:p w14:paraId="17580D59">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三、政府性基金预算支出情况</w:t>
      </w:r>
    </w:p>
    <w:p w14:paraId="5108568C">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14:paraId="7B03F6E0">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eastAsia" w:ascii="Times New Roman" w:hAnsi="Times New Roman" w:eastAsia="黑体" w:cs="Times New Roman"/>
          <w:sz w:val="32"/>
          <w:szCs w:val="32"/>
        </w:rPr>
        <w:t>国有资本经营预算支出情况</w:t>
      </w:r>
    </w:p>
    <w:p w14:paraId="34C41964">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无。</w:t>
      </w:r>
    </w:p>
    <w:p w14:paraId="1ABC0500">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eastAsia" w:ascii="Times New Roman" w:hAnsi="Times New Roman" w:eastAsia="黑体" w:cs="Times New Roman"/>
          <w:sz w:val="32"/>
          <w:szCs w:val="32"/>
        </w:rPr>
        <w:t>社会保险基金预算支出情况</w:t>
      </w:r>
    </w:p>
    <w:p w14:paraId="5CBFC6CF">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14:paraId="0E9860DF">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六、资金使用及绩效情况（包含单位管理的公共专项）</w:t>
      </w:r>
    </w:p>
    <w:p w14:paraId="46F2D190">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（一）整体支出绩效情况</w:t>
      </w:r>
    </w:p>
    <w:p w14:paraId="2596295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sz w:val="32"/>
          <w:szCs w:val="32"/>
          <w:lang w:val="en-US" w:eastAsia="zh-CN"/>
        </w:rPr>
        <w:t>绩效目标完成情况良好，实现了保工资、保运转的整体目标。</w:t>
      </w:r>
      <w:r>
        <w:rPr>
          <w:rFonts w:hint="eastAsia" w:ascii="Times New Roman" w:hAnsi="Times New Roman" w:eastAsia="仿宋_GB2312" w:cs="Times New Roman"/>
          <w:b w:val="0"/>
          <w:bCs w:val="0"/>
          <w:sz w:val="32"/>
          <w:szCs w:val="32"/>
          <w:lang w:val="en-US" w:eastAsia="zh-CN"/>
        </w:rPr>
        <w:t>以“守正创新担使命”</w:t>
      </w:r>
      <w:r>
        <w:rPr>
          <w:rFonts w:hint="eastAsia" w:ascii="Times New Roman" w:hAnsi="Times New Roman" w:eastAsia="仿宋_GB2312" w:cs="Times New Roman"/>
          <w:b w:val="0"/>
          <w:bCs w:val="0"/>
          <w:sz w:val="32"/>
          <w:szCs w:val="32"/>
          <w:lang w:eastAsia="zh-CN"/>
        </w:rPr>
        <w:t>的忠心，推进</w:t>
      </w:r>
      <w:r>
        <w:rPr>
          <w:rFonts w:hint="eastAsia" w:ascii="Times New Roman" w:hAnsi="Times New Roman" w:eastAsia="仿宋_GB2312" w:cs="Times New Roman"/>
          <w:b w:val="0"/>
          <w:bCs w:val="0"/>
          <w:sz w:val="32"/>
          <w:szCs w:val="32"/>
        </w:rPr>
        <w:t>党的建设。</w:t>
      </w:r>
      <w:r>
        <w:rPr>
          <w:rFonts w:hint="eastAsia" w:ascii="Times New Roman" w:hAnsi="Times New Roman" w:eastAsia="仿宋_GB2312" w:cs="Times New Roman"/>
          <w:b w:val="0"/>
          <w:bCs w:val="0"/>
          <w:i w:val="0"/>
          <w:caps w:val="0"/>
          <w:color w:val="auto"/>
          <w:spacing w:val="0"/>
          <w:kern w:val="0"/>
          <w:sz w:val="32"/>
          <w:szCs w:val="32"/>
          <w:lang w:val="en-US" w:eastAsia="zh-CN" w:bidi="ar"/>
        </w:rPr>
        <w:t>持续深化村（居）民代表联系服务群众和网格微治理工作，收集群众意见建议496条，解决群众急难愁盼问题400余个。</w:t>
      </w:r>
      <w:r>
        <w:rPr>
          <w:rFonts w:hint="default" w:ascii="Times New Roman" w:hAnsi="Times New Roman" w:eastAsia="仿宋_GB2312" w:cs="Times New Roman"/>
          <w:b w:val="0"/>
          <w:bCs w:val="0"/>
          <w:sz w:val="32"/>
          <w:szCs w:val="32"/>
          <w:lang w:val="en-US" w:eastAsia="zh-CN"/>
        </w:rPr>
        <w:t>淞亿小区自治管理经验在全市</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名城共建·幸福共享</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株洲市城市基层治理大会上展览推介。</w:t>
      </w:r>
      <w:r>
        <w:rPr>
          <w:rFonts w:hint="eastAsia" w:ascii="Times New Roman" w:hAnsi="Times New Roman" w:eastAsia="仿宋_GB2312" w:cs="Times New Roman"/>
          <w:b w:val="0"/>
          <w:bCs w:val="0"/>
          <w:kern w:val="2"/>
          <w:sz w:val="32"/>
          <w:szCs w:val="32"/>
          <w:lang w:val="en-US" w:eastAsia="zh-CN" w:bidi="ar-SA"/>
        </w:rPr>
        <w:t>按照“作风建设年”要求，</w:t>
      </w:r>
      <w:r>
        <w:rPr>
          <w:rFonts w:hint="default" w:ascii="Times New Roman" w:hAnsi="Times New Roman" w:eastAsia="仿宋_GB2312" w:cs="Times New Roman"/>
          <w:b w:val="0"/>
          <w:bCs w:val="0"/>
          <w:kern w:val="2"/>
          <w:sz w:val="32"/>
          <w:szCs w:val="32"/>
          <w:lang w:val="en-US" w:eastAsia="zh-CN" w:bidi="ar-SA"/>
        </w:rPr>
        <w:t>从严从实转变干部作风</w:t>
      </w:r>
      <w:r>
        <w:rPr>
          <w:rFonts w:hint="eastAsia" w:ascii="Times New Roman" w:hAnsi="Times New Roman" w:eastAsia="仿宋_GB2312" w:cs="Times New Roman"/>
          <w:b w:val="0"/>
          <w:bCs w:val="0"/>
          <w:kern w:val="2"/>
          <w:sz w:val="32"/>
          <w:szCs w:val="32"/>
          <w:lang w:val="en-US" w:eastAsia="zh-CN" w:bidi="ar-SA"/>
        </w:rPr>
        <w:t>，街道人大主任李卉《笃行实干保交楼、驰行不息解民愁》的先进事迹在《株洲市作风建设年活动简报》刊发。严格落实全面从严治党主体责任，</w:t>
      </w:r>
      <w:r>
        <w:rPr>
          <w:rFonts w:hint="eastAsia" w:ascii="Times New Roman" w:hAnsi="Times New Roman" w:eastAsia="仿宋_GB2312" w:cs="Times New Roman"/>
          <w:color w:val="000000"/>
          <w:kern w:val="2"/>
          <w:sz w:val="32"/>
          <w:szCs w:val="32"/>
          <w:lang w:val="en-US" w:eastAsia="zh-CN" w:bidi="ar-SA"/>
        </w:rPr>
        <w:t>将严的基调、严的措施、严的标准贯穿各项工作始终。创新推出“党的声音进万家-理响龙泉”党的二十大精神宣讲系列视频，在《人民日报》《湖南日报》《株洲日报》等主流媒体上稿104篇。</w:t>
      </w:r>
      <w:r>
        <w:rPr>
          <w:rFonts w:hint="eastAsia" w:ascii="Times New Roman" w:hAnsi="Times New Roman" w:eastAsia="仿宋_GB2312" w:cs="Times New Roman"/>
          <w:b w:val="0"/>
          <w:bCs w:val="0"/>
          <w:kern w:val="2"/>
          <w:sz w:val="32"/>
          <w:szCs w:val="32"/>
          <w:lang w:val="en-US" w:eastAsia="zh-CN" w:bidi="ar-SA"/>
        </w:rPr>
        <w:t>街道党工委以高度的政治责任感全力支持和配合区委巡察和市委提级巡察工作，做到立行立改、真抓实改，以坚定的决心，扎实的作风圆满完成配合巡察工作。</w:t>
      </w:r>
    </w:p>
    <w:p w14:paraId="3F886BF7">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val="en-US" w:eastAsia="zh-CN"/>
        </w:rPr>
        <w:t>以“越是艰难越向前”的决心，</w:t>
      </w:r>
      <w:r>
        <w:rPr>
          <w:rFonts w:hint="eastAsia" w:ascii="Times New Roman" w:hAnsi="Times New Roman" w:eastAsia="仿宋_GB2312" w:cs="Times New Roman"/>
          <w:b w:val="0"/>
          <w:bCs w:val="0"/>
          <w:sz w:val="32"/>
          <w:szCs w:val="32"/>
          <w:lang w:eastAsia="zh-CN"/>
        </w:rPr>
        <w:t>整治风险隐患。</w:t>
      </w:r>
      <w:r>
        <w:rPr>
          <w:rFonts w:hint="eastAsia" w:ascii="Times New Roman" w:hAnsi="Times New Roman" w:eastAsia="仿宋_GB2312" w:cs="Times New Roman"/>
          <w:sz w:val="32"/>
          <w:szCs w:val="32"/>
          <w:lang w:val="en-US" w:eastAsia="zh-CN"/>
        </w:rPr>
        <w:t>严格落实“一法一条例一规定”有关要求，</w:t>
      </w:r>
      <w:r>
        <w:rPr>
          <w:rFonts w:hint="eastAsia" w:ascii="Times New Roman" w:hAnsi="Times New Roman" w:eastAsia="仿宋_GB2312" w:cs="Times New Roman"/>
          <w:sz w:val="32"/>
          <w:szCs w:val="32"/>
        </w:rPr>
        <w:t>对重点区域经营性自建房539栋中的274栋和C、D级房屋作为整治重点内容，加快分类整治销号。</w:t>
      </w:r>
      <w:r>
        <w:rPr>
          <w:rFonts w:hint="eastAsia" w:ascii="Times New Roman" w:hAnsi="Times New Roman" w:eastAsia="仿宋_GB2312" w:cs="Times New Roman"/>
          <w:sz w:val="32"/>
          <w:szCs w:val="32"/>
          <w:lang w:eastAsia="zh-CN"/>
        </w:rPr>
        <w:t>目前，</w:t>
      </w:r>
      <w:r>
        <w:rPr>
          <w:rFonts w:hint="eastAsia" w:ascii="Times New Roman" w:hAnsi="Times New Roman" w:eastAsia="仿宋_GB2312" w:cs="Times New Roman"/>
          <w:sz w:val="32"/>
          <w:szCs w:val="32"/>
          <w:lang w:val="en-US" w:eastAsia="zh-CN"/>
        </w:rPr>
        <w:t>10户有重大消防安全隐患的自建房全部完成销号。</w:t>
      </w:r>
      <w:r>
        <w:rPr>
          <w:rFonts w:ascii="Times New Roman" w:hAnsi="Times New Roman" w:eastAsia="仿宋_GB2312" w:cs="Times New Roman"/>
          <w:sz w:val="32"/>
          <w:szCs w:val="32"/>
        </w:rPr>
        <w:t>结合龙泉地区实际，对所有</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三合一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场所开展分栋经营，力争打造</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三合一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场所分栋经营示范点。</w:t>
      </w:r>
      <w:r>
        <w:rPr>
          <w:rFonts w:hint="eastAsia" w:ascii="Times New Roman" w:hAnsi="Times New Roman" w:eastAsia="仿宋_GB2312" w:cs="Times New Roman"/>
          <w:sz w:val="32"/>
          <w:szCs w:val="32"/>
        </w:rPr>
        <w:t>在龙泉村部附近建设微型消防站，即将实质运转。制定了《芦淞区龙泉街道重点区域经营性自建房常态化管理实施方案》，建立了长态长效工作机制。</w:t>
      </w:r>
    </w:p>
    <w:p w14:paraId="34633F16">
      <w:pPr>
        <w:pStyle w:val="11"/>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kern w:val="2"/>
          <w:sz w:val="32"/>
          <w:szCs w:val="32"/>
          <w:lang w:val="en-US" w:eastAsia="zh-CN" w:bidi="ar-SA"/>
        </w:rPr>
        <w:t>以“栉风沐雨见肝胆”的</w:t>
      </w:r>
      <w:r>
        <w:rPr>
          <w:rFonts w:hint="eastAsia" w:ascii="Times New Roman" w:hAnsi="Times New Roman" w:eastAsia="仿宋_GB2312" w:cs="Times New Roman"/>
          <w:b w:val="0"/>
          <w:bCs w:val="0"/>
          <w:sz w:val="32"/>
          <w:szCs w:val="32"/>
          <w:lang w:eastAsia="zh-CN"/>
        </w:rPr>
        <w:t>衷</w:t>
      </w:r>
      <w:r>
        <w:rPr>
          <w:rFonts w:hint="eastAsia" w:ascii="Times New Roman" w:hAnsi="Times New Roman" w:eastAsia="仿宋_GB2312" w:cs="Times New Roman"/>
          <w:b w:val="0"/>
          <w:bCs w:val="0"/>
          <w:kern w:val="2"/>
          <w:sz w:val="32"/>
          <w:szCs w:val="32"/>
          <w:lang w:val="en-US" w:eastAsia="zh-CN" w:bidi="ar-SA"/>
        </w:rPr>
        <w:t>心，维护安全稳定。</w:t>
      </w:r>
      <w:r>
        <w:rPr>
          <w:rFonts w:hint="eastAsia" w:ascii="Times New Roman" w:hAnsi="Times New Roman" w:eastAsia="仿宋_GB2312" w:cs="Times New Roman"/>
          <w:color w:val="000000"/>
          <w:sz w:val="32"/>
          <w:szCs w:val="32"/>
          <w:lang w:val="en-US" w:eastAsia="zh-CN"/>
        </w:rPr>
        <w:t>不断贯彻落实“浦江经验”，严格落实领导干部包案和下沉接访制度，强化社会矛盾排查化解力度。</w:t>
      </w:r>
      <w:r>
        <w:rPr>
          <w:rFonts w:hint="eastAsia" w:ascii="Times New Roman" w:hAnsi="Times New Roman" w:eastAsia="仿宋_GB2312" w:cs="Times New Roman"/>
          <w:b w:val="0"/>
          <w:bCs w:val="0"/>
          <w:color w:val="000000"/>
          <w:sz w:val="32"/>
          <w:szCs w:val="32"/>
          <w:lang w:val="en-US" w:eastAsia="zh-CN"/>
        </w:rPr>
        <w:t>围绕“保交楼”总体目标，</w:t>
      </w:r>
      <w:r>
        <w:rPr>
          <w:rFonts w:hint="eastAsia" w:ascii="Times New Roman" w:hAnsi="Times New Roman" w:eastAsia="仿宋_GB2312" w:cs="Times New Roman"/>
          <w:color w:val="000000"/>
          <w:sz w:val="32"/>
          <w:szCs w:val="32"/>
          <w:lang w:val="en-US" w:eastAsia="zh-CN"/>
        </w:rPr>
        <w:t>房地产领域风险得到有效化解。</w:t>
      </w:r>
      <w:r>
        <w:rPr>
          <w:rFonts w:hint="eastAsia" w:ascii="Times New Roman" w:hAnsi="Times New Roman" w:eastAsia="仿宋_GB2312" w:cs="Times New Roman"/>
          <w:b w:val="0"/>
          <w:bCs w:val="0"/>
          <w:color w:val="000000"/>
          <w:sz w:val="32"/>
          <w:szCs w:val="32"/>
          <w:lang w:val="en-US" w:eastAsia="zh-CN"/>
        </w:rPr>
        <w:t>目前，辖区5个房地产领域矛盾化解项目中，</w:t>
      </w:r>
      <w:r>
        <w:rPr>
          <w:rFonts w:hint="eastAsia" w:ascii="Times New Roman" w:hAnsi="Times New Roman" w:eastAsia="仿宋_GB2312" w:cs="Times New Roman"/>
          <w:color w:val="000000"/>
          <w:sz w:val="32"/>
          <w:szCs w:val="32"/>
          <w:lang w:val="en-US" w:eastAsia="zh-CN"/>
        </w:rPr>
        <w:t>城南美郡项目已封顶，锦艺锦湘悦项目全面复工，美的檀府项目基本稳控，中田山语城项目业委会自治成效显著，檀香山项目复工续建有序推进。按照“党政同责、一岗双责、齐抓共管、失职追责”的要求常抓不懈，辖区未发生安全生产领域事故和重特大亡人火灾事故。</w:t>
      </w:r>
    </w:p>
    <w:p w14:paraId="152B2FF0">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（二）项目支出绩效情况</w:t>
      </w:r>
    </w:p>
    <w:p w14:paraId="0E60307F">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我单位对专项资金使用符合国家财经法规和财务管理以及有关专项资金管理办法的规定；资金的拨付有完整的审批程序和手续；项目的重大开支经过评估认证，符合项目预算批复或合同规定的用途；不存在截留、挤占、挪用、虚列支出等情况。保障会计核算准确、账务资料完整。</w:t>
      </w:r>
    </w:p>
    <w:p w14:paraId="6CE0D7EA">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年度，项目支出</w:t>
      </w:r>
      <w:r>
        <w:rPr>
          <w:rFonts w:hint="eastAsia" w:ascii="Times New Roman" w:hAnsi="Times New Roman" w:eastAsia="仿宋_GB2312" w:cs="Times New Roman"/>
          <w:color w:val="auto"/>
          <w:sz w:val="32"/>
          <w:szCs w:val="32"/>
          <w:lang w:val="en-US" w:eastAsia="zh-CN"/>
        </w:rPr>
        <w:t>1110.25万元，主要用于</w:t>
      </w:r>
      <w:r>
        <w:rPr>
          <w:rFonts w:hint="default" w:ascii="Times New Roman" w:hAnsi="Times New Roman" w:eastAsia="仿宋_GB2312" w:cs="Times New Roman"/>
          <w:color w:val="auto"/>
          <w:sz w:val="32"/>
          <w:szCs w:val="32"/>
          <w:lang w:val="en-US" w:eastAsia="zh-CN"/>
        </w:rPr>
        <w:t>办公运转、工会经费、党建经费、</w:t>
      </w:r>
      <w:r>
        <w:rPr>
          <w:rFonts w:hint="eastAsia" w:ascii="Times New Roman" w:hAnsi="Times New Roman" w:eastAsia="仿宋_GB2312" w:cs="Times New Roman"/>
          <w:color w:val="auto"/>
          <w:sz w:val="32"/>
          <w:szCs w:val="32"/>
          <w:lang w:val="en-US" w:eastAsia="zh-CN"/>
        </w:rPr>
        <w:t>城管环卫、</w:t>
      </w:r>
      <w:r>
        <w:rPr>
          <w:rFonts w:hint="default" w:ascii="Times New Roman" w:hAnsi="Times New Roman" w:eastAsia="仿宋_GB2312" w:cs="Times New Roman"/>
          <w:color w:val="auto"/>
          <w:sz w:val="32"/>
          <w:szCs w:val="32"/>
          <w:lang w:val="en-US" w:eastAsia="zh-CN"/>
        </w:rPr>
        <w:t>服务群众资金</w:t>
      </w:r>
      <w:r>
        <w:rPr>
          <w:rFonts w:hint="eastAsia" w:ascii="Times New Roman" w:hAnsi="Times New Roman" w:eastAsia="仿宋_GB2312" w:cs="Times New Roman"/>
          <w:color w:val="auto"/>
          <w:sz w:val="32"/>
          <w:szCs w:val="32"/>
          <w:lang w:val="en-US" w:eastAsia="zh-CN"/>
        </w:rPr>
        <w:t>、自建房安全隐患专项整治</w:t>
      </w:r>
      <w:r>
        <w:rPr>
          <w:rFonts w:hint="default" w:ascii="Times New Roman" w:hAnsi="Times New Roman" w:eastAsia="仿宋_GB2312" w:cs="Times New Roman"/>
          <w:color w:val="auto"/>
          <w:sz w:val="32"/>
          <w:szCs w:val="32"/>
          <w:lang w:val="en-US" w:eastAsia="zh-CN"/>
        </w:rPr>
        <w:t>等支出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拨</w:t>
      </w:r>
      <w:r>
        <w:rPr>
          <w:rFonts w:hint="eastAsia" w:ascii="Times New Roman" w:hAnsi="Times New Roman" w:eastAsia="仿宋_GB2312" w:cs="Times New Roman"/>
          <w:color w:val="auto"/>
          <w:sz w:val="32"/>
          <w:szCs w:val="32"/>
          <w:lang w:val="en-US" w:eastAsia="zh-CN"/>
        </w:rPr>
        <w:t>付</w:t>
      </w:r>
      <w:r>
        <w:rPr>
          <w:rFonts w:hint="default" w:ascii="Times New Roman" w:hAnsi="Times New Roman" w:eastAsia="仿宋_GB2312" w:cs="Times New Roman"/>
          <w:color w:val="auto"/>
          <w:sz w:val="32"/>
          <w:szCs w:val="32"/>
          <w:lang w:val="en-US" w:eastAsia="zh-CN"/>
        </w:rPr>
        <w:t>社区基层经费补助</w:t>
      </w:r>
      <w:r>
        <w:rPr>
          <w:rFonts w:hint="eastAsia" w:ascii="Times New Roman" w:hAnsi="Times New Roman" w:eastAsia="仿宋_GB2312" w:cs="Times New Roman"/>
          <w:color w:val="auto"/>
          <w:sz w:val="32"/>
          <w:szCs w:val="32"/>
          <w:lang w:val="en-US" w:eastAsia="zh-CN"/>
        </w:rPr>
        <w:t>，保障了</w:t>
      </w:r>
      <w:r>
        <w:rPr>
          <w:rFonts w:hint="default" w:ascii="Times New Roman" w:hAnsi="Times New Roman" w:eastAsia="仿宋_GB2312" w:cs="Times New Roman"/>
          <w:color w:val="auto"/>
          <w:sz w:val="32"/>
          <w:szCs w:val="32"/>
          <w:lang w:val="en-US" w:eastAsia="zh-CN"/>
        </w:rPr>
        <w:t>基层社区正常运转</w:t>
      </w:r>
      <w:r>
        <w:rPr>
          <w:rFonts w:hint="eastAsia" w:ascii="Times New Roman" w:hAnsi="Times New Roman" w:eastAsia="仿宋_GB2312" w:cs="Times New Roman"/>
          <w:color w:val="auto"/>
          <w:sz w:val="32"/>
          <w:szCs w:val="32"/>
          <w:lang w:val="en-US" w:eastAsia="zh-CN"/>
        </w:rPr>
        <w:t>。</w:t>
      </w:r>
    </w:p>
    <w:p w14:paraId="08D21B5A">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年中追加项目</w:t>
      </w:r>
      <w:r>
        <w:rPr>
          <w:rFonts w:hint="eastAsia" w:ascii="Times New Roman" w:hAnsi="Times New Roman" w:eastAsia="仿宋_GB2312" w:cs="Times New Roman"/>
          <w:color w:val="auto"/>
          <w:sz w:val="32"/>
          <w:szCs w:val="32"/>
          <w:lang w:eastAsia="zh-CN"/>
        </w:rPr>
        <w:t>“社区工作经费”</w:t>
      </w:r>
      <w:r>
        <w:rPr>
          <w:rFonts w:hint="eastAsia" w:ascii="Times New Roman" w:hAnsi="Times New Roman" w:eastAsia="仿宋_GB2312" w:cs="Times New Roman"/>
          <w:color w:val="auto"/>
          <w:kern w:val="2"/>
          <w:sz w:val="32"/>
          <w:szCs w:val="32"/>
          <w:lang w:val="en-US" w:eastAsia="zh-CN" w:bidi="ar-SA"/>
        </w:rPr>
        <w:t>，金额1090.25万元，实际支出1090.25万元，结余结转0万元。</w:t>
      </w:r>
    </w:p>
    <w:p w14:paraId="4F3E2FFD">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项目实施及绩效情况：对重点区域经营性自建房539栋中的274栋和C、D级房屋作为整治重点内容，加快分类整治销号，10户有重大消防安全隐患的自建房全部完成销号。结合龙泉地区实际，对所有“三合一”场所开展分栋经营，</w:t>
      </w:r>
      <w:r>
        <w:rPr>
          <w:rFonts w:hint="default" w:ascii="Times New Roman" w:hAnsi="Times New Roman" w:eastAsia="仿宋_GB2312" w:cs="Times New Roman"/>
          <w:color w:val="auto"/>
          <w:kern w:val="2"/>
          <w:sz w:val="32"/>
          <w:szCs w:val="32"/>
          <w:lang w:val="en-US" w:eastAsia="zh-CN" w:bidi="ar-SA"/>
        </w:rPr>
        <w:t>力争打造</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三合一</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场所分栋经营示范点。</w:t>
      </w:r>
      <w:r>
        <w:rPr>
          <w:rFonts w:hint="eastAsia" w:ascii="Times New Roman" w:hAnsi="Times New Roman" w:eastAsia="仿宋_GB2312" w:cs="Times New Roman"/>
          <w:color w:val="auto"/>
          <w:kern w:val="2"/>
          <w:sz w:val="32"/>
          <w:szCs w:val="32"/>
          <w:lang w:val="en-US" w:eastAsia="zh-CN" w:bidi="ar-SA"/>
        </w:rPr>
        <w:t>在龙泉村部附近建设微型消防站，即将实质运转。制定了《芦淞区龙泉街道重点区域经营性自建房常态化管理实施方案》，建立了长态长效工作机制。</w:t>
      </w:r>
    </w:p>
    <w:p w14:paraId="01BD81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社会救助项目2175人次享受了城市低保，累计发放低保金为1145930元；有1404人次享受了农村低保，累计发放低保金539800元。按照政策规定搞好城乡低保动态管理，精准救助评改算新增城市低保8户12人，5780元；减少城市低保23户33人，17330元；减少农村低保7户10人，3740元，新增农村低保3户6人，2470元；新增新增城市分散供养特困对象5户5人，取消农村分散供养特困对象1户1人，取消城市集中供养对象1户1人，现有农村分散供养特困对象11户11人，城市分散供养特困对象21户21人，集中供养特困对象3户3人；低保扩围增效百日攻坚完成低保新增城市低保40户55人，农村低保25户47人，完成区民政局下达的任务。及时做好每月报表和系统数据更新。春节期间慰问困难户76人，共计金额38000元，至2023年11月对11户困难对象进行了临时救助，共计金额10650元。</w:t>
      </w:r>
    </w:p>
    <w:p w14:paraId="4FD686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养老服务项目100岁以上老人1户1人，享受每月500元的高龄生活补贴，按月发放（银行已代发）。 90岁以上老人享受每月100元的高龄生活补贴，按季度发放（银行已代发）。一季度发放69人，共计18300元；80至89岁低保老人将享受每月50元的高龄生活补贴，按季度发放（银行已代发）。一季度发放543人，共计72700元；二季度80-90老人，发放524人，共计77300元。90岁68人，共计19300元，100岁老人1人，500元；三季度80-90老人，发放528人，共计79100元。90岁66人，共计19000元，100岁老人1人，500元。完成24户困难老年家庭适老化改造，指导和谐家园社区成立养老服务中心，运营幸福食堂。</w:t>
      </w:r>
    </w:p>
    <w:p w14:paraId="6733C0A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color w:val="auto"/>
          <w:kern w:val="2"/>
          <w:sz w:val="32"/>
          <w:szCs w:val="32"/>
          <w:lang w:val="en-US" w:eastAsia="zh-CN" w:bidi="ar-SA"/>
        </w:rPr>
        <w:t>就业补助项目2023年新增失业人员613人，失业人员再就业594人，失业人员实现再就业率96.9%；新增就业困难人员49人，就业困难人员再就业41人，就业困难人员实现再就业率83.6%；积极为失业人员提供“311”服务，“311”服务就业服务覆盖人数785人，覆盖率为98.24%；农村劳动力转移123人，完成全年任务100%；离校未就业大学生就业服务率100%，跟踪回访率100%。</w:t>
      </w:r>
    </w:p>
    <w:p w14:paraId="31CFD856">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14:paraId="724A1939">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rPr>
        <w:t>绩效评价工作机制有待完善，由于在平时工作中未加强对绩效监控工作的重视，绩效监控工作容易滞后。</w:t>
      </w:r>
    </w:p>
    <w:p w14:paraId="5D7E8181">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rPr>
        <w:t>预算编制工作有待细化。预算编制不够明确和细化，预算编制的合理性需要提高。预算执行力度还要加强。</w:t>
      </w:r>
    </w:p>
    <w:p w14:paraId="3F20A058">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color w:val="auto"/>
          <w:sz w:val="32"/>
          <w:szCs w:val="32"/>
          <w:lang w:val="en-US" w:eastAsia="zh-CN"/>
        </w:rPr>
        <w:t>八、</w:t>
      </w:r>
      <w:r>
        <w:rPr>
          <w:rFonts w:hint="eastAsia" w:ascii="Times New Roman" w:hAnsi="Times New Roman" w:eastAsia="黑体" w:cs="Times New Roman"/>
          <w:sz w:val="32"/>
          <w:szCs w:val="32"/>
        </w:rPr>
        <w:t>下一步改进措施</w:t>
      </w:r>
    </w:p>
    <w:p w14:paraId="08D29D7A">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是高度重视绩效管理工作，成立绩效评价工作机构，有计划有步骤的实施绩效评价；二是加强预算执行管理，定期通报项目资金使用进度和预算执行进度，并对做好预算管理工作提出具体要求；三是加强督促跟踪问效，定期对项目、资金管理情况进行跟踪检查，督促按时、按质、按量完成项目建设。四是加强争取上级资金，保证资金及时拨付发放到位。</w:t>
      </w:r>
    </w:p>
    <w:p w14:paraId="5C38120C">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九、部门整体支出绩效自评结果拟应用和公开情况</w:t>
      </w:r>
    </w:p>
    <w:p w14:paraId="45B0ACC0">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绩效自评的结果将广泛运用于本单位的预算编制和财政资金管理中，</w:t>
      </w:r>
      <w:r>
        <w:rPr>
          <w:rFonts w:hint="default" w:ascii="Times New Roman" w:hAnsi="Times New Roman" w:eastAsia="仿宋_GB2312" w:cs="Times New Roman"/>
          <w:color w:val="auto"/>
          <w:sz w:val="32"/>
          <w:szCs w:val="32"/>
          <w:lang w:val="en-US" w:eastAsia="zh-CN"/>
        </w:rPr>
        <w:t>本单位没有独立网站，</w:t>
      </w:r>
      <w:r>
        <w:rPr>
          <w:rFonts w:hint="eastAsia" w:ascii="Times New Roman" w:hAnsi="Times New Roman" w:eastAsia="仿宋_GB2312" w:cs="Times New Roman"/>
          <w:color w:val="auto"/>
          <w:sz w:val="32"/>
          <w:szCs w:val="32"/>
          <w:lang w:val="en-US" w:eastAsia="zh-CN"/>
        </w:rPr>
        <w:t>绩效自评结果将于决算报表一起在</w:t>
      </w:r>
      <w:r>
        <w:rPr>
          <w:rFonts w:hint="default" w:ascii="Times New Roman" w:hAnsi="Times New Roman" w:eastAsia="仿宋_GB2312" w:cs="Times New Roman"/>
          <w:color w:val="auto"/>
          <w:sz w:val="32"/>
          <w:szCs w:val="32"/>
          <w:lang w:val="en-US" w:eastAsia="zh-CN"/>
        </w:rPr>
        <w:t>芦淞区政府信息公开专栏中公开。</w:t>
      </w:r>
    </w:p>
    <w:p w14:paraId="533382CC">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p>
    <w:p w14:paraId="2E226A31">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 2023年度部门整体支出绩效评价基础数据表</w:t>
      </w:r>
    </w:p>
    <w:p w14:paraId="7CD3052D">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2023年度部门整体支出绩效自评表</w:t>
      </w:r>
    </w:p>
    <w:p w14:paraId="56114DDC">
      <w:pPr>
        <w:spacing w:after="120" w:afterLines="50" w:line="600" w:lineRule="exact"/>
        <w:rPr>
          <w:rFonts w:hint="eastAsia" w:ascii="黑体" w:hAnsi="黑体" w:eastAsia="黑体"/>
          <w:sz w:val="32"/>
          <w:szCs w:val="32"/>
        </w:rPr>
      </w:pPr>
      <w:r>
        <w:rPr>
          <w:rFonts w:ascii="Times New Roman" w:hAnsi="Times New Roman" w:eastAsia="黑体" w:cs="Times New Roman"/>
          <w:sz w:val="32"/>
          <w:szCs w:val="32"/>
        </w:rPr>
        <w:br w:type="page"/>
      </w:r>
      <w:r>
        <w:rPr>
          <w:rFonts w:ascii="黑体" w:hAnsi="黑体" w:eastAsia="黑体"/>
          <w:sz w:val="32"/>
          <w:szCs w:val="32"/>
        </w:rPr>
        <w:t>附件</w:t>
      </w:r>
      <w:r>
        <w:rPr>
          <w:rFonts w:hint="eastAsia" w:ascii="黑体" w:hAnsi="黑体" w:eastAsia="黑体"/>
          <w:sz w:val="32"/>
          <w:szCs w:val="32"/>
        </w:rPr>
        <w:t>2</w:t>
      </w:r>
    </w:p>
    <w:p w14:paraId="73FC5D6F">
      <w:pPr>
        <w:spacing w:after="120" w:afterLines="50" w:line="600" w:lineRule="exact"/>
        <w:jc w:val="center"/>
        <w:rPr>
          <w:rFonts w:hint="eastAsia" w:ascii="Times New Roman" w:hAnsi="Times New Roman" w:eastAsia="方正大标宋简体" w:cs="Times New Roman"/>
          <w:sz w:val="24"/>
        </w:rPr>
      </w:pPr>
      <w:r>
        <w:rPr>
          <w:rFonts w:hint="eastAsia" w:ascii="方正大标宋简体" w:eastAsia="方正大标宋简体"/>
          <w:sz w:val="36"/>
          <w:szCs w:val="36"/>
        </w:rPr>
        <w:t>2023年度部门（单位）整体支出绩效评价基础数据表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09DC2F0B">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7996EB1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7F4B760E">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052F9A10">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0E9DE313">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控制率</w:t>
            </w:r>
          </w:p>
        </w:tc>
      </w:tr>
      <w:tr w14:paraId="033DD177">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411893F7">
            <w:pPr>
              <w:widowControl/>
              <w:spacing w:line="360" w:lineRule="exact"/>
              <w:jc w:val="left"/>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7B94D554">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40</w:t>
            </w:r>
          </w:p>
        </w:tc>
        <w:tc>
          <w:tcPr>
            <w:tcW w:w="2240" w:type="dxa"/>
            <w:gridSpan w:val="2"/>
            <w:tcBorders>
              <w:top w:val="single" w:color="auto" w:sz="4" w:space="0"/>
              <w:left w:val="nil"/>
              <w:bottom w:val="single" w:color="auto" w:sz="4" w:space="0"/>
              <w:right w:val="single" w:color="auto" w:sz="4" w:space="0"/>
            </w:tcBorders>
            <w:noWrap w:val="0"/>
            <w:vAlign w:val="center"/>
          </w:tcPr>
          <w:p w14:paraId="1472E42C">
            <w:pPr>
              <w:widowControl/>
              <w:spacing w:line="360" w:lineRule="exact"/>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37</w:t>
            </w:r>
          </w:p>
        </w:tc>
        <w:tc>
          <w:tcPr>
            <w:tcW w:w="2041" w:type="dxa"/>
            <w:gridSpan w:val="2"/>
            <w:tcBorders>
              <w:top w:val="single" w:color="auto" w:sz="4" w:space="0"/>
              <w:left w:val="nil"/>
              <w:bottom w:val="single" w:color="auto" w:sz="4" w:space="0"/>
              <w:right w:val="single" w:color="auto" w:sz="4" w:space="0"/>
            </w:tcBorders>
            <w:noWrap w:val="0"/>
            <w:vAlign w:val="center"/>
          </w:tcPr>
          <w:p w14:paraId="3D879E3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92.5%</w:t>
            </w:r>
          </w:p>
        </w:tc>
      </w:tr>
      <w:tr w14:paraId="11A1639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8EE8FB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10BB4881">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2B8CBA0C">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2E9A3E8C">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2023年决算数</w:t>
            </w:r>
          </w:p>
        </w:tc>
      </w:tr>
      <w:tr w14:paraId="40B6822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80C672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594C26F">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2C1379D">
            <w:pPr>
              <w:widowControl/>
              <w:spacing w:line="360" w:lineRule="exact"/>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A67C2B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33A44FC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7D3233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956E59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3D6DB37">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9A8D7B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35A1F99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75FAB9F">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64F6681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9A65321">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AEE5F5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726F83A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CBEEB04">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04C7B85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EFF8D94">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4EE234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2471098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4B97E52">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E9DC78E">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4FFCB62">
            <w:pPr>
              <w:widowControl/>
              <w:spacing w:line="360" w:lineRule="exact"/>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2A37F42">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21A015D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BD8BC23">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2387CFE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1CBFB99">
            <w:pPr>
              <w:widowControl/>
              <w:spacing w:line="360" w:lineRule="exact"/>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FD48E98">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3394320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80A77DA">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429DFE7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1182.67</w:t>
            </w:r>
          </w:p>
        </w:tc>
        <w:tc>
          <w:tcPr>
            <w:tcW w:w="2240" w:type="dxa"/>
            <w:gridSpan w:val="2"/>
            <w:tcBorders>
              <w:top w:val="single" w:color="auto" w:sz="4" w:space="0"/>
              <w:left w:val="nil"/>
              <w:bottom w:val="single" w:color="auto" w:sz="4" w:space="0"/>
              <w:right w:val="single" w:color="000000" w:sz="4" w:space="0"/>
            </w:tcBorders>
            <w:noWrap w:val="0"/>
            <w:vAlign w:val="center"/>
          </w:tcPr>
          <w:p w14:paraId="3994A51B">
            <w:pPr>
              <w:widowControl/>
              <w:spacing w:line="36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B52EEF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1165.56</w:t>
            </w:r>
          </w:p>
        </w:tc>
      </w:tr>
      <w:tr w14:paraId="41B051E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AE0257F">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0EB3E0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1182.67</w:t>
            </w:r>
          </w:p>
        </w:tc>
        <w:tc>
          <w:tcPr>
            <w:tcW w:w="2240" w:type="dxa"/>
            <w:gridSpan w:val="2"/>
            <w:tcBorders>
              <w:top w:val="single" w:color="auto" w:sz="4" w:space="0"/>
              <w:left w:val="nil"/>
              <w:bottom w:val="single" w:color="auto" w:sz="4" w:space="0"/>
              <w:right w:val="single" w:color="000000" w:sz="4" w:space="0"/>
            </w:tcBorders>
            <w:noWrap w:val="0"/>
            <w:vAlign w:val="center"/>
          </w:tcPr>
          <w:p w14:paraId="1295C142">
            <w:pPr>
              <w:widowControl/>
              <w:spacing w:line="360" w:lineRule="exact"/>
              <w:jc w:val="center"/>
              <w:rPr>
                <w:rFonts w:hint="default" w:ascii="Times New Roman" w:hAnsi="Times New Roman" w:eastAsia="仿宋_GB2312" w:cs="Times New Roman"/>
                <w:color w:val="auto"/>
                <w:sz w:val="20"/>
                <w:szCs w:val="20"/>
                <w:lang w:val="en-US"/>
              </w:rPr>
            </w:pPr>
            <w:r>
              <w:rPr>
                <w:rFonts w:hint="eastAsia" w:ascii="Times New Roman" w:hAnsi="Times New Roman" w:eastAsia="仿宋_GB2312" w:cs="Times New Roman"/>
                <w:color w:val="auto"/>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1B23AD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1165.56</w:t>
            </w:r>
          </w:p>
        </w:tc>
      </w:tr>
      <w:tr w14:paraId="56CCA34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1A57933">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B4116B6">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0F8225D">
            <w:pPr>
              <w:widowControl/>
              <w:spacing w:line="360" w:lineRule="exact"/>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B4A7BEF">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34FF3E6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9877DF6">
            <w:pPr>
              <w:widowControl/>
              <w:spacing w:line="360" w:lineRule="exact"/>
              <w:jc w:val="center"/>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000000" w:sz="4" w:space="0"/>
            </w:tcBorders>
            <w:noWrap w:val="0"/>
            <w:vAlign w:val="center"/>
          </w:tcPr>
          <w:p w14:paraId="01B7D2A2">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A9F3795">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0D487B5">
            <w:pPr>
              <w:widowControl/>
              <w:spacing w:line="360" w:lineRule="exact"/>
              <w:jc w:val="center"/>
              <w:rPr>
                <w:rFonts w:hint="eastAsia" w:ascii="Times New Roman" w:hAnsi="Times New Roman" w:eastAsia="仿宋_GB2312" w:cs="Times New Roman"/>
                <w:sz w:val="20"/>
                <w:szCs w:val="20"/>
              </w:rPr>
            </w:pPr>
          </w:p>
        </w:tc>
      </w:tr>
      <w:tr w14:paraId="69B3A32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DE9B4B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466DEAB7">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BC914CC">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F12D16A">
            <w:pPr>
              <w:widowControl/>
              <w:spacing w:line="360" w:lineRule="exact"/>
              <w:jc w:val="center"/>
              <w:rPr>
                <w:rFonts w:hint="eastAsia" w:ascii="Times New Roman" w:hAnsi="Times New Roman" w:eastAsia="仿宋_GB2312" w:cs="Times New Roman"/>
                <w:sz w:val="20"/>
                <w:szCs w:val="20"/>
              </w:rPr>
            </w:pPr>
          </w:p>
        </w:tc>
      </w:tr>
      <w:tr w14:paraId="46C947E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A40D63F">
            <w:pPr>
              <w:widowControl/>
              <w:spacing w:line="360" w:lineRule="exact"/>
              <w:jc w:val="center"/>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000000" w:sz="4" w:space="0"/>
            </w:tcBorders>
            <w:noWrap w:val="0"/>
            <w:vAlign w:val="center"/>
          </w:tcPr>
          <w:p w14:paraId="4AE11461">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F90B226">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DA3F318">
            <w:pPr>
              <w:widowControl/>
              <w:spacing w:line="360" w:lineRule="exact"/>
              <w:jc w:val="center"/>
              <w:rPr>
                <w:rFonts w:hint="eastAsia" w:ascii="Times New Roman" w:hAnsi="Times New Roman" w:eastAsia="仿宋_GB2312" w:cs="Times New Roman"/>
                <w:sz w:val="20"/>
                <w:szCs w:val="20"/>
              </w:rPr>
            </w:pPr>
          </w:p>
        </w:tc>
      </w:tr>
      <w:tr w14:paraId="5D1BAD6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566002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3F4D17E">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86.58</w:t>
            </w:r>
          </w:p>
        </w:tc>
        <w:tc>
          <w:tcPr>
            <w:tcW w:w="2240" w:type="dxa"/>
            <w:gridSpan w:val="2"/>
            <w:tcBorders>
              <w:top w:val="single" w:color="auto" w:sz="4" w:space="0"/>
              <w:left w:val="nil"/>
              <w:bottom w:val="single" w:color="auto" w:sz="4" w:space="0"/>
              <w:right w:val="single" w:color="000000" w:sz="4" w:space="0"/>
            </w:tcBorders>
            <w:noWrap w:val="0"/>
            <w:vAlign w:val="center"/>
          </w:tcPr>
          <w:p w14:paraId="7ED6DB1C">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86.58</w:t>
            </w:r>
          </w:p>
        </w:tc>
        <w:tc>
          <w:tcPr>
            <w:tcW w:w="2041" w:type="dxa"/>
            <w:gridSpan w:val="2"/>
            <w:tcBorders>
              <w:top w:val="single" w:color="auto" w:sz="4" w:space="0"/>
              <w:left w:val="nil"/>
              <w:bottom w:val="single" w:color="auto" w:sz="4" w:space="0"/>
              <w:right w:val="single" w:color="000000" w:sz="4" w:space="0"/>
            </w:tcBorders>
            <w:noWrap w:val="0"/>
            <w:vAlign w:val="center"/>
          </w:tcPr>
          <w:p w14:paraId="2491A77A">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86.58</w:t>
            </w:r>
          </w:p>
        </w:tc>
      </w:tr>
      <w:tr w14:paraId="202380C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BB6CAB4">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3796847">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0.28</w:t>
            </w:r>
          </w:p>
        </w:tc>
        <w:tc>
          <w:tcPr>
            <w:tcW w:w="2240" w:type="dxa"/>
            <w:gridSpan w:val="2"/>
            <w:tcBorders>
              <w:top w:val="single" w:color="auto" w:sz="4" w:space="0"/>
              <w:left w:val="nil"/>
              <w:bottom w:val="single" w:color="auto" w:sz="4" w:space="0"/>
              <w:right w:val="single" w:color="000000" w:sz="4" w:space="0"/>
            </w:tcBorders>
            <w:noWrap w:val="0"/>
            <w:vAlign w:val="center"/>
          </w:tcPr>
          <w:p w14:paraId="4CA68292">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0.28</w:t>
            </w:r>
          </w:p>
        </w:tc>
        <w:tc>
          <w:tcPr>
            <w:tcW w:w="2041" w:type="dxa"/>
            <w:gridSpan w:val="2"/>
            <w:tcBorders>
              <w:top w:val="single" w:color="auto" w:sz="4" w:space="0"/>
              <w:left w:val="nil"/>
              <w:bottom w:val="single" w:color="auto" w:sz="4" w:space="0"/>
              <w:right w:val="single" w:color="000000" w:sz="4" w:space="0"/>
            </w:tcBorders>
            <w:noWrap w:val="0"/>
            <w:vAlign w:val="center"/>
          </w:tcPr>
          <w:p w14:paraId="53D07AC2">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0.28</w:t>
            </w:r>
          </w:p>
        </w:tc>
      </w:tr>
      <w:tr w14:paraId="1625ED9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6820FAD">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43815185">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30.3</w:t>
            </w:r>
          </w:p>
        </w:tc>
        <w:tc>
          <w:tcPr>
            <w:tcW w:w="2240" w:type="dxa"/>
            <w:gridSpan w:val="2"/>
            <w:tcBorders>
              <w:top w:val="single" w:color="auto" w:sz="4" w:space="0"/>
              <w:left w:val="nil"/>
              <w:bottom w:val="single" w:color="auto" w:sz="4" w:space="0"/>
              <w:right w:val="single" w:color="000000" w:sz="4" w:space="0"/>
            </w:tcBorders>
            <w:noWrap w:val="0"/>
            <w:vAlign w:val="center"/>
          </w:tcPr>
          <w:p w14:paraId="2DFC2B25">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30.3</w:t>
            </w:r>
          </w:p>
        </w:tc>
        <w:tc>
          <w:tcPr>
            <w:tcW w:w="2041" w:type="dxa"/>
            <w:gridSpan w:val="2"/>
            <w:tcBorders>
              <w:top w:val="single" w:color="auto" w:sz="4" w:space="0"/>
              <w:left w:val="nil"/>
              <w:bottom w:val="single" w:color="auto" w:sz="4" w:space="0"/>
              <w:right w:val="single" w:color="000000" w:sz="4" w:space="0"/>
            </w:tcBorders>
            <w:noWrap w:val="0"/>
            <w:vAlign w:val="center"/>
          </w:tcPr>
          <w:p w14:paraId="60A032F3">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30.3</w:t>
            </w:r>
          </w:p>
        </w:tc>
      </w:tr>
      <w:tr w14:paraId="77ABACC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181DE34">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2014D5EC">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2AA0F58">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D16A661">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r>
      <w:tr w14:paraId="5EDDDD0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880CB43">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0D679120">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53B5251F">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256</w:t>
            </w:r>
          </w:p>
        </w:tc>
        <w:tc>
          <w:tcPr>
            <w:tcW w:w="2041" w:type="dxa"/>
            <w:gridSpan w:val="2"/>
            <w:tcBorders>
              <w:top w:val="single" w:color="auto" w:sz="4" w:space="0"/>
              <w:left w:val="nil"/>
              <w:bottom w:val="single" w:color="auto" w:sz="4" w:space="0"/>
              <w:right w:val="single" w:color="000000" w:sz="4" w:space="0"/>
            </w:tcBorders>
            <w:noWrap w:val="0"/>
            <w:vAlign w:val="center"/>
          </w:tcPr>
          <w:p w14:paraId="30C56581">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256</w:t>
            </w:r>
          </w:p>
        </w:tc>
      </w:tr>
      <w:tr w14:paraId="74DB5E3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EB766BA">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2C6E1930">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40806D42">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89AA8E1">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r>
      <w:tr w14:paraId="13B39F86">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424E14B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14:paraId="663DBB4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noWrap w:val="0"/>
            <w:vAlign w:val="center"/>
          </w:tcPr>
          <w:p w14:paraId="7E7C50CD">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14:paraId="429FF312">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4BF8A440">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26D80987">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5AAD2858">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5E89A61E">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31BFE873">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投资概算控制率</w:t>
            </w:r>
          </w:p>
        </w:tc>
      </w:tr>
      <w:tr w14:paraId="36AB8715">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7692FE1E">
            <w:pPr>
              <w:widowControl/>
              <w:spacing w:line="360" w:lineRule="exact"/>
              <w:jc w:val="left"/>
              <w:rPr>
                <w:rFonts w:hint="eastAsia"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3A519E9B">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849" w:type="dxa"/>
            <w:tcBorders>
              <w:top w:val="nil"/>
              <w:left w:val="nil"/>
              <w:bottom w:val="single" w:color="auto" w:sz="4" w:space="0"/>
              <w:right w:val="single" w:color="auto" w:sz="4" w:space="0"/>
            </w:tcBorders>
            <w:noWrap w:val="0"/>
            <w:vAlign w:val="center"/>
          </w:tcPr>
          <w:p w14:paraId="33C631B0">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1129" w:type="dxa"/>
            <w:tcBorders>
              <w:top w:val="nil"/>
              <w:left w:val="nil"/>
              <w:bottom w:val="single" w:color="auto" w:sz="4" w:space="0"/>
              <w:right w:val="single" w:color="auto" w:sz="4" w:space="0"/>
            </w:tcBorders>
            <w:noWrap w:val="0"/>
            <w:vAlign w:val="center"/>
          </w:tcPr>
          <w:p w14:paraId="2157501B">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1111" w:type="dxa"/>
            <w:tcBorders>
              <w:top w:val="nil"/>
              <w:left w:val="nil"/>
              <w:bottom w:val="single" w:color="auto" w:sz="4" w:space="0"/>
              <w:right w:val="single" w:color="auto" w:sz="4" w:space="0"/>
            </w:tcBorders>
            <w:noWrap w:val="0"/>
            <w:vAlign w:val="center"/>
          </w:tcPr>
          <w:p w14:paraId="3A395F72">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1081" w:type="dxa"/>
            <w:tcBorders>
              <w:top w:val="nil"/>
              <w:left w:val="nil"/>
              <w:bottom w:val="single" w:color="auto" w:sz="4" w:space="0"/>
              <w:right w:val="single" w:color="auto" w:sz="4" w:space="0"/>
            </w:tcBorders>
            <w:noWrap w:val="0"/>
            <w:vAlign w:val="center"/>
          </w:tcPr>
          <w:p w14:paraId="3CEB8544">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960" w:type="dxa"/>
            <w:tcBorders>
              <w:top w:val="nil"/>
              <w:left w:val="nil"/>
              <w:bottom w:val="single" w:color="auto" w:sz="4" w:space="0"/>
              <w:right w:val="single" w:color="auto" w:sz="4" w:space="0"/>
            </w:tcBorders>
            <w:noWrap w:val="0"/>
            <w:vAlign w:val="center"/>
          </w:tcPr>
          <w:p w14:paraId="18DFE36E">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740F50A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7D37D0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53B7BD6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严格执行“厉行节约、反对浪费”的规定</w:t>
            </w:r>
            <w:r>
              <w:rPr>
                <w:rFonts w:hint="eastAsia" w:ascii="Times New Roman" w:hAnsi="Times New Roman" w:eastAsia="仿宋_GB2312" w:cs="Times New Roman"/>
                <w:sz w:val="20"/>
                <w:szCs w:val="20"/>
              </w:rPr>
              <w:t>　</w:t>
            </w:r>
          </w:p>
        </w:tc>
      </w:tr>
    </w:tbl>
    <w:p w14:paraId="73A5111C">
      <w:pPr>
        <w:widowControl/>
        <w:spacing w:line="400" w:lineRule="exact"/>
        <w:jc w:val="left"/>
        <w:rPr>
          <w:rFonts w:hint="eastAsia" w:ascii="Times New Roman" w:hAnsi="Times New Roman" w:eastAsia="仿宋_GB2312" w:cs="Times New Roman"/>
          <w:sz w:val="22"/>
        </w:rPr>
      </w:pPr>
      <w:r>
        <w:rPr>
          <w:rFonts w:hint="eastAsia" w:ascii="Times New Roman" w:hAnsi="Times New Roman" w:eastAsia="仿宋_GB2312" w:cs="Times New Roman"/>
          <w:sz w:val="22"/>
        </w:rPr>
        <w:t>说明：</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项目支出</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需要填报基本支出以外的所有项目支出情况，</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公用经费</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rPr>
        <w:t>填报基本支出中的一般商品和服务支出。</w:t>
      </w:r>
    </w:p>
    <w:p w14:paraId="42E7B183">
      <w:pPr>
        <w:tabs>
          <w:tab w:val="left" w:pos="7560"/>
        </w:tabs>
        <w:adjustRightInd w:val="0"/>
        <w:snapToGrid w:val="0"/>
        <w:spacing w:line="56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22"/>
        </w:rPr>
        <w:t>填表人：</w:t>
      </w:r>
      <w:r>
        <w:rPr>
          <w:rFonts w:hint="eastAsia" w:ascii="Times New Roman" w:hAnsi="Times New Roman" w:eastAsia="仿宋_GB2312" w:cs="Times New Roman"/>
          <w:sz w:val="22"/>
          <w:lang w:eastAsia="zh-CN"/>
        </w:rPr>
        <w:t>杨佳艺</w:t>
      </w:r>
      <w:r>
        <w:rPr>
          <w:rFonts w:hint="eastAsia" w:ascii="Times New Roman" w:hAnsi="Times New Roman" w:eastAsia="仿宋_GB2312" w:cs="Times New Roman"/>
          <w:sz w:val="22"/>
        </w:rPr>
        <w:t xml:space="preserve">  填报日期：</w:t>
      </w:r>
      <w:r>
        <w:rPr>
          <w:rFonts w:hint="eastAsia" w:eastAsia="仿宋_GB2312" w:cs="Times New Roman"/>
          <w:sz w:val="22"/>
          <w:lang w:val="en-US" w:eastAsia="zh-CN"/>
        </w:rPr>
        <w:t xml:space="preserve">         </w:t>
      </w:r>
      <w:r>
        <w:rPr>
          <w:rFonts w:hint="eastAsia" w:ascii="Times New Roman" w:hAnsi="Times New Roman" w:eastAsia="仿宋_GB2312" w:cs="Times New Roman"/>
          <w:sz w:val="22"/>
        </w:rPr>
        <w:t xml:space="preserve">  联系电话：28511857   单位负责人签字：</w:t>
      </w:r>
      <w:r>
        <w:rPr>
          <w:rFonts w:hint="eastAsia" w:ascii="Times New Roman" w:hAnsi="Times New Roman" w:eastAsia="仿宋_GB2312" w:cs="Times New Roman"/>
          <w:sz w:val="22"/>
          <w:lang w:eastAsia="zh-CN"/>
        </w:rPr>
        <w:t>李锋</w:t>
      </w:r>
    </w:p>
    <w:p w14:paraId="09B64483">
      <w:pPr>
        <w:widowControl/>
        <w:spacing w:line="400" w:lineRule="exact"/>
        <w:jc w:val="left"/>
        <w:rPr>
          <w:rFonts w:hint="eastAsia" w:ascii="黑体" w:hAnsi="黑体" w:eastAsia="黑体"/>
          <w:sz w:val="32"/>
          <w:szCs w:val="32"/>
        </w:rPr>
      </w:pPr>
      <w:r>
        <w:rPr>
          <w:rFonts w:ascii="Times New Roman" w:hAnsi="Times New Roman" w:eastAsia="黑体" w:cs="Times New Roman"/>
          <w:sz w:val="32"/>
          <w:szCs w:val="32"/>
        </w:rPr>
        <w:br w:type="page"/>
      </w:r>
      <w:r>
        <w:rPr>
          <w:rFonts w:ascii="黑体" w:hAnsi="黑体" w:eastAsia="黑体"/>
          <w:sz w:val="32"/>
          <w:szCs w:val="32"/>
        </w:rPr>
        <w:t>附件</w:t>
      </w:r>
      <w:r>
        <w:rPr>
          <w:rFonts w:hint="eastAsia" w:ascii="黑体" w:hAnsi="黑体" w:eastAsia="黑体"/>
          <w:sz w:val="32"/>
          <w:szCs w:val="32"/>
        </w:rPr>
        <w:t>3</w:t>
      </w:r>
    </w:p>
    <w:p w14:paraId="50D862A6">
      <w:pPr>
        <w:widowControl/>
        <w:spacing w:after="120" w:afterLines="50"/>
        <w:jc w:val="center"/>
        <w:rPr>
          <w:rFonts w:hint="eastAsia" w:ascii="Times New Roman" w:hAnsi="Times New Roman" w:eastAsia="方正大标宋简体" w:cs="Times New Roman"/>
          <w:color w:val="000000"/>
          <w:sz w:val="36"/>
          <w:szCs w:val="36"/>
        </w:rPr>
      </w:pPr>
      <w:r>
        <w:rPr>
          <w:rFonts w:hint="eastAsia" w:ascii="方正大标宋简体" w:eastAsia="方正大标宋简体"/>
          <w:color w:val="000000"/>
          <w:sz w:val="36"/>
          <w:szCs w:val="36"/>
        </w:rPr>
        <w:t>2023年度部门（单位）整体支出绩效自评表</w:t>
      </w:r>
    </w:p>
    <w:tbl>
      <w:tblPr>
        <w:tblStyle w:val="7"/>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2B9A66A4">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14:paraId="08B0494A">
            <w:pPr>
              <w:widowControl/>
              <w:spacing w:line="240" w:lineRule="exact"/>
              <w:jc w:val="center"/>
              <w:rPr>
                <w:rFonts w:hint="eastAsia"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区</w:t>
            </w:r>
            <w:r>
              <w:rPr>
                <w:rFonts w:hint="eastAsia" w:ascii="Times New Roman" w:hAnsi="Times New Roman" w:eastAsia="仿宋_GB2312" w:cs="Times New Roman"/>
                <w:color w:val="000000"/>
                <w:sz w:val="20"/>
                <w:szCs w:val="20"/>
              </w:rPr>
              <w:t>级预算部门（单位）名称</w:t>
            </w:r>
          </w:p>
        </w:tc>
        <w:tc>
          <w:tcPr>
            <w:tcW w:w="6885" w:type="dxa"/>
            <w:gridSpan w:val="6"/>
            <w:tcBorders>
              <w:top w:val="single" w:color="auto" w:sz="4" w:space="0"/>
              <w:left w:val="nil"/>
              <w:bottom w:val="single" w:color="auto" w:sz="4" w:space="0"/>
              <w:right w:val="single" w:color="auto" w:sz="4" w:space="0"/>
            </w:tcBorders>
            <w:noWrap w:val="0"/>
            <w:vAlign w:val="center"/>
          </w:tcPr>
          <w:p w14:paraId="6124688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株洲市芦淞区龙泉街道办事处</w:t>
            </w:r>
          </w:p>
        </w:tc>
      </w:tr>
      <w:tr w14:paraId="3CE8DBE7">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noWrap w:val="0"/>
            <w:vAlign w:val="center"/>
          </w:tcPr>
          <w:p w14:paraId="7D3F111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14:paraId="4EAFA45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14:paraId="60BB3EB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7621DD2A">
            <w:pPr>
              <w:spacing w:line="240" w:lineRule="exact"/>
              <w:jc w:val="center"/>
              <w:rPr>
                <w:rFonts w:hint="eastAsia"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14:paraId="0133B7FD">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noWrap w:val="0"/>
            <w:vAlign w:val="center"/>
          </w:tcPr>
          <w:p w14:paraId="52DA6BA5">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14:paraId="09D69F43">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14:paraId="439449C8">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5BCB706D">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14:paraId="5147E87C">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14:paraId="3DC06EAF">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noWrap w:val="0"/>
            <w:vAlign w:val="center"/>
          </w:tcPr>
          <w:p w14:paraId="7CF75C1D">
            <w:pPr>
              <w:widowControl/>
              <w:spacing w:line="240" w:lineRule="exact"/>
              <w:jc w:val="center"/>
              <w:rPr>
                <w:rFonts w:hint="eastAsia"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61DF036F">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14:paraId="140DF894">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573.38</w:t>
            </w:r>
          </w:p>
        </w:tc>
        <w:tc>
          <w:tcPr>
            <w:tcW w:w="1311" w:type="dxa"/>
            <w:tcBorders>
              <w:top w:val="nil"/>
              <w:left w:val="nil"/>
              <w:bottom w:val="single" w:color="auto" w:sz="4" w:space="0"/>
              <w:right w:val="single" w:color="auto" w:sz="4" w:space="0"/>
            </w:tcBorders>
            <w:noWrap w:val="0"/>
            <w:vAlign w:val="center"/>
          </w:tcPr>
          <w:p w14:paraId="12B8537A">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2673.41</w:t>
            </w:r>
          </w:p>
        </w:tc>
        <w:tc>
          <w:tcPr>
            <w:tcW w:w="1269" w:type="dxa"/>
            <w:tcBorders>
              <w:top w:val="nil"/>
              <w:left w:val="nil"/>
              <w:bottom w:val="single" w:color="auto" w:sz="4" w:space="0"/>
              <w:right w:val="single" w:color="auto" w:sz="4" w:space="0"/>
            </w:tcBorders>
            <w:noWrap w:val="0"/>
            <w:vAlign w:val="center"/>
          </w:tcPr>
          <w:p w14:paraId="083DB0AF">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2673.41</w:t>
            </w:r>
          </w:p>
        </w:tc>
        <w:tc>
          <w:tcPr>
            <w:tcW w:w="716" w:type="dxa"/>
            <w:tcBorders>
              <w:top w:val="nil"/>
              <w:left w:val="nil"/>
              <w:bottom w:val="single" w:color="auto" w:sz="4" w:space="0"/>
              <w:right w:val="single" w:color="auto" w:sz="4" w:space="0"/>
            </w:tcBorders>
            <w:noWrap w:val="0"/>
            <w:vAlign w:val="center"/>
          </w:tcPr>
          <w:p w14:paraId="6EC1F2EC">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873" w:type="dxa"/>
            <w:tcBorders>
              <w:top w:val="nil"/>
              <w:left w:val="nil"/>
              <w:bottom w:val="single" w:color="auto" w:sz="4" w:space="0"/>
              <w:right w:val="single" w:color="auto" w:sz="4" w:space="0"/>
            </w:tcBorders>
            <w:noWrap w:val="0"/>
            <w:vAlign w:val="center"/>
          </w:tcPr>
          <w:p w14:paraId="4535096E">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14:paraId="1680C2A2">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14:paraId="49BCF812">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noWrap w:val="0"/>
            <w:vAlign w:val="center"/>
          </w:tcPr>
          <w:p w14:paraId="069A22FD">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69310A3C">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14:paraId="0393E230">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按支出性质分：</w:t>
            </w:r>
          </w:p>
        </w:tc>
      </w:tr>
      <w:tr w14:paraId="3A9DC068">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noWrap w:val="0"/>
            <w:vAlign w:val="center"/>
          </w:tcPr>
          <w:p w14:paraId="5AB1952B">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505A2F0E">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2673.41</w:t>
            </w:r>
          </w:p>
        </w:tc>
        <w:tc>
          <w:tcPr>
            <w:tcW w:w="4304" w:type="dxa"/>
            <w:gridSpan w:val="4"/>
            <w:tcBorders>
              <w:top w:val="nil"/>
              <w:left w:val="nil"/>
              <w:bottom w:val="single" w:color="auto" w:sz="4" w:space="0"/>
              <w:right w:val="single" w:color="auto" w:sz="4" w:space="0"/>
            </w:tcBorders>
            <w:noWrap w:val="0"/>
            <w:vAlign w:val="center"/>
          </w:tcPr>
          <w:p w14:paraId="19CA1070">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1507.84</w:t>
            </w:r>
          </w:p>
        </w:tc>
      </w:tr>
      <w:tr w14:paraId="29859997">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noWrap w:val="0"/>
            <w:vAlign w:val="center"/>
          </w:tcPr>
          <w:p w14:paraId="1B83DE0D">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659DD01A">
            <w:pPr>
              <w:widowControl/>
              <w:spacing w:line="240" w:lineRule="exact"/>
              <w:ind w:firstLine="800" w:firstLineChars="400"/>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政府性基金拨款：</w:t>
            </w:r>
            <w:r>
              <w:rPr>
                <w:rFonts w:hint="eastAsia" w:ascii="Times New Roman" w:hAnsi="Times New Roman" w:eastAsia="仿宋_GB2312" w:cs="Times New Roman"/>
                <w:color w:val="000000"/>
                <w:sz w:val="20"/>
                <w:szCs w:val="20"/>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54D553F3">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1165.56</w:t>
            </w:r>
          </w:p>
        </w:tc>
      </w:tr>
      <w:tr w14:paraId="71064957">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noWrap w:val="0"/>
            <w:vAlign w:val="center"/>
          </w:tcPr>
          <w:p w14:paraId="6ED02A34">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7093480D">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纳入专户管理的非税收入拨款：</w:t>
            </w:r>
            <w:r>
              <w:rPr>
                <w:rFonts w:hint="eastAsia" w:ascii="Times New Roman" w:hAnsi="Times New Roman" w:eastAsia="仿宋_GB2312" w:cs="Times New Roman"/>
                <w:color w:val="000000"/>
                <w:sz w:val="20"/>
                <w:szCs w:val="20"/>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6632E9D2">
            <w:pPr>
              <w:widowControl/>
              <w:spacing w:line="240" w:lineRule="exact"/>
              <w:ind w:firstLine="400" w:firstLineChars="200"/>
              <w:jc w:val="left"/>
              <w:rPr>
                <w:rFonts w:hint="eastAsia" w:ascii="Times New Roman" w:hAnsi="Times New Roman" w:eastAsia="仿宋_GB2312" w:cs="Times New Roman"/>
                <w:color w:val="000000"/>
                <w:sz w:val="20"/>
                <w:szCs w:val="20"/>
                <w:lang w:val="en-US" w:eastAsia="zh-CN"/>
              </w:rPr>
            </w:pPr>
          </w:p>
        </w:tc>
      </w:tr>
      <w:tr w14:paraId="75C312B0">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0C5B2DC9">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09F3A360">
            <w:pPr>
              <w:widowControl/>
              <w:spacing w:line="240" w:lineRule="exact"/>
              <w:ind w:firstLine="1400" w:firstLineChars="700"/>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其他资金：</w:t>
            </w:r>
            <w:r>
              <w:rPr>
                <w:rFonts w:hint="eastAsia" w:ascii="Times New Roman" w:hAnsi="Times New Roman" w:eastAsia="仿宋_GB2312" w:cs="Times New Roman"/>
                <w:color w:val="000000"/>
                <w:sz w:val="20"/>
                <w:szCs w:val="20"/>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7323CD9C">
            <w:pPr>
              <w:widowControl/>
              <w:spacing w:line="240" w:lineRule="exact"/>
              <w:ind w:firstLine="400" w:firstLineChars="200"/>
              <w:jc w:val="left"/>
              <w:rPr>
                <w:rFonts w:hint="eastAsia" w:ascii="Times New Roman" w:hAnsi="Times New Roman" w:eastAsia="仿宋_GB2312" w:cs="Times New Roman"/>
                <w:color w:val="000000"/>
                <w:sz w:val="20"/>
                <w:szCs w:val="20"/>
                <w:lang w:val="en-US" w:eastAsia="zh-CN"/>
              </w:rPr>
            </w:pPr>
          </w:p>
        </w:tc>
      </w:tr>
      <w:tr w14:paraId="5680A968">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B7D33C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7E39C40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7A50194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实际完成情况</w:t>
            </w:r>
          </w:p>
        </w:tc>
      </w:tr>
      <w:tr w14:paraId="125AC993">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7B238D2B">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14:paraId="0526C82A">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保障办事处整体</w:t>
            </w:r>
            <w:r>
              <w:rPr>
                <w:rFonts w:hint="eastAsia" w:ascii="Times New Roman" w:hAnsi="Times New Roman" w:eastAsia="仿宋_GB2312" w:cs="Times New Roman"/>
                <w:color w:val="000000"/>
                <w:sz w:val="20"/>
                <w:szCs w:val="20"/>
                <w:lang w:eastAsia="zh-CN"/>
              </w:rPr>
              <w:t>正常</w:t>
            </w:r>
            <w:r>
              <w:rPr>
                <w:rFonts w:hint="eastAsia" w:ascii="Times New Roman" w:hAnsi="Times New Roman" w:eastAsia="仿宋_GB2312" w:cs="Times New Roman"/>
                <w:color w:val="000000"/>
                <w:sz w:val="20"/>
                <w:szCs w:val="20"/>
              </w:rPr>
              <w:t>运行</w:t>
            </w:r>
            <w:r>
              <w:rPr>
                <w:rFonts w:hint="eastAsia" w:ascii="Times New Roman" w:hAnsi="Times New Roman" w:eastAsia="仿宋_GB2312" w:cs="Times New Roman"/>
                <w:color w:val="000000"/>
                <w:sz w:val="20"/>
                <w:szCs w:val="20"/>
                <w:lang w:eastAsia="zh-CN"/>
              </w:rPr>
              <w:t>和各项工作顺利开展</w:t>
            </w:r>
          </w:p>
        </w:tc>
        <w:tc>
          <w:tcPr>
            <w:tcW w:w="4304" w:type="dxa"/>
            <w:gridSpan w:val="4"/>
            <w:tcBorders>
              <w:top w:val="single" w:color="auto" w:sz="4" w:space="0"/>
              <w:left w:val="nil"/>
              <w:bottom w:val="single" w:color="auto" w:sz="4" w:space="0"/>
              <w:right w:val="single" w:color="auto" w:sz="4" w:space="0"/>
            </w:tcBorders>
            <w:noWrap w:val="0"/>
            <w:vAlign w:val="center"/>
          </w:tcPr>
          <w:p w14:paraId="0073C06D">
            <w:pPr>
              <w:widowControl/>
              <w:spacing w:line="240" w:lineRule="exact"/>
              <w:jc w:val="left"/>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b w:val="0"/>
                <w:bCs w:val="0"/>
                <w:i w:val="0"/>
                <w:caps w:val="0"/>
                <w:color w:val="000000"/>
                <w:spacing w:val="0"/>
                <w:kern w:val="2"/>
                <w:sz w:val="20"/>
                <w:szCs w:val="20"/>
                <w:u w:val="none"/>
                <w:lang w:val="en-US" w:eastAsia="zh-CN" w:bidi="ar"/>
              </w:rPr>
              <w:t>解决群众急难愁盼问题</w:t>
            </w:r>
            <w:r>
              <w:rPr>
                <w:rFonts w:hint="eastAsia" w:ascii="Times New Roman" w:hAnsi="Times New Roman" w:eastAsia="仿宋_GB2312" w:cs="Times New Roman"/>
                <w:color w:val="000000"/>
                <w:sz w:val="20"/>
                <w:szCs w:val="20"/>
                <w:u w:val="none"/>
                <w:lang w:eastAsia="zh-CN"/>
              </w:rPr>
              <w:t>、经营性自建房专项安全整治、化解房地产领域风险、调解信访问题、</w:t>
            </w:r>
            <w:r>
              <w:rPr>
                <w:rFonts w:hint="eastAsia" w:ascii="Times New Roman" w:hAnsi="Times New Roman" w:eastAsia="仿宋_GB2312" w:cs="Times New Roman"/>
                <w:color w:val="000000"/>
                <w:kern w:val="2"/>
                <w:sz w:val="20"/>
                <w:szCs w:val="20"/>
                <w:u w:val="none"/>
                <w:lang w:val="en-US" w:eastAsia="zh-CN" w:bidi="ar-SA"/>
              </w:rPr>
              <w:t>完成龙泉储备地块的签约拆除工作。</w:t>
            </w:r>
          </w:p>
        </w:tc>
      </w:tr>
      <w:tr w14:paraId="303CFE79">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D718A2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14:paraId="41B9FCA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14:paraId="5D4F905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14:paraId="5F29AB0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14:paraId="04C32390">
            <w:pPr>
              <w:widowControl/>
              <w:spacing w:line="240" w:lineRule="exact"/>
              <w:jc w:val="center"/>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0CEDA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198F17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40037F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B8EA4FB">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A273BFC">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758ABF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8822E2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687D189">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14:paraId="1FFC952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6F0AAE">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D381E9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14:paraId="3B358A0C">
            <w:pPr>
              <w:widowControl/>
              <w:spacing w:line="240" w:lineRule="exact"/>
              <w:jc w:val="center"/>
              <w:rPr>
                <w:rFonts w:hint="eastAsia" w:ascii="Times New Roman" w:hAnsi="Times New Roman" w:eastAsia="仿宋_GB2312" w:cs="Times New Roman"/>
                <w:color w:val="000000"/>
                <w:sz w:val="20"/>
                <w:szCs w:val="20"/>
              </w:rPr>
            </w:pPr>
          </w:p>
          <w:p w14:paraId="5C95211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(40分)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EF33C5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4A7FF86">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解决群众问题数量</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38D2E7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400个</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684AC0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400个</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73B72D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163A5E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A1198A0">
            <w:pPr>
              <w:widowControl/>
              <w:spacing w:line="240" w:lineRule="exact"/>
              <w:jc w:val="left"/>
              <w:rPr>
                <w:rFonts w:hint="eastAsia" w:ascii="Times New Roman" w:hAnsi="Times New Roman" w:eastAsia="仿宋_GB2312" w:cs="Times New Roman"/>
                <w:color w:val="000000"/>
                <w:sz w:val="20"/>
                <w:szCs w:val="20"/>
              </w:rPr>
            </w:pPr>
          </w:p>
        </w:tc>
      </w:tr>
      <w:tr w14:paraId="05050BE1">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B43C8E6">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C2E57D0">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49A27F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1C71306">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解决问题到位率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CF7467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F60DF1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=97%</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F3415C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AD5244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4407AF9">
            <w:pPr>
              <w:widowControl/>
              <w:spacing w:line="240" w:lineRule="exact"/>
              <w:jc w:val="left"/>
              <w:rPr>
                <w:rFonts w:hint="eastAsia" w:ascii="Times New Roman" w:hAnsi="Times New Roman" w:eastAsia="仿宋_GB2312" w:cs="Times New Roman"/>
                <w:color w:val="000000"/>
                <w:sz w:val="20"/>
                <w:szCs w:val="20"/>
              </w:rPr>
            </w:pPr>
          </w:p>
        </w:tc>
      </w:tr>
      <w:tr w14:paraId="0CB83919">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BD3CD1F">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CB702AD">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8DB438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CB5DBFF">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解决问题及时性</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03879A9">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是否及时</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66A5215">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及时</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33FC51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C3B3EA3">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426BEA0">
            <w:pPr>
              <w:widowControl/>
              <w:spacing w:line="240" w:lineRule="exact"/>
              <w:jc w:val="left"/>
              <w:rPr>
                <w:rFonts w:hint="eastAsia" w:ascii="Times New Roman" w:hAnsi="Times New Roman" w:eastAsia="仿宋_GB2312" w:cs="Times New Roman"/>
                <w:color w:val="000000"/>
                <w:sz w:val="20"/>
                <w:szCs w:val="20"/>
              </w:rPr>
            </w:pPr>
          </w:p>
        </w:tc>
      </w:tr>
      <w:tr w14:paraId="200C8594">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E4260E2">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B12EC42">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14:paraId="7C02B2F6">
            <w:pPr>
              <w:widowControl/>
              <w:spacing w:line="240" w:lineRule="exact"/>
              <w:jc w:val="left"/>
              <w:rPr>
                <w:rFonts w:hint="eastAsia" w:ascii="Times New Roman" w:hAnsi="Times New Roman" w:eastAsia="仿宋_GB2312" w:cs="Times New Roman"/>
                <w:color w:val="000000"/>
                <w:sz w:val="20"/>
                <w:szCs w:val="20"/>
              </w:rPr>
            </w:pPr>
          </w:p>
          <w:p w14:paraId="1CA4C700">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14:paraId="3D792AFC">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0A73A3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14:paraId="156DEC5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F534B13">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辖区营商环境</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98F6E06">
            <w:pPr>
              <w:widowControl/>
              <w:spacing w:line="240" w:lineRule="exact"/>
              <w:jc w:val="center"/>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是否优化</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911C993">
            <w:pPr>
              <w:widowControl/>
              <w:spacing w:line="240" w:lineRule="exact"/>
              <w:jc w:val="center"/>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优化</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BD7457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59496F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38EBB93">
            <w:pPr>
              <w:widowControl/>
              <w:spacing w:line="240" w:lineRule="exact"/>
              <w:jc w:val="left"/>
              <w:rPr>
                <w:rFonts w:hint="eastAsia" w:ascii="Times New Roman" w:hAnsi="Times New Roman" w:eastAsia="仿宋_GB2312" w:cs="Times New Roman"/>
                <w:color w:val="000000"/>
                <w:sz w:val="20"/>
                <w:szCs w:val="20"/>
              </w:rPr>
            </w:pPr>
          </w:p>
        </w:tc>
      </w:tr>
      <w:tr w14:paraId="5AE2332F">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AAA864">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B8F171B">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708FC7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14:paraId="321424F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B2FA0B7">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整治经营性自建房安全隐患</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2BFBAD2">
            <w:pPr>
              <w:widowControl/>
              <w:spacing w:line="240" w:lineRule="exact"/>
              <w:jc w:val="center"/>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隐患是否消除</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2CC961C">
            <w:pPr>
              <w:widowControl/>
              <w:spacing w:line="240" w:lineRule="exact"/>
              <w:jc w:val="center"/>
              <w:rPr>
                <w:rFonts w:hint="eastAsia" w:ascii="Times New Roman" w:hAnsi="Times New Roman" w:eastAsia="仿宋_GB2312" w:cs="Times New Roman"/>
                <w:color w:val="000000"/>
                <w:sz w:val="20"/>
                <w:szCs w:val="20"/>
                <w:highlight w:val="none"/>
                <w:lang w:eastAsia="zh-CN"/>
              </w:rPr>
            </w:pPr>
            <w:r>
              <w:rPr>
                <w:rFonts w:hint="eastAsia" w:ascii="Times New Roman" w:hAnsi="Times New Roman" w:eastAsia="仿宋_GB2312" w:cs="Times New Roman"/>
                <w:color w:val="000000"/>
                <w:sz w:val="20"/>
                <w:szCs w:val="20"/>
                <w:highlight w:val="none"/>
                <w:lang w:eastAsia="zh-CN"/>
              </w:rPr>
              <w:t>消除</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91E309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55E4CE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CCD822F">
            <w:pPr>
              <w:widowControl/>
              <w:spacing w:line="240" w:lineRule="exact"/>
              <w:jc w:val="left"/>
              <w:rPr>
                <w:rFonts w:hint="eastAsia" w:ascii="Times New Roman" w:hAnsi="Times New Roman" w:eastAsia="仿宋_GB2312" w:cs="Times New Roman"/>
                <w:color w:val="000000"/>
                <w:sz w:val="20"/>
                <w:szCs w:val="20"/>
              </w:rPr>
            </w:pPr>
          </w:p>
        </w:tc>
      </w:tr>
      <w:tr w14:paraId="6F81A237">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C5CCAB6">
            <w:pPr>
              <w:spacing w:line="240" w:lineRule="exact"/>
              <w:jc w:val="left"/>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1F702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14:paraId="3102F6C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14:paraId="604949F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3E9ED4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FC16488">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群众满意度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9C385C8">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w:t>
            </w:r>
            <w:r>
              <w:rPr>
                <w:rFonts w:hint="eastAsia" w:ascii="Times New Roman" w:hAnsi="Times New Roman" w:eastAsia="仿宋_GB2312" w:cs="Times New Roman"/>
                <w:color w:val="000000"/>
                <w:sz w:val="20"/>
                <w:szCs w:val="20"/>
                <w:lang w:val="en-US" w:eastAsia="zh-CN"/>
              </w:rPr>
              <w:t>8</w:t>
            </w:r>
            <w:r>
              <w:rPr>
                <w:rFonts w:hint="default" w:ascii="Times New Roman" w:hAnsi="Times New Roman" w:eastAsia="仿宋_GB2312" w:cs="Times New Roman"/>
                <w:color w:val="000000"/>
                <w:sz w:val="20"/>
                <w:szCs w:val="20"/>
                <w:lang w:val="en-US" w:eastAsia="zh-CN"/>
              </w:rPr>
              <w:t>%</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23A72D7">
            <w:pPr>
              <w:widowControl/>
              <w:spacing w:line="240" w:lineRule="exact"/>
              <w:jc w:val="center"/>
              <w:rPr>
                <w:rFonts w:hint="eastAsia"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98%</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E00C27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39D278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2E07C6D">
            <w:pPr>
              <w:widowControl/>
              <w:spacing w:line="240" w:lineRule="exact"/>
              <w:jc w:val="left"/>
              <w:rPr>
                <w:rFonts w:hint="eastAsia" w:ascii="Times New Roman" w:hAnsi="Times New Roman" w:eastAsia="仿宋_GB2312" w:cs="Times New Roman"/>
                <w:color w:val="000000"/>
                <w:sz w:val="20"/>
                <w:szCs w:val="20"/>
              </w:rPr>
            </w:pPr>
          </w:p>
        </w:tc>
      </w:tr>
      <w:tr w14:paraId="4E4F6D7E">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9D3BEA">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68FA4A5">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EA39BE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18A48B3">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成本控制率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E6F33E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w:t>
            </w:r>
            <w:r>
              <w:rPr>
                <w:rFonts w:hint="eastAsia" w:ascii="Times New Roman" w:hAnsi="Times New Roman" w:eastAsia="仿宋_GB2312" w:cs="Times New Roman"/>
                <w:color w:val="000000"/>
                <w:sz w:val="20"/>
                <w:szCs w:val="20"/>
                <w:lang w:val="en-US" w:eastAsia="zh-CN"/>
              </w:rPr>
              <w:t>8</w:t>
            </w:r>
            <w:r>
              <w:rPr>
                <w:rFonts w:hint="default" w:ascii="Times New Roman" w:hAnsi="Times New Roman" w:eastAsia="仿宋_GB2312" w:cs="Times New Roman"/>
                <w:color w:val="000000"/>
                <w:sz w:val="20"/>
                <w:szCs w:val="20"/>
                <w:lang w:val="en-US" w:eastAsia="zh-CN"/>
              </w:rPr>
              <w:t>%</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234612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w:t>
            </w:r>
            <w:r>
              <w:rPr>
                <w:rFonts w:hint="eastAsia" w:ascii="Times New Roman" w:hAnsi="Times New Roman" w:eastAsia="仿宋_GB2312" w:cs="Times New Roman"/>
                <w:color w:val="000000"/>
                <w:sz w:val="20"/>
                <w:szCs w:val="20"/>
                <w:lang w:val="en-US" w:eastAsia="zh-CN"/>
              </w:rPr>
              <w:t>6</w:t>
            </w:r>
            <w:r>
              <w:rPr>
                <w:rFonts w:hint="default" w:ascii="Times New Roman" w:hAnsi="Times New Roman" w:eastAsia="仿宋_GB2312" w:cs="Times New Roman"/>
                <w:color w:val="000000"/>
                <w:sz w:val="20"/>
                <w:szCs w:val="20"/>
                <w:lang w:val="en-US"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38CF1A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D78207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83AC7D1">
            <w:pPr>
              <w:widowControl/>
              <w:spacing w:line="240" w:lineRule="exact"/>
              <w:jc w:val="left"/>
              <w:rPr>
                <w:rFonts w:hint="eastAsia" w:ascii="Times New Roman" w:hAnsi="Times New Roman" w:eastAsia="仿宋_GB2312" w:cs="Times New Roman"/>
                <w:color w:val="000000"/>
                <w:sz w:val="20"/>
                <w:szCs w:val="20"/>
              </w:rPr>
            </w:pPr>
          </w:p>
        </w:tc>
      </w:tr>
      <w:tr w14:paraId="4E2967B2">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4F0A30">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8383AF">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0B24BC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97EA402">
            <w:pPr>
              <w:keepNext w:val="0"/>
              <w:keepLines w:val="0"/>
              <w:pageBreakBefore w:val="0"/>
              <w:widowControl/>
              <w:kinsoku/>
              <w:wordWrap/>
              <w:overflowPunct/>
              <w:topLinePunct w:val="0"/>
              <w:autoSpaceDE/>
              <w:autoSpaceDN/>
              <w:bidi w:val="0"/>
              <w:spacing w:line="24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eastAsia="zh-CN"/>
              </w:rPr>
              <w:t>带来的社会影响力</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6A55AED">
            <w:pPr>
              <w:keepNext w:val="0"/>
              <w:keepLines w:val="0"/>
              <w:pageBreakBefore w:val="0"/>
              <w:widowControl/>
              <w:kinsoku/>
              <w:wordWrap/>
              <w:overflowPunct/>
              <w:topLinePunct w:val="0"/>
              <w:autoSpaceDE/>
              <w:autoSpaceDN/>
              <w:bidi w:val="0"/>
              <w:spacing w:line="56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eastAsia="zh-CN"/>
              </w:rPr>
              <w:t>定性</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B66EDCA">
            <w:pPr>
              <w:keepNext w:val="0"/>
              <w:keepLines w:val="0"/>
              <w:pageBreakBefore w:val="0"/>
              <w:widowControl/>
              <w:kinsoku/>
              <w:wordWrap/>
              <w:overflowPunct/>
              <w:topLinePunct w:val="0"/>
              <w:autoSpaceDE/>
              <w:autoSpaceDN/>
              <w:bidi w:val="0"/>
              <w:spacing w:line="56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eastAsia="zh-CN"/>
              </w:rPr>
              <w:t>良好</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879CA2A">
            <w:pPr>
              <w:keepNext w:val="0"/>
              <w:keepLines w:val="0"/>
              <w:pageBreakBefore w:val="0"/>
              <w:widowControl/>
              <w:kinsoku/>
              <w:wordWrap/>
              <w:overflowPunct/>
              <w:topLinePunct w:val="0"/>
              <w:autoSpaceDE/>
              <w:autoSpaceDN/>
              <w:bidi w:val="0"/>
              <w:spacing w:line="56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446442F">
            <w:pPr>
              <w:keepNext w:val="0"/>
              <w:keepLines w:val="0"/>
              <w:pageBreakBefore w:val="0"/>
              <w:widowControl/>
              <w:kinsoku/>
              <w:wordWrap/>
              <w:overflowPunct/>
              <w:topLinePunct w:val="0"/>
              <w:autoSpaceDE/>
              <w:autoSpaceDN/>
              <w:bidi w:val="0"/>
              <w:spacing w:line="56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95A5AF4">
            <w:pPr>
              <w:widowControl/>
              <w:spacing w:line="240" w:lineRule="exact"/>
              <w:jc w:val="left"/>
              <w:rPr>
                <w:rFonts w:hint="eastAsia" w:ascii="Times New Roman" w:hAnsi="Times New Roman" w:eastAsia="仿宋_GB2312" w:cs="Times New Roman"/>
                <w:color w:val="000000"/>
                <w:sz w:val="20"/>
                <w:szCs w:val="20"/>
              </w:rPr>
            </w:pPr>
          </w:p>
        </w:tc>
      </w:tr>
      <w:tr w14:paraId="2064EC7F">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226594C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716" w:type="dxa"/>
            <w:tcBorders>
              <w:top w:val="single" w:color="auto" w:sz="4" w:space="0"/>
              <w:left w:val="nil"/>
              <w:bottom w:val="single" w:color="auto" w:sz="4" w:space="0"/>
              <w:right w:val="single" w:color="auto" w:sz="4" w:space="0"/>
            </w:tcBorders>
            <w:noWrap w:val="0"/>
            <w:vAlign w:val="center"/>
          </w:tcPr>
          <w:p w14:paraId="6D19496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873" w:type="dxa"/>
            <w:tcBorders>
              <w:top w:val="single" w:color="auto" w:sz="4" w:space="0"/>
              <w:left w:val="nil"/>
              <w:bottom w:val="single" w:color="auto" w:sz="4" w:space="0"/>
              <w:right w:val="single" w:color="auto" w:sz="4" w:space="0"/>
            </w:tcBorders>
            <w:noWrap w:val="0"/>
            <w:vAlign w:val="center"/>
          </w:tcPr>
          <w:p w14:paraId="78C9E06C">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97</w:t>
            </w:r>
          </w:p>
        </w:tc>
        <w:tc>
          <w:tcPr>
            <w:tcW w:w="1446" w:type="dxa"/>
            <w:tcBorders>
              <w:top w:val="single" w:color="auto" w:sz="4" w:space="0"/>
              <w:left w:val="nil"/>
              <w:bottom w:val="single" w:color="auto" w:sz="4" w:space="0"/>
              <w:right w:val="single" w:color="auto" w:sz="4" w:space="0"/>
            </w:tcBorders>
            <w:noWrap w:val="0"/>
            <w:vAlign w:val="center"/>
          </w:tcPr>
          <w:p w14:paraId="4EFA6789">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bl>
    <w:p w14:paraId="0F87C1EF">
      <w:pPr>
        <w:tabs>
          <w:tab w:val="left" w:pos="7560"/>
        </w:tabs>
        <w:adjustRightInd w:val="0"/>
        <w:snapToGrid w:val="0"/>
        <w:spacing w:line="560" w:lineRule="exact"/>
        <w:rPr>
          <w:rFonts w:ascii="Times New Roman" w:hAnsi="Times New Roman" w:cs="Times New Roman"/>
        </w:rPr>
      </w:pPr>
      <w:r>
        <w:rPr>
          <w:rFonts w:hint="eastAsia" w:ascii="Times New Roman" w:hAnsi="Times New Roman" w:eastAsia="仿宋_GB2312" w:cs="Times New Roman"/>
          <w:sz w:val="21"/>
          <w:szCs w:val="22"/>
        </w:rPr>
        <w:t>填表人：</w:t>
      </w:r>
      <w:r>
        <w:rPr>
          <w:rFonts w:hint="eastAsia" w:ascii="Times New Roman" w:hAnsi="Times New Roman" w:eastAsia="仿宋_GB2312" w:cs="Times New Roman"/>
          <w:sz w:val="21"/>
          <w:szCs w:val="22"/>
          <w:lang w:eastAsia="zh-CN"/>
        </w:rPr>
        <w:t>杨佳艺</w:t>
      </w:r>
      <w:r>
        <w:rPr>
          <w:rFonts w:hint="eastAsia" w:ascii="Times New Roman" w:hAnsi="Times New Roman" w:eastAsia="仿宋_GB2312" w:cs="Times New Roman"/>
          <w:sz w:val="21"/>
          <w:szCs w:val="22"/>
        </w:rPr>
        <w:t xml:space="preserve">  填报日期：</w:t>
      </w:r>
      <w:r>
        <w:rPr>
          <w:rFonts w:hint="eastAsia" w:eastAsia="仿宋_GB2312" w:cs="Times New Roman"/>
          <w:sz w:val="21"/>
          <w:szCs w:val="22"/>
          <w:lang w:val="en-US" w:eastAsia="zh-CN"/>
        </w:rPr>
        <w:t xml:space="preserve">       </w:t>
      </w:r>
      <w:r>
        <w:rPr>
          <w:rFonts w:hint="eastAsia" w:ascii="Times New Roman" w:hAnsi="Times New Roman" w:eastAsia="仿宋_GB2312" w:cs="Times New Roman"/>
          <w:sz w:val="21"/>
          <w:szCs w:val="22"/>
        </w:rPr>
        <w:t xml:space="preserve">   联系电话：28511857   单位负责人签字：</w:t>
      </w:r>
      <w:r>
        <w:rPr>
          <w:rFonts w:hint="eastAsia" w:ascii="Times New Roman" w:hAnsi="Times New Roman" w:eastAsia="仿宋_GB2312" w:cs="Times New Roman"/>
          <w:sz w:val="21"/>
          <w:szCs w:val="22"/>
          <w:lang w:eastAsia="zh-CN"/>
        </w:rPr>
        <w:t>李锋</w:t>
      </w:r>
    </w:p>
    <w:sectPr>
      <w:footerReference r:id="rId3" w:type="default"/>
      <w:pgSz w:w="11906" w:h="16838"/>
      <w:pgMar w:top="2098" w:right="1531" w:bottom="1984" w:left="1531" w:header="851" w:footer="1587" w:gutter="0"/>
      <w:paperSrc/>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B6D363-815D-46EB-B89D-011165EC6E7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CC5C9A1-83CC-49A3-841F-98D7F92B0ED8}"/>
  </w:font>
  <w:font w:name="仿宋_GB2312">
    <w:panose1 w:val="02010609030101010101"/>
    <w:charset w:val="86"/>
    <w:family w:val="modern"/>
    <w:pitch w:val="default"/>
    <w:sig w:usb0="00000001" w:usb1="080E0000" w:usb2="00000000" w:usb3="00000000" w:csb0="00040000" w:csb1="00000000"/>
    <w:embedRegular r:id="rId3" w:fontKey="{0E547306-51B5-4778-A7D7-584D997F614F}"/>
  </w:font>
  <w:font w:name="方正小标宋简体">
    <w:panose1 w:val="03000509000000000000"/>
    <w:charset w:val="86"/>
    <w:family w:val="script"/>
    <w:pitch w:val="default"/>
    <w:sig w:usb0="00000001" w:usb1="080E0000" w:usb2="00000000" w:usb3="00000000" w:csb0="00040000" w:csb1="00000000"/>
    <w:embedRegular r:id="rId4" w:fontKey="{30F6C665-82FD-4895-B1BA-095E365CAFC2}"/>
  </w:font>
  <w:font w:name="方正大标宋简体">
    <w:altName w:val="微软雅黑"/>
    <w:panose1 w:val="03000509000000000000"/>
    <w:charset w:val="86"/>
    <w:family w:val="script"/>
    <w:pitch w:val="default"/>
    <w:sig w:usb0="00000001" w:usb1="080E0000" w:usb2="00000000" w:usb3="00000000" w:csb0="00040000" w:csb1="00000000"/>
    <w:embedRegular r:id="rId5" w:fontKey="{9BA1CEA3-B7F6-4105-A52C-3B5B615F0E63}"/>
  </w:font>
  <w:font w:name="楷体_GB2312">
    <w:panose1 w:val="02010609030101010101"/>
    <w:charset w:val="86"/>
    <w:family w:val="modern"/>
    <w:pitch w:val="default"/>
    <w:sig w:usb0="00000001" w:usb1="080E0000" w:usb2="00000000" w:usb3="00000000" w:csb0="00040000" w:csb1="00000000"/>
    <w:embedRegular r:id="rId6" w:fontKey="{251E27A5-27CF-471B-AB79-A5F71267B317}"/>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BAC59">
    <w:pPr>
      <w:pStyle w:val="4"/>
      <w:framePr w:wrap="around" w:vAnchor="text" w:hAnchor="margin" w:xAlign="outside" w:y="1"/>
      <w:rPr>
        <w:rStyle w:val="9"/>
        <w:rFonts w:hint="eastAsia" w:ascii="宋体"/>
        <w:sz w:val="28"/>
        <w:szCs w:val="28"/>
      </w:rPr>
    </w:pPr>
    <w:r>
      <w:rPr>
        <w:rStyle w:val="9"/>
        <w:rFonts w:hint="eastAsia" w:ascii="宋体"/>
        <w:color w:val="FFFFFF"/>
        <w:sz w:val="28"/>
        <w:szCs w:val="28"/>
      </w:rPr>
      <w:t>—</w:t>
    </w:r>
    <w:r>
      <w:rPr>
        <w:rStyle w:val="9"/>
        <w:rFonts w:hint="eastAsia" w:ascii="宋体"/>
        <w:sz w:val="28"/>
        <w:szCs w:val="28"/>
      </w:rPr>
      <w:t xml:space="preserve">— </w:t>
    </w:r>
    <w:r>
      <w:rPr>
        <w:rStyle w:val="9"/>
        <w:rFonts w:hint="eastAsia" w:ascii="宋体"/>
        <w:sz w:val="28"/>
        <w:szCs w:val="28"/>
      </w:rPr>
      <w:fldChar w:fldCharType="begin"/>
    </w:r>
    <w:r>
      <w:rPr>
        <w:rStyle w:val="9"/>
        <w:rFonts w:hint="eastAsia" w:ascii="宋体"/>
        <w:sz w:val="28"/>
        <w:szCs w:val="28"/>
      </w:rPr>
      <w:instrText xml:space="preserve">PAGE  </w:instrText>
    </w:r>
    <w:r>
      <w:rPr>
        <w:rStyle w:val="9"/>
        <w:rFonts w:hint="eastAsia" w:ascii="宋体"/>
        <w:sz w:val="28"/>
        <w:szCs w:val="28"/>
      </w:rPr>
      <w:fldChar w:fldCharType="separate"/>
    </w:r>
    <w:r>
      <w:rPr>
        <w:rStyle w:val="9"/>
        <w:rFonts w:ascii="宋体"/>
        <w:sz w:val="28"/>
        <w:szCs w:val="28"/>
      </w:rPr>
      <w:t>9</w:t>
    </w:r>
    <w:r>
      <w:rPr>
        <w:rStyle w:val="9"/>
        <w:rFonts w:hint="eastAsia" w:ascii="宋体"/>
        <w:sz w:val="28"/>
        <w:szCs w:val="28"/>
      </w:rPr>
      <w:fldChar w:fldCharType="end"/>
    </w:r>
    <w:r>
      <w:rPr>
        <w:rStyle w:val="9"/>
        <w:rFonts w:hint="eastAsia" w:ascii="宋体"/>
        <w:sz w:val="28"/>
        <w:szCs w:val="28"/>
      </w:rPr>
      <w:t xml:space="preserve"> —</w:t>
    </w:r>
    <w:r>
      <w:rPr>
        <w:rStyle w:val="9"/>
        <w:rFonts w:hint="eastAsia" w:ascii="宋体"/>
        <w:color w:val="FFFFFF"/>
        <w:sz w:val="28"/>
        <w:szCs w:val="28"/>
      </w:rPr>
      <w:t>—</w:t>
    </w:r>
  </w:p>
  <w:p w14:paraId="14431244">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RmNTIwYWZlMjNkYTI4YzUxMjAyMmQ2YmJmMmUifQ=="/>
    <w:docVar w:name="KSO_WPS_MARK_KEY" w:val="5663984c-bc8f-4051-b45a-4eae3344c234"/>
  </w:docVars>
  <w:rsids>
    <w:rsidRoot w:val="3B7EF2ED"/>
    <w:rsid w:val="01D72AB0"/>
    <w:rsid w:val="05B64EE1"/>
    <w:rsid w:val="0A276549"/>
    <w:rsid w:val="0B2A5268"/>
    <w:rsid w:val="0C0F0EA7"/>
    <w:rsid w:val="0D854709"/>
    <w:rsid w:val="14755D4F"/>
    <w:rsid w:val="14F7413E"/>
    <w:rsid w:val="15DB004C"/>
    <w:rsid w:val="18407BAA"/>
    <w:rsid w:val="1BF956CF"/>
    <w:rsid w:val="1CF653C3"/>
    <w:rsid w:val="1ECF7DF6"/>
    <w:rsid w:val="1EDA5344"/>
    <w:rsid w:val="245D6ACE"/>
    <w:rsid w:val="24C87A79"/>
    <w:rsid w:val="279A63F2"/>
    <w:rsid w:val="283D13B9"/>
    <w:rsid w:val="29B019A3"/>
    <w:rsid w:val="2BAC62BA"/>
    <w:rsid w:val="2C136339"/>
    <w:rsid w:val="2F9A6044"/>
    <w:rsid w:val="320C1861"/>
    <w:rsid w:val="35496928"/>
    <w:rsid w:val="36984517"/>
    <w:rsid w:val="3B7EF2ED"/>
    <w:rsid w:val="401F1C23"/>
    <w:rsid w:val="412656C1"/>
    <w:rsid w:val="41E07D6D"/>
    <w:rsid w:val="45F721D0"/>
    <w:rsid w:val="477C2B8D"/>
    <w:rsid w:val="4B1405F6"/>
    <w:rsid w:val="52E50A8E"/>
    <w:rsid w:val="54240E8D"/>
    <w:rsid w:val="5709666A"/>
    <w:rsid w:val="57B05535"/>
    <w:rsid w:val="58D36385"/>
    <w:rsid w:val="5D345642"/>
    <w:rsid w:val="5D8F36DC"/>
    <w:rsid w:val="5E50292A"/>
    <w:rsid w:val="62A66005"/>
    <w:rsid w:val="67792D68"/>
    <w:rsid w:val="6D754478"/>
    <w:rsid w:val="72432026"/>
    <w:rsid w:val="728813AB"/>
    <w:rsid w:val="76EE671F"/>
    <w:rsid w:val="7A7D6477"/>
    <w:rsid w:val="7D692C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6">
    <w:name w:val="Body Text First Indent 2"/>
    <w:basedOn w:val="3"/>
    <w:unhideWhenUsed/>
    <w:qFormat/>
    <w:uiPriority w:val="99"/>
    <w:pPr>
      <w:spacing w:after="0"/>
      <w:ind w:left="0" w:leftChars="0" w:firstLine="420" w:firstLineChars="200"/>
    </w:pPr>
    <w:rPr>
      <w:rFonts w:eastAsia="仿宋_GB2312"/>
      <w:sz w:val="32"/>
      <w:szCs w:val="32"/>
    </w:rPr>
  </w:style>
  <w:style w:type="character" w:styleId="9">
    <w:name w:val="page number"/>
    <w:basedOn w:val="8"/>
    <w:qFormat/>
    <w:uiPriority w:val="0"/>
  </w:style>
  <w:style w:type="paragraph" w:styleId="10">
    <w:name w:val="List Paragraph"/>
    <w:basedOn w:val="1"/>
    <w:qFormat/>
    <w:uiPriority w:val="99"/>
    <w:pPr>
      <w:ind w:firstLine="420" w:firstLineChars="200"/>
    </w:pPr>
    <w:rPr>
      <w:rFonts w:ascii="Calibri" w:hAnsi="Calibri" w:eastAsia="宋体" w:cs="Times New Roman"/>
      <w:szCs w:val="22"/>
    </w:rPr>
  </w:style>
  <w:style w:type="paragraph" w:customStyle="1" w:styleId="11">
    <w:name w:val="正文文字"/>
    <w:basedOn w:val="1"/>
    <w:next w:val="1"/>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4558</Words>
  <Characters>5047</Characters>
  <Lines>0</Lines>
  <Paragraphs>0</Paragraphs>
  <TotalTime>0</TotalTime>
  <ScaleCrop>false</ScaleCrop>
  <LinksUpToDate>false</LinksUpToDate>
  <CharactersWithSpaces>5154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Gustav·xy</cp:lastModifiedBy>
  <dcterms:modified xsi:type="dcterms:W3CDTF">2024-11-25T02:54:00Z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38DF32D93C964D339E73480152E4947F_13</vt:lpwstr>
  </property>
</Properties>
</file>