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int="eastAsia" w:eastAsia="黑体"/>
          <w:sz w:val="32"/>
          <w:szCs w:val="32"/>
        </w:rPr>
        <w:t>附件1</w:t>
      </w:r>
    </w:p>
    <w:p>
      <w:pPr>
        <w:tabs>
          <w:tab w:val="left" w:pos="7560"/>
        </w:tabs>
        <w:adjustRightInd w:val="0"/>
        <w:snapToGrid w:val="0"/>
        <w:spacing w:line="560" w:lineRule="exact"/>
        <w:jc w:val="left"/>
        <w:rPr>
          <w:rFonts w:eastAsia="黑体"/>
          <w:sz w:val="32"/>
          <w:szCs w:val="32"/>
        </w:rPr>
      </w:pPr>
    </w:p>
    <w:p>
      <w:pPr>
        <w:snapToGrid w:val="0"/>
        <w:spacing w:line="560" w:lineRule="exact"/>
        <w:jc w:val="center"/>
        <w:rPr>
          <w:rFonts w:eastAsia="方正小标宋简体"/>
          <w:sz w:val="48"/>
          <w:szCs w:val="44"/>
        </w:rPr>
      </w:pPr>
      <w:r>
        <w:rPr>
          <w:rFonts w:hint="eastAsia" w:eastAsia="方正小标宋简体"/>
          <w:sz w:val="48"/>
          <w:szCs w:val="44"/>
        </w:rPr>
        <w:t>2023年度部门（单位）整体支出</w:t>
      </w:r>
    </w:p>
    <w:p>
      <w:pPr>
        <w:snapToGrid w:val="0"/>
        <w:spacing w:line="560" w:lineRule="exact"/>
        <w:jc w:val="center"/>
        <w:rPr>
          <w:rFonts w:eastAsia="方正大标宋简体"/>
          <w:sz w:val="48"/>
          <w:szCs w:val="52"/>
        </w:rPr>
      </w:pPr>
      <w:r>
        <w:rPr>
          <w:rFonts w:hint="eastAsia" w:eastAsia="方正小标宋简体"/>
          <w:sz w:val="48"/>
          <w:szCs w:val="44"/>
        </w:rPr>
        <w:t>绩效自评报告</w:t>
      </w:r>
    </w:p>
    <w:p>
      <w:pPr>
        <w:spacing w:line="600" w:lineRule="exact"/>
        <w:ind w:firstLine="3520" w:firstLineChars="1100"/>
        <w:jc w:val="left"/>
        <w:rPr>
          <w:rFonts w:eastAsia="仿宋_GB2312"/>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jc w:val="center"/>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株洲市芦淞区应急管理局（盖章）</w:t>
      </w:r>
    </w:p>
    <w:p>
      <w:pPr>
        <w:spacing w:line="600" w:lineRule="exact"/>
        <w:ind w:firstLine="3200" w:firstLineChars="1000"/>
        <w:rPr>
          <w:rFonts w:eastAsia="仿宋_GB2312"/>
          <w:sz w:val="32"/>
          <w:szCs w:val="32"/>
        </w:rPr>
      </w:pPr>
      <w:r>
        <w:rPr>
          <w:rFonts w:hint="eastAsia" w:eastAsia="仿宋_GB2312"/>
          <w:sz w:val="32"/>
          <w:szCs w:val="32"/>
        </w:rPr>
        <w:t>年  月  日</w:t>
      </w:r>
    </w:p>
    <w:p>
      <w:pPr>
        <w:jc w:val="center"/>
        <w:rPr>
          <w:rFonts w:eastAsia="仿宋_GB2312"/>
          <w:sz w:val="32"/>
          <w:szCs w:val="32"/>
        </w:rPr>
      </w:pPr>
    </w:p>
    <w:p>
      <w:pPr>
        <w:ind w:firstLine="2880" w:firstLineChars="900"/>
        <w:rPr>
          <w:rFonts w:eastAsia="仿宋_GB2312"/>
          <w:sz w:val="32"/>
          <w:szCs w:val="32"/>
        </w:rPr>
      </w:pPr>
    </w:p>
    <w:p>
      <w:pPr>
        <w:ind w:firstLine="2880" w:firstLineChars="900"/>
        <w:rPr>
          <w:rFonts w:eastAsia="仿宋_GB2312"/>
          <w:sz w:val="32"/>
          <w:szCs w:val="32"/>
        </w:rPr>
      </w:pPr>
    </w:p>
    <w:p>
      <w:pPr>
        <w:ind w:firstLine="2880" w:firstLineChars="900"/>
        <w:rPr>
          <w:rFonts w:eastAsia="仿宋_GB2312"/>
          <w:sz w:val="32"/>
          <w:szCs w:val="32"/>
        </w:rPr>
      </w:pPr>
    </w:p>
    <w:p>
      <w:pPr>
        <w:rPr>
          <w:rFonts w:eastAsia="方正小标宋简体"/>
          <w:sz w:val="40"/>
          <w:szCs w:val="32"/>
        </w:rPr>
      </w:pPr>
      <w:r>
        <w:rPr>
          <w:rFonts w:hint="eastAsia" w:eastAsia="方正小标宋简体"/>
          <w:sz w:val="40"/>
          <w:szCs w:val="32"/>
        </w:rPr>
        <w:br w:type="page"/>
      </w:r>
    </w:p>
    <w:p>
      <w:pPr>
        <w:jc w:val="center"/>
        <w:rPr>
          <w:rFonts w:eastAsia="方正小标宋简体"/>
          <w:sz w:val="40"/>
          <w:szCs w:val="32"/>
        </w:rPr>
      </w:pPr>
      <w:r>
        <w:rPr>
          <w:rFonts w:hint="eastAsia" w:eastAsia="方正小标宋简体"/>
          <w:sz w:val="40"/>
          <w:szCs w:val="32"/>
        </w:rPr>
        <w:t>2023年度株洲市芦淞区应急管理局整体支出</w:t>
      </w:r>
    </w:p>
    <w:p>
      <w:pPr>
        <w:jc w:val="center"/>
        <w:rPr>
          <w:rFonts w:eastAsia="方正小标宋简体"/>
          <w:sz w:val="40"/>
          <w:szCs w:val="32"/>
        </w:rPr>
      </w:pPr>
      <w:r>
        <w:rPr>
          <w:rFonts w:hint="eastAsia" w:eastAsia="方正小标宋简体"/>
          <w:sz w:val="40"/>
          <w:szCs w:val="32"/>
        </w:rPr>
        <w:t>绩效自评报告</w:t>
      </w:r>
    </w:p>
    <w:p>
      <w:pPr>
        <w:jc w:val="left"/>
        <w:rPr>
          <w:rFonts w:eastAsia="仿宋_GB2312"/>
          <w:sz w:val="32"/>
          <w:szCs w:val="32"/>
        </w:rPr>
      </w:pPr>
    </w:p>
    <w:p>
      <w:pPr>
        <w:jc w:val="left"/>
        <w:rPr>
          <w:rFonts w:eastAsia="仿宋_GB2312"/>
          <w:sz w:val="32"/>
          <w:szCs w:val="32"/>
        </w:rPr>
      </w:pP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一、部门（单位）基本情况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（一）主要职能</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1.负责应急管理工作，指导全区各地区各部门应对安全生产类、自然灾害类等突发事件和综合防灾减灾救灾工作。负责工矿商贸行业安全生产监督管理工作。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2.贯彻实施相关法律法规、部门规章、规程和标准，组织编制全区应急体系建设、安全生产和综合防灾减灾规划。组织拟订相关规程和标准，并监督实施。</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3.指导应急预案体系建设，建立完善事故灾难和自然灾害分级应对制度，组织编制芦淞区总体应急预案和安全生产类、自然灾害类专项预案，综合协调应急预案衔接工作，组织开展预案演练，推动应急避难设施建设。</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4.牵头推进全区统一的应急管理信息系统建设，负责信息传输渠道的规划和布局，建立监测预警和灾情报告制度，健全自然灾害信息资源获取和共享机制，依法统一发布灾情。</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5.组织指导协调安全生产类、自然灾害类等突发事件应急救援，承担区应对较大及以上灾害指挥工作，综合研判突发事件发展态势并提出应对建议，协助区委、区政府指定的负责同志组织较大及以上灾害应急处置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6.统一协调指挥各类应急专业队伍，建立应急协调联动机制，推进指挥平台对接，负责做好解放军和武警部队参与应急救援相关衔接工作。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7.统筹全区应急救援力量建设，负责消防、森林火灾扑救、抗洪抢险、地震和地质灾害救援、生产安全事故救援等专业应急救援力量建设，指导镇（街道）及社会应急援救力量建设。</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8.指导消防监督、火灾预防、火灾扑救等工作。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9.承担区防汛抗旱指挥部、区森林防火指挥部、区抗震救灾指挥部办公室的日常工作，指导协调全区森林火灾、水旱灾害、地震和地质灾害等防治工作，指导、组织开展自然灾害综合风险评估工作。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10.组织协调灾害救助工作，组织指导灾情核查、损失评估、救灾捐赠工作，按权限管理、分配中央、省级、市级下达和区级救灾款物并监督使用。</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11.承担区安全生产委员会办公室日常工作，依法行使安全生产综合监督管理职权，指导、协调、监督区政府有关部门和各镇（街道）安全生产工作，组织开展安全生产巡查、考核工作。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12.按照分级、属地原则，依法监督检查工矿商贸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13.依法组织指导生产安全事故调查处理，监督事故查处和责任追究落实情况。组织、指导开展自然灾害类突发事件的调查评估工作。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14.开展应急管理对外交流与合作，组织参与安全生产类、自然灾害类等突发事件的对外救援工作。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15.制定全区应急物资储备和应急救援装备规划并组织实施，会同区商务和粮食局等部门建立健全应急物资信息平台和调拨制度，在救灾时统一调度。</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16.负责应急管理、安全生产宣传教育和培训工作，组织指导应急管理、安全生产的科学技术研究、推广应用和信息化建设工作。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17.协调区防汛抗旱指挥部成员单位的相关工作，组织执行国家防汛抗旱总指挥部、相关流域防汛抗旱指挥机构和省、市、区防汛抗旱指挥部的指示、命令。</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18.完成区委、区政府交办的其他任务。</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（二）机构情况。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株洲市芦淞区应急管理局（以下简称区应急管理局）是区政府工作部门，为正科级，加挂区防汛抗旱指挥部办公室牌子。区应急管理局（区防汛抗旱指挥部办公室）设下列内设机构：办公室，应急指挥中心，安全生产监督管理股，安全生产执法股，应急管理综合协调股。</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（三）人员情况。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本部门独立编制机构1个，年末实有人数13人，其中在职10人、无固期人员1人，政府雇员1人，退休人员1人。</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二、一般公共预算支出情况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（一）基本支出情况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1.2023年预算资金241.75万元。</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2.2023年度单位一般公共预算财政拨款收入320.25万元。</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3.2023年度单位一般公共预算财政拨款支出320.25万元，其中：项目支出96.41万元，基本支出223.84万元，其中：人员经费203.18万元，公用经费20.66万元。</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（二）项目支出情况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2023年度项目支出合计96.41万元，其中：1.安全生产项目支出16.1万元；2.非税项目支出3.98万元；3.疫情防控专项39.83万元；4.应急救援项目支出36.5万元。</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三、政府性基金预算支出情况</w:t>
      </w:r>
    </w:p>
    <w:p>
      <w:pPr>
        <w:tabs>
          <w:tab w:val="left" w:pos="7560"/>
        </w:tabs>
        <w:adjustRightInd w:val="0"/>
        <w:snapToGrid w:val="0"/>
        <w:spacing w:line="560" w:lineRule="exact"/>
        <w:ind w:firstLine="640" w:firstLineChars="200"/>
        <w:rPr>
          <w:rFonts w:eastAsia="仿宋_GB2312"/>
          <w:sz w:val="32"/>
          <w:szCs w:val="32"/>
        </w:rPr>
      </w:pPr>
      <w:r>
        <w:rPr>
          <w:rStyle w:val="11"/>
          <w:rFonts w:hint="eastAsia" w:eastAsia="仿宋_GB2312"/>
          <w:sz w:val="32"/>
          <w:szCs w:val="32"/>
        </w:rPr>
        <w:t>无</w:t>
      </w:r>
      <w:r>
        <w:rPr>
          <w:rStyle w:val="11"/>
          <w:rFonts w:hint="eastAsia" w:eastAsia="仿宋_GB2312"/>
          <w:bCs/>
          <w:sz w:val="32"/>
          <w:szCs w:val="32"/>
        </w:rPr>
        <w:t>。</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四、国有资本经营预算支出情况</w:t>
      </w:r>
    </w:p>
    <w:p>
      <w:pPr>
        <w:pStyle w:val="12"/>
        <w:adjustRightInd w:val="0"/>
        <w:snapToGrid w:val="0"/>
        <w:spacing w:line="560" w:lineRule="exact"/>
        <w:ind w:firstLine="640"/>
        <w:rPr>
          <w:rFonts w:ascii="Times New Roman" w:hAnsi="Times New Roman" w:eastAsia="仿宋_GB2312"/>
          <w:sz w:val="32"/>
          <w:szCs w:val="32"/>
        </w:rPr>
      </w:pPr>
      <w:r>
        <w:rPr>
          <w:rStyle w:val="11"/>
          <w:rFonts w:hint="eastAsia" w:ascii="Times New Roman" w:hAnsi="Times New Roman" w:eastAsia="仿宋_GB2312"/>
          <w:sz w:val="32"/>
          <w:szCs w:val="32"/>
        </w:rPr>
        <w:t>无</w:t>
      </w:r>
      <w:r>
        <w:rPr>
          <w:rStyle w:val="11"/>
          <w:rFonts w:ascii="Times New Roman" w:hAnsi="Times New Roman" w:eastAsia="仿宋_GB2312"/>
          <w:sz w:val="32"/>
          <w:szCs w:val="32"/>
        </w:rPr>
        <w:t>。</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五、社会保险基金预算支出情况</w:t>
      </w:r>
    </w:p>
    <w:p>
      <w:pPr>
        <w:tabs>
          <w:tab w:val="left" w:pos="7560"/>
        </w:tabs>
        <w:adjustRightInd w:val="0"/>
        <w:snapToGrid w:val="0"/>
        <w:spacing w:line="560" w:lineRule="exact"/>
        <w:ind w:firstLine="640" w:firstLineChars="200"/>
        <w:rPr>
          <w:rFonts w:eastAsia="仿宋_GB2312"/>
          <w:sz w:val="32"/>
          <w:szCs w:val="32"/>
        </w:rPr>
      </w:pPr>
      <w:r>
        <w:rPr>
          <w:rStyle w:val="11"/>
          <w:rFonts w:hint="eastAsia" w:eastAsia="仿宋_GB2312"/>
          <w:sz w:val="32"/>
          <w:szCs w:val="32"/>
        </w:rPr>
        <w:t>无</w:t>
      </w:r>
      <w:r>
        <w:rPr>
          <w:rStyle w:val="11"/>
          <w:rFonts w:eastAsia="仿宋_GB2312"/>
          <w:sz w:val="32"/>
          <w:szCs w:val="32"/>
        </w:rPr>
        <w:t>。</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六、资金使用及绩效情况（包含单位管理的公共专项）</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（一）整体支出绩效情况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今年以来，芦淞区应急管理局深入贯彻党的二十大精神和习近平总书记关于安全生产重要论述、批示指示精神，坚决落实国家、省、市、区关于应急管理工作的决策部署，统筹抓好安全生产监管、应急救援能力建设和自然灾害防控等各项工作，全区未发生较大以上生产安全事故，安全生产和应急管理形势总体稳定。</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今年紧紧围绕全国重大事故隐患排查整治行动和全省“打好安全生产翻身仗”工作部署，大力推进重大隐患排查整治和“打非治违”工作深入开展安全生产专项整治行动检查生产经营单位32077家次，排查一般安全隐患2102项，整改率100%；立案调查338起，责令停产停业、暂扣或吊销许可证照、取缔关闭生产经营单位39家，经济处罚约145万元，约谈警示单位12家，全年未发生较大以上安全生产事故，进一步保障了全区的财产和生命安全。</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全年夯实防灾减灾救灾基础，完善安全生产、防汛抗旱、地震地质灾害、防灾减灾救灾、森林防灭火等方面预案，切实提升预案的针对性时效性</w:t>
      </w:r>
      <w:r>
        <w:rPr>
          <w:rFonts w:hint="eastAsia" w:eastAsia="仿宋_GB2312"/>
          <w:sz w:val="32"/>
          <w:szCs w:val="32"/>
          <w:lang w:val="zh-CN"/>
        </w:rPr>
        <w:t>实现了全区应急抢险救援“</w:t>
      </w:r>
      <w:r>
        <w:rPr>
          <w:rFonts w:hint="eastAsia" w:eastAsia="仿宋_GB2312"/>
          <w:sz w:val="32"/>
          <w:szCs w:val="32"/>
        </w:rPr>
        <w:t>30</w:t>
      </w:r>
      <w:r>
        <w:rPr>
          <w:rFonts w:hint="eastAsia" w:eastAsia="仿宋_GB2312"/>
          <w:sz w:val="32"/>
          <w:szCs w:val="32"/>
          <w:lang w:val="zh-CN"/>
        </w:rPr>
        <w:t>分钟全覆盖，</w:t>
      </w:r>
      <w:r>
        <w:rPr>
          <w:rFonts w:hint="eastAsia" w:eastAsia="仿宋_GB2312"/>
          <w:sz w:val="32"/>
          <w:szCs w:val="32"/>
        </w:rPr>
        <w:t>60分钟</w:t>
      </w:r>
      <w:r>
        <w:rPr>
          <w:rFonts w:hint="eastAsia" w:eastAsia="仿宋_GB2312"/>
          <w:sz w:val="32"/>
          <w:szCs w:val="32"/>
          <w:lang w:val="zh-CN"/>
        </w:rPr>
        <w:t>能增援”目标。</w:t>
      </w:r>
      <w:r>
        <w:rPr>
          <w:rFonts w:hint="eastAsia" w:eastAsia="仿宋_GB2312"/>
          <w:sz w:val="32"/>
          <w:szCs w:val="32"/>
        </w:rPr>
        <w:t>今年汛期我区态势总体平稳，辖区内未发生大规模洪涝和干旱灾害，居民饮用水未受影响，</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全年为摸排出的15000户符合条件的农村住房购买农房巨灾保险，切实保障群众生命和财产安全，帮助群众灾后重建，很大程度上提升了灾后重建能力。</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（二）项目支出绩效情况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本部门2023年专项资金共5个，具体如下：</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是安全监管（包含安全生产专项和应急救援专项、非税），预算支出29.50万元，年中执行调增270.08万元，实际支出56.58万元，结余结转0万元。该专项资金支出通过组织展开了安全生产大排查大整治百日行动、危险物品专项行动、木业行业专项整治行动和城市燃气清查整治行动，配合区住建部门开展了自建房清查整治行动；展开灾害隐患排查，更新应急队伍，补充应急物资和设施设备，完善应急救援预案，组织应急救援演练，对发现的灾害隐患点及时管控治理，对重要风险点实行巡查盯守，提前做好应对准备等。</w:t>
      </w:r>
    </w:p>
    <w:p>
      <w:pPr>
        <w:tabs>
          <w:tab w:val="left" w:pos="7560"/>
        </w:tabs>
        <w:adjustRightInd w:val="0"/>
        <w:snapToGrid w:val="0"/>
        <w:spacing w:line="560" w:lineRule="exact"/>
        <w:ind w:firstLine="640" w:firstLineChars="200"/>
        <w:rPr>
          <w:rFonts w:eastAsia="仿宋_GB2312"/>
          <w:sz w:val="32"/>
          <w:szCs w:val="32"/>
          <w:highlight w:val="yellow"/>
        </w:rPr>
      </w:pPr>
      <w:r>
        <w:rPr>
          <w:rFonts w:hint="eastAsia" w:eastAsia="仿宋_GB2312"/>
          <w:sz w:val="32"/>
          <w:szCs w:val="32"/>
        </w:rPr>
        <w:t>二是疫情防控专项，预算支出0万元，年中执行调增39.83万元，实际支出39.83万元，结余</w:t>
      </w:r>
      <w:r>
        <w:rPr>
          <w:rFonts w:hint="eastAsia" w:eastAsia="仿宋_GB2312"/>
          <w:sz w:val="32"/>
          <w:szCs w:val="32"/>
          <w:highlight w:val="none"/>
        </w:rPr>
        <w:t>结转0万元。该专项资金支出主要用于支付2022年疫情防控购买应急物资。</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三是农村住房巨灾保险，预算支出6.19万元，年中执行调减6.19万元，实际支出0万元，结余结转0万元。该专项资金支出因受新冠肺炎疫情影响，财政资金缩减，未在本年完成。</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四是森林防灭火专项，预算支出3万元，年中执行调减3万元，实际支出0万元，结余结转0万元。该专项资金支出因受新冠肺炎疫情影响，财力紧张，未在本年完成。</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七、存在的问题及原因分析</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无。</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八、下一步改进措施</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无。</w:t>
      </w:r>
    </w:p>
    <w:p>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九、部门整体支出绩效自评结果拟应用和公开情况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芦淞区政府门户网统一公示公开，接受社会监督。</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附件：1. 2023年度部门整体支出绩效评价基础数据表</w:t>
      </w:r>
    </w:p>
    <w:p>
      <w:pPr>
        <w:tabs>
          <w:tab w:val="left" w:pos="7560"/>
        </w:tabs>
        <w:adjustRightInd w:val="0"/>
        <w:snapToGrid w:val="0"/>
        <w:spacing w:line="560" w:lineRule="exact"/>
        <w:ind w:firstLine="1600" w:firstLineChars="500"/>
        <w:rPr>
          <w:rFonts w:eastAsia="仿宋_GB2312"/>
          <w:sz w:val="32"/>
          <w:szCs w:val="32"/>
        </w:rPr>
      </w:pPr>
      <w:r>
        <w:rPr>
          <w:rFonts w:hint="eastAsia" w:eastAsia="仿宋_GB2312"/>
          <w:sz w:val="32"/>
          <w:szCs w:val="32"/>
        </w:rPr>
        <w:t>2. 2023年度部门整体支出绩效自评表</w:t>
      </w:r>
    </w:p>
    <w:p>
      <w:pPr>
        <w:spacing w:afterLines="50" w:line="600" w:lineRule="exact"/>
        <w:rPr>
          <w:rFonts w:eastAsia="黑体"/>
          <w:sz w:val="32"/>
          <w:szCs w:val="32"/>
        </w:rPr>
      </w:pPr>
    </w:p>
    <w:p>
      <w:pPr>
        <w:rPr>
          <w:rFonts w:eastAsia="黑体"/>
          <w:sz w:val="32"/>
          <w:szCs w:val="32"/>
        </w:rPr>
      </w:pPr>
      <w:r>
        <w:rPr>
          <w:rFonts w:eastAsia="黑体"/>
          <w:sz w:val="32"/>
          <w:szCs w:val="32"/>
        </w:rPr>
        <w:br w:type="page"/>
      </w:r>
    </w:p>
    <w:p>
      <w:pPr>
        <w:spacing w:afterLines="50" w:line="600" w:lineRule="exact"/>
        <w:rPr>
          <w:rFonts w:eastAsia="黑体"/>
          <w:sz w:val="32"/>
          <w:szCs w:val="32"/>
        </w:rPr>
      </w:pPr>
      <w:r>
        <w:rPr>
          <w:rFonts w:eastAsia="黑体"/>
          <w:sz w:val="32"/>
          <w:szCs w:val="32"/>
        </w:rPr>
        <w:t>附件</w:t>
      </w:r>
      <w:r>
        <w:rPr>
          <w:rFonts w:hint="eastAsia" w:eastAsia="黑体"/>
          <w:sz w:val="32"/>
          <w:szCs w:val="32"/>
        </w:rPr>
        <w:t>2</w:t>
      </w:r>
    </w:p>
    <w:p>
      <w:pPr>
        <w:spacing w:afterLines="50" w:line="600" w:lineRule="exact"/>
        <w:jc w:val="center"/>
        <w:rPr>
          <w:rFonts w:eastAsia="方正大标宋简体"/>
          <w:sz w:val="24"/>
        </w:rPr>
      </w:pPr>
      <w:r>
        <w:rPr>
          <w:rFonts w:hint="eastAsia" w:eastAsia="方正大标宋简体"/>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hint="eastAsia"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hint="eastAsia"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hint="eastAsia" w:eastAsia="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14</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10</w:t>
            </w:r>
          </w:p>
        </w:tc>
        <w:tc>
          <w:tcPr>
            <w:tcW w:w="2041" w:type="dxa"/>
            <w:gridSpan w:val="2"/>
            <w:tcBorders>
              <w:top w:val="single" w:color="auto" w:sz="4" w:space="0"/>
              <w:left w:val="nil"/>
              <w:bottom w:val="single" w:color="auto" w:sz="4" w:space="0"/>
              <w:right w:val="single" w:color="auto" w:sz="4" w:space="0"/>
            </w:tcBorders>
            <w:noWrap/>
            <w:vAlign w:val="center"/>
          </w:tcPr>
          <w:p>
            <w:pPr>
              <w:pStyle w:val="2"/>
              <w:jc w:val="center"/>
              <w:rPr>
                <w:rFonts w:eastAsia="仿宋_GB2312"/>
                <w:sz w:val="20"/>
                <w:szCs w:val="20"/>
              </w:rPr>
            </w:pPr>
            <w:r>
              <w:rPr>
                <w:rFonts w:hint="eastAsia" w:eastAsia="仿宋_GB2312"/>
                <w:sz w:val="20"/>
                <w:szCs w:val="20"/>
              </w:rPr>
              <w:t>71.4</w:t>
            </w:r>
            <w:r>
              <w:rPr>
                <w:rFonts w:hint="eastAsia"/>
              </w:rPr>
              <w:t>%</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hint="eastAsia"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hint="eastAsia"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hint="eastAsia" w:eastAsia="仿宋_GB2312"/>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93.68</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38.69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96.41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93.68</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38.69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96.41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24.14</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21.99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20.67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0.89</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2.6</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0.86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0.11</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0.07</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0.1</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109.5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楼堂馆所控制情况</w:t>
            </w:r>
          </w:p>
          <w:p>
            <w:pPr>
              <w:widowControl/>
              <w:spacing w:line="360" w:lineRule="exact"/>
              <w:jc w:val="center"/>
              <w:rPr>
                <w:rFonts w:eastAsia="仿宋_GB2312"/>
                <w:sz w:val="20"/>
                <w:szCs w:val="20"/>
              </w:rPr>
            </w:pPr>
            <w:r>
              <w:rPr>
                <w:rFonts w:hint="eastAsia" w:eastAsia="仿宋_GB2312"/>
                <w:sz w:val="20"/>
                <w:szCs w:val="20"/>
              </w:rPr>
              <w:t>（2023年完工项目）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hint="eastAsia" w:eastAsia="仿宋_GB2312"/>
                <w:bCs/>
                <w:sz w:val="20"/>
                <w:szCs w:val="20"/>
              </w:rPr>
              <w:t>批复规模</w:t>
            </w:r>
          </w:p>
          <w:p>
            <w:pPr>
              <w:widowControl/>
              <w:spacing w:line="360" w:lineRule="exact"/>
              <w:jc w:val="center"/>
              <w:rPr>
                <w:rFonts w:eastAsia="仿宋_GB2312"/>
                <w:bCs/>
                <w:sz w:val="20"/>
                <w:szCs w:val="20"/>
              </w:rPr>
            </w:pPr>
            <w:r>
              <w:rPr>
                <w:rFonts w:hint="eastAsia" w:eastAsia="仿宋_GB2312"/>
                <w:bCs/>
                <w:sz w:val="20"/>
                <w:szCs w:val="20"/>
              </w:rPr>
              <w:t>（</w:t>
            </w:r>
            <w:r>
              <w:rPr>
                <w:rFonts w:hint="eastAsia"/>
                <w:bCs/>
                <w:sz w:val="20"/>
                <w:szCs w:val="20"/>
              </w:rPr>
              <w:t>㎡</w:t>
            </w:r>
            <w:r>
              <w:rPr>
                <w:rFonts w:hint="eastAsia" w:eastAsia="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hint="eastAsia" w:eastAsia="仿宋_GB2312"/>
                <w:bCs/>
                <w:sz w:val="20"/>
                <w:szCs w:val="20"/>
              </w:rPr>
              <w:t>实际规模（</w:t>
            </w:r>
            <w:r>
              <w:rPr>
                <w:rFonts w:hint="eastAsia"/>
                <w:bCs/>
                <w:sz w:val="20"/>
                <w:szCs w:val="20"/>
              </w:rPr>
              <w:t>㎡</w:t>
            </w:r>
            <w:r>
              <w:rPr>
                <w:rFonts w:hint="eastAsia" w:eastAsia="仿宋_GB2312"/>
                <w:bCs/>
                <w:sz w:val="20"/>
                <w:szCs w:val="20"/>
              </w:rPr>
              <w:t>）</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hint="eastAsia" w:eastAsia="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hint="eastAsia" w:eastAsia="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hint="eastAsia" w:eastAsia="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hint="eastAsia" w:eastAsia="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　</w:t>
            </w:r>
          </w:p>
        </w:tc>
      </w:tr>
    </w:tbl>
    <w:p>
      <w:pPr>
        <w:widowControl/>
        <w:spacing w:line="400" w:lineRule="exact"/>
        <w:jc w:val="left"/>
        <w:rPr>
          <w:rFonts w:eastAsia="仿宋_GB2312"/>
          <w:sz w:val="22"/>
        </w:rPr>
      </w:pPr>
      <w:r>
        <w:rPr>
          <w:rFonts w:hint="eastAsia" w:eastAsia="仿宋_GB2312"/>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eastAsia="黑体"/>
          <w:sz w:val="32"/>
          <w:szCs w:val="32"/>
        </w:rPr>
      </w:pPr>
      <w:r>
        <w:rPr>
          <w:rFonts w:hint="eastAsia" w:eastAsia="仿宋_GB2312"/>
          <w:sz w:val="22"/>
        </w:rPr>
        <w:t xml:space="preserve">填表人：何花  填报日期：  </w:t>
      </w:r>
      <w:r>
        <w:rPr>
          <w:rFonts w:hint="eastAsia" w:eastAsia="仿宋_GB2312"/>
          <w:sz w:val="22"/>
          <w:lang w:val="en-US" w:eastAsia="zh-CN"/>
        </w:rPr>
        <w:t xml:space="preserve">    </w:t>
      </w:r>
      <w:bookmarkStart w:id="0" w:name="_GoBack"/>
      <w:bookmarkEnd w:id="0"/>
      <w:r>
        <w:rPr>
          <w:rFonts w:hint="eastAsia" w:eastAsia="仿宋_GB2312"/>
          <w:sz w:val="22"/>
        </w:rPr>
        <w:t>联系电话：28580689   单位负责人签字：刘湛</w:t>
      </w:r>
    </w:p>
    <w:p>
      <w:pPr>
        <w:rPr>
          <w:rFonts w:eastAsia="黑体"/>
          <w:sz w:val="32"/>
          <w:szCs w:val="32"/>
        </w:rPr>
      </w:pPr>
      <w:r>
        <w:rPr>
          <w:rFonts w:eastAsia="黑体"/>
          <w:sz w:val="32"/>
          <w:szCs w:val="32"/>
        </w:rPr>
        <w:br w:type="page"/>
      </w:r>
    </w:p>
    <w:p>
      <w:pPr>
        <w:widowControl/>
        <w:spacing w:line="400" w:lineRule="exact"/>
        <w:jc w:val="left"/>
        <w:rPr>
          <w:rFonts w:eastAsia="黑体"/>
          <w:sz w:val="32"/>
          <w:szCs w:val="32"/>
        </w:rPr>
      </w:pPr>
      <w:r>
        <w:rPr>
          <w:rFonts w:eastAsia="黑体"/>
          <w:sz w:val="32"/>
          <w:szCs w:val="32"/>
        </w:rPr>
        <w:t>附件</w:t>
      </w:r>
      <w:r>
        <w:rPr>
          <w:rFonts w:hint="eastAsia" w:eastAsia="黑体"/>
          <w:sz w:val="32"/>
          <w:szCs w:val="32"/>
        </w:rPr>
        <w:t>3</w:t>
      </w:r>
    </w:p>
    <w:p>
      <w:pPr>
        <w:widowControl/>
        <w:spacing w:afterLines="50"/>
        <w:jc w:val="center"/>
        <w:rPr>
          <w:rFonts w:eastAsia="方正大标宋简体"/>
          <w:color w:val="000000"/>
          <w:sz w:val="36"/>
          <w:szCs w:val="36"/>
        </w:rPr>
      </w:pPr>
      <w:r>
        <w:rPr>
          <w:rFonts w:hint="eastAsia" w:eastAsia="方正大标宋简体"/>
          <w:color w:val="000000"/>
          <w:sz w:val="36"/>
          <w:szCs w:val="36"/>
        </w:rPr>
        <w:t>2023年度部门（单位）整体支出绩效自评表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940"/>
        <w:gridCol w:w="1379"/>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区级预算部门（单位）名称</w:t>
            </w:r>
          </w:p>
        </w:tc>
        <w:tc>
          <w:tcPr>
            <w:tcW w:w="688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株洲市</w:t>
            </w:r>
            <w:r>
              <w:rPr>
                <w:rFonts w:hint="eastAsia" w:eastAsia="仿宋_GB2312"/>
                <w:color w:val="000000"/>
                <w:sz w:val="20"/>
                <w:szCs w:val="20"/>
              </w:rPr>
              <w:t>芦淞区应急管理局　</w:t>
            </w:r>
          </w:p>
        </w:tc>
      </w:tr>
      <w:tr>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年度预</w:t>
            </w:r>
          </w:p>
          <w:p>
            <w:pPr>
              <w:widowControl/>
              <w:spacing w:line="240" w:lineRule="exact"/>
              <w:jc w:val="center"/>
              <w:rPr>
                <w:rFonts w:eastAsia="仿宋_GB2312"/>
                <w:color w:val="000000"/>
                <w:sz w:val="20"/>
                <w:szCs w:val="20"/>
              </w:rPr>
            </w:pPr>
            <w:r>
              <w:rPr>
                <w:rFonts w:hint="eastAsia" w:eastAsia="仿宋_GB2312"/>
                <w:color w:val="000000"/>
                <w:sz w:val="20"/>
                <w:szCs w:val="20"/>
              </w:rPr>
              <w:t>算申请</w:t>
            </w:r>
          </w:p>
          <w:p>
            <w:pPr>
              <w:widowControl/>
              <w:spacing w:line="240" w:lineRule="exact"/>
              <w:jc w:val="center"/>
              <w:rPr>
                <w:rFonts w:eastAsia="仿宋_GB2312"/>
                <w:color w:val="000000"/>
                <w:sz w:val="20"/>
                <w:szCs w:val="20"/>
              </w:rPr>
            </w:pPr>
            <w:r>
              <w:rPr>
                <w:rFonts w:hint="eastAsia"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年初预算数</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全年预算数</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全年执行数</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分值</w:t>
            </w:r>
          </w:p>
        </w:tc>
        <w:tc>
          <w:tcPr>
            <w:tcW w:w="94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执行率</w:t>
            </w:r>
          </w:p>
        </w:tc>
        <w:tc>
          <w:tcPr>
            <w:tcW w:w="137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得分</w:t>
            </w:r>
          </w:p>
        </w:tc>
      </w:tr>
      <w:tr>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241.75</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320.28</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320.25</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10</w:t>
            </w:r>
          </w:p>
        </w:tc>
        <w:tc>
          <w:tcPr>
            <w:tcW w:w="94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99.99％</w:t>
            </w:r>
          </w:p>
        </w:tc>
        <w:tc>
          <w:tcPr>
            <w:tcW w:w="137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9</w:t>
            </w:r>
          </w:p>
        </w:tc>
      </w:tr>
      <w:tr>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按收入性质分：</w:t>
            </w:r>
            <w:r>
              <w:rPr>
                <w:rFonts w:hint="eastAsia" w:eastAsia="仿宋_GB2312"/>
                <w:sz w:val="20"/>
                <w:szCs w:val="20"/>
              </w:rPr>
              <w:t>320.28</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按支出性质分：</w:t>
            </w:r>
            <w:r>
              <w:rPr>
                <w:rFonts w:hint="eastAsia" w:eastAsia="仿宋_GB2312"/>
                <w:sz w:val="20"/>
                <w:szCs w:val="20"/>
              </w:rPr>
              <w:t>320.28</w:t>
            </w:r>
          </w:p>
        </w:tc>
      </w:tr>
      <w:tr>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 xml:space="preserve">  其中：  一般公共预算：</w:t>
            </w:r>
            <w:r>
              <w:rPr>
                <w:rFonts w:hint="eastAsia" w:eastAsia="仿宋_GB2312"/>
                <w:sz w:val="20"/>
                <w:szCs w:val="20"/>
              </w:rPr>
              <w:t xml:space="preserve"> 320.28</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其中：基本支出：</w:t>
            </w:r>
            <w:r>
              <w:rPr>
                <w:rFonts w:hint="eastAsia" w:eastAsia="仿宋_GB2312"/>
                <w:sz w:val="20"/>
                <w:szCs w:val="20"/>
              </w:rPr>
              <w:t>223.84</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eastAsia="仿宋_GB2312"/>
                <w:color w:val="000000"/>
                <w:sz w:val="20"/>
                <w:szCs w:val="20"/>
              </w:rPr>
            </w:pPr>
            <w:r>
              <w:rPr>
                <w:rFonts w:hint="eastAsia" w:eastAsia="仿宋_GB2312"/>
                <w:color w:val="000000"/>
                <w:sz w:val="20"/>
                <w:szCs w:val="20"/>
              </w:rPr>
              <w:t>政府性基金拨款：</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eastAsia="仿宋_GB2312"/>
                <w:color w:val="000000"/>
                <w:sz w:val="20"/>
                <w:szCs w:val="20"/>
              </w:rPr>
            </w:pPr>
            <w:r>
              <w:rPr>
                <w:rFonts w:hint="eastAsia" w:eastAsia="仿宋_GB2312"/>
                <w:color w:val="000000"/>
                <w:sz w:val="20"/>
                <w:szCs w:val="20"/>
              </w:rPr>
              <w:t>项目支出：96.44</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eastAsia="仿宋_GB2312"/>
                <w:color w:val="000000"/>
                <w:sz w:val="20"/>
                <w:szCs w:val="20"/>
              </w:rPr>
            </w:pPr>
            <w:r>
              <w:rPr>
                <w:rFonts w:hint="eastAsia" w:eastAsia="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实际完成情况　</w:t>
            </w:r>
          </w:p>
        </w:tc>
      </w:tr>
      <w:tr>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统筹推进全局各项工作，保障人员日常办公需求，为全局人员及各项工作提供坚实的保障；协调推进上下两级工作，完成上级交办的日常工作，指导各镇、办工作。　　</w:t>
            </w:r>
          </w:p>
        </w:tc>
        <w:tc>
          <w:tcPr>
            <w:tcW w:w="4304"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　统筹推进了全局各项工作，保障了人员日常办公需求，为全局人员及各项工作提供了坚实的保障；协调推进上下两级工作，完成了上级交办的日常工作，指导各镇、办工作。</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绩</w:t>
            </w:r>
          </w:p>
          <w:p>
            <w:pPr>
              <w:widowControl/>
              <w:spacing w:line="240" w:lineRule="exact"/>
              <w:jc w:val="center"/>
              <w:rPr>
                <w:rFonts w:eastAsia="仿宋_GB2312"/>
                <w:color w:val="000000"/>
                <w:sz w:val="20"/>
                <w:szCs w:val="20"/>
              </w:rPr>
            </w:pPr>
            <w:r>
              <w:rPr>
                <w:rFonts w:hint="eastAsia" w:eastAsia="仿宋_GB2312"/>
                <w:color w:val="000000"/>
                <w:sz w:val="20"/>
                <w:szCs w:val="20"/>
              </w:rPr>
              <w:t>效</w:t>
            </w:r>
          </w:p>
          <w:p>
            <w:pPr>
              <w:widowControl/>
              <w:spacing w:line="240" w:lineRule="exact"/>
              <w:jc w:val="center"/>
              <w:rPr>
                <w:rFonts w:eastAsia="仿宋_GB2312"/>
                <w:color w:val="000000"/>
                <w:sz w:val="20"/>
                <w:szCs w:val="20"/>
              </w:rPr>
            </w:pPr>
            <w:r>
              <w:rPr>
                <w:rFonts w:hint="eastAsia" w:eastAsia="仿宋_GB2312"/>
                <w:color w:val="000000"/>
                <w:sz w:val="20"/>
                <w:szCs w:val="20"/>
              </w:rPr>
              <w:t>指</w:t>
            </w:r>
          </w:p>
          <w:p>
            <w:pPr>
              <w:widowControl/>
              <w:spacing w:line="240" w:lineRule="exact"/>
              <w:jc w:val="center"/>
              <w:rPr>
                <w:rFonts w:eastAsia="仿宋_GB2312"/>
                <w:color w:val="000000"/>
                <w:sz w:val="20"/>
                <w:szCs w:val="20"/>
              </w:rPr>
            </w:pPr>
            <w:r>
              <w:rPr>
                <w:rFonts w:hint="eastAsia" w:eastAsia="仿宋_GB2312"/>
                <w:color w:val="000000"/>
                <w:sz w:val="20"/>
                <w:szCs w:val="20"/>
              </w:rPr>
              <w:t>标</w:t>
            </w:r>
          </w:p>
          <w:p>
            <w:pPr>
              <w:widowControl/>
              <w:spacing w:line="240" w:lineRule="exact"/>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分值</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得分</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产出指标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hint="eastAsia" w:eastAsia="仿宋_GB2312"/>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保障全局在职人员和退休人员基本福利保障人数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12名在职人员和1名退休人员</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13名在职人员和1名退休人员</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无</w:t>
            </w: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1.是否保障全局正常运转；</w:t>
            </w:r>
          </w:p>
          <w:p>
            <w:pPr>
              <w:widowControl/>
              <w:spacing w:line="240" w:lineRule="exact"/>
              <w:jc w:val="left"/>
              <w:rPr>
                <w:rFonts w:eastAsia="仿宋_GB2312"/>
                <w:color w:val="000000"/>
                <w:sz w:val="20"/>
                <w:szCs w:val="20"/>
              </w:rPr>
            </w:pPr>
            <w:r>
              <w:rPr>
                <w:rFonts w:hint="eastAsia" w:eastAsia="仿宋_GB2312"/>
                <w:color w:val="000000"/>
                <w:sz w:val="20"/>
                <w:szCs w:val="20"/>
              </w:rPr>
              <w:t>2.是否保障安全生产无较大事故发生、无一般以上森林火灾。</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1.是；</w:t>
            </w:r>
          </w:p>
          <w:p>
            <w:pPr>
              <w:widowControl/>
              <w:spacing w:line="240" w:lineRule="exact"/>
              <w:jc w:val="left"/>
              <w:rPr>
                <w:rFonts w:eastAsia="仿宋_GB2312"/>
                <w:color w:val="000000"/>
                <w:sz w:val="20"/>
                <w:szCs w:val="20"/>
              </w:rPr>
            </w:pPr>
            <w:r>
              <w:rPr>
                <w:rFonts w:hint="eastAsia" w:eastAsia="仿宋_GB2312"/>
                <w:color w:val="000000"/>
                <w:sz w:val="20"/>
                <w:szCs w:val="20"/>
              </w:rPr>
              <w:t>2.是。</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1.是；</w:t>
            </w:r>
          </w:p>
          <w:p>
            <w:pPr>
              <w:widowControl/>
              <w:spacing w:line="240" w:lineRule="exact"/>
              <w:jc w:val="left"/>
              <w:rPr>
                <w:rFonts w:eastAsia="仿宋_GB2312"/>
                <w:color w:val="000000"/>
                <w:sz w:val="20"/>
                <w:szCs w:val="20"/>
              </w:rPr>
            </w:pPr>
            <w:r>
              <w:rPr>
                <w:rFonts w:hint="eastAsia" w:eastAsia="仿宋_GB2312"/>
                <w:color w:val="000000"/>
                <w:sz w:val="20"/>
                <w:szCs w:val="20"/>
              </w:rPr>
              <w:t>2.是。</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无</w:t>
            </w:r>
          </w:p>
        </w:tc>
      </w:tr>
      <w:tr>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完成各项工作期限</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2023年全年</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2023年全年</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无</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效益指标</w:t>
            </w:r>
          </w:p>
          <w:p>
            <w:pPr>
              <w:widowControl/>
              <w:spacing w:line="240" w:lineRule="exact"/>
              <w:jc w:val="left"/>
              <w:rPr>
                <w:rFonts w:eastAsia="仿宋_GB2312"/>
                <w:color w:val="000000"/>
                <w:sz w:val="20"/>
                <w:szCs w:val="20"/>
              </w:rPr>
            </w:pPr>
          </w:p>
          <w:p>
            <w:pPr>
              <w:widowControl/>
              <w:spacing w:line="240" w:lineRule="exact"/>
              <w:jc w:val="left"/>
              <w:rPr>
                <w:rFonts w:eastAsia="仿宋_GB2312"/>
                <w:color w:val="000000"/>
                <w:sz w:val="20"/>
                <w:szCs w:val="20"/>
              </w:rPr>
            </w:pPr>
            <w:r>
              <w:rPr>
                <w:rFonts w:hint="eastAsia" w:eastAsia="仿宋_GB2312"/>
                <w:color w:val="000000"/>
                <w:sz w:val="20"/>
                <w:szCs w:val="20"/>
              </w:rPr>
              <w:t>（20分）</w:t>
            </w:r>
          </w:p>
          <w:p>
            <w:pPr>
              <w:widowControl/>
              <w:spacing w:line="240" w:lineRule="exact"/>
              <w:jc w:val="left"/>
              <w:rPr>
                <w:rFonts w:eastAsia="仿宋_GB2312"/>
                <w:color w:val="000000"/>
                <w:sz w:val="20"/>
                <w:szCs w:val="20"/>
              </w:rPr>
            </w:pPr>
            <w:r>
              <w:rPr>
                <w:rFonts w:hint="eastAsia"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经济效</w:t>
            </w:r>
          </w:p>
          <w:p>
            <w:pPr>
              <w:widowControl/>
              <w:spacing w:line="240" w:lineRule="exact"/>
              <w:jc w:val="center"/>
              <w:rPr>
                <w:rFonts w:eastAsia="仿宋_GB2312"/>
                <w:color w:val="000000"/>
                <w:sz w:val="20"/>
                <w:szCs w:val="20"/>
              </w:rPr>
            </w:pPr>
            <w:r>
              <w:rPr>
                <w:rFonts w:hint="eastAsia"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社会效</w:t>
            </w:r>
          </w:p>
          <w:p>
            <w:pPr>
              <w:widowControl/>
              <w:spacing w:line="240" w:lineRule="exact"/>
              <w:jc w:val="center"/>
              <w:rPr>
                <w:rFonts w:eastAsia="仿宋_GB2312"/>
                <w:color w:val="000000"/>
                <w:sz w:val="20"/>
                <w:szCs w:val="20"/>
              </w:rPr>
            </w:pPr>
            <w:r>
              <w:rPr>
                <w:rFonts w:hint="eastAsia"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开展各项工作，切实有效减少各项事故的发生，切实保障人民群众的财产安全。</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开展各项工作，切实有效减少各项事故的发生，切实保障人民群众的财产安全。</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开展了各项工作，切实有效减少各项事故的发生，切实保障人民群众的财产安全。</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无</w:t>
            </w:r>
          </w:p>
        </w:tc>
      </w:tr>
      <w:tr>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生态效</w:t>
            </w:r>
          </w:p>
          <w:p>
            <w:pPr>
              <w:widowControl/>
              <w:spacing w:line="240" w:lineRule="exact"/>
              <w:jc w:val="center"/>
              <w:rPr>
                <w:rFonts w:eastAsia="仿宋_GB2312"/>
                <w:color w:val="000000"/>
                <w:sz w:val="20"/>
                <w:szCs w:val="20"/>
              </w:rPr>
            </w:pPr>
            <w:r>
              <w:rPr>
                <w:rFonts w:hint="eastAsia"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筹推进全局各项工作，保障人员日常办公需求，为全局人员及各项工作提供坚实的保障</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筹推进全局各项工作，保障人员日常办公需求，为全局人员及各项工作提供坚实的保障</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筹推进全局各项工作，保障人员日常办公需求，为全局人员及各项工作提供坚实的保障</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满意度</w:t>
            </w:r>
          </w:p>
          <w:p>
            <w:pPr>
              <w:widowControl/>
              <w:spacing w:line="240" w:lineRule="exact"/>
              <w:jc w:val="center"/>
              <w:rPr>
                <w:rFonts w:eastAsia="仿宋_GB2312"/>
                <w:color w:val="000000"/>
                <w:sz w:val="20"/>
                <w:szCs w:val="20"/>
              </w:rPr>
            </w:pPr>
            <w:r>
              <w:rPr>
                <w:rFonts w:hint="eastAsia" w:eastAsia="仿宋_GB2312"/>
                <w:color w:val="000000"/>
                <w:sz w:val="20"/>
                <w:szCs w:val="20"/>
              </w:rPr>
              <w:t>指标</w:t>
            </w:r>
          </w:p>
          <w:p>
            <w:pPr>
              <w:widowControl/>
              <w:spacing w:line="240" w:lineRule="exact"/>
              <w:jc w:val="center"/>
              <w:rPr>
                <w:rFonts w:eastAsia="仿宋_GB2312"/>
                <w:color w:val="000000"/>
                <w:sz w:val="20"/>
                <w:szCs w:val="20"/>
              </w:rPr>
            </w:pPr>
            <w:r>
              <w:rPr>
                <w:rFonts w:hint="eastAsia"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全局工作人员及人民群众对2023年度各项工作的满意度</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无</w:t>
            </w:r>
          </w:p>
        </w:tc>
      </w:tr>
      <w:tr>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1.基本支出成本金额；</w:t>
            </w:r>
          </w:p>
          <w:p>
            <w:pPr>
              <w:widowControl/>
              <w:spacing w:line="240" w:lineRule="exact"/>
              <w:jc w:val="center"/>
              <w:rPr>
                <w:rFonts w:eastAsia="仿宋_GB2312"/>
                <w:color w:val="000000"/>
                <w:sz w:val="20"/>
                <w:szCs w:val="20"/>
              </w:rPr>
            </w:pPr>
            <w:r>
              <w:rPr>
                <w:rFonts w:hint="eastAsia" w:eastAsia="仿宋_GB2312"/>
                <w:color w:val="000000"/>
                <w:sz w:val="20"/>
                <w:szCs w:val="20"/>
              </w:rPr>
              <w:t>2.项目支出成本金额。</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1.203.06万元；</w:t>
            </w:r>
          </w:p>
          <w:p>
            <w:pPr>
              <w:widowControl/>
              <w:spacing w:line="240" w:lineRule="exact"/>
              <w:jc w:val="left"/>
              <w:rPr>
                <w:rFonts w:eastAsia="仿宋_GB2312"/>
                <w:color w:val="000000"/>
                <w:sz w:val="20"/>
                <w:szCs w:val="20"/>
              </w:rPr>
            </w:pPr>
            <w:r>
              <w:rPr>
                <w:rFonts w:hint="eastAsia" w:eastAsia="仿宋_GB2312"/>
                <w:color w:val="000000"/>
                <w:sz w:val="20"/>
                <w:szCs w:val="20"/>
              </w:rPr>
              <w:t>2.38.69万元。</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1.223.84万元；</w:t>
            </w:r>
          </w:p>
          <w:p>
            <w:pPr>
              <w:widowControl/>
              <w:spacing w:line="240" w:lineRule="exact"/>
              <w:jc w:val="left"/>
              <w:rPr>
                <w:rFonts w:eastAsia="仿宋_GB2312"/>
                <w:color w:val="000000"/>
                <w:sz w:val="20"/>
                <w:szCs w:val="20"/>
              </w:rPr>
            </w:pPr>
            <w:r>
              <w:rPr>
                <w:rFonts w:hint="eastAsia" w:eastAsia="仿宋_GB2312"/>
                <w:color w:val="000000"/>
                <w:sz w:val="20"/>
                <w:szCs w:val="20"/>
              </w:rPr>
              <w:t>2.96.41万元。</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20</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18</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无</w:t>
            </w:r>
          </w:p>
        </w:tc>
      </w:tr>
      <w:tr>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r>
      <w:tr>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94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c>
          <w:tcPr>
            <w:tcW w:w="13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总分</w:t>
            </w:r>
          </w:p>
        </w:tc>
        <w:tc>
          <w:tcPr>
            <w:tcW w:w="7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9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color w:val="000000"/>
                <w:sz w:val="20"/>
                <w:szCs w:val="20"/>
              </w:rPr>
            </w:pPr>
            <w:r>
              <w:rPr>
                <w:rFonts w:hint="eastAsia" w:eastAsia="仿宋_GB2312"/>
                <w:sz w:val="22"/>
                <w:szCs w:val="22"/>
              </w:rPr>
              <w:t>94</w:t>
            </w:r>
          </w:p>
        </w:tc>
        <w:tc>
          <w:tcPr>
            <w:tcW w:w="137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r>
    </w:tbl>
    <w:p>
      <w:pPr>
        <w:tabs>
          <w:tab w:val="left" w:pos="7560"/>
        </w:tabs>
        <w:adjustRightInd w:val="0"/>
        <w:snapToGrid w:val="0"/>
        <w:spacing w:line="560" w:lineRule="exact"/>
        <w:rPr>
          <w:rFonts w:eastAsia="仿宋_GB2312"/>
          <w:szCs w:val="21"/>
        </w:rPr>
      </w:pPr>
      <w:r>
        <w:rPr>
          <w:rFonts w:eastAsia="仿宋_GB2312"/>
          <w:sz w:val="22"/>
          <w:szCs w:val="22"/>
        </w:rPr>
        <w:t xml:space="preserve">填表人：何花    填报日期： </w:t>
      </w:r>
      <w:r>
        <w:rPr>
          <w:rFonts w:hint="eastAsia" w:eastAsia="仿宋_GB2312"/>
          <w:sz w:val="22"/>
          <w:szCs w:val="22"/>
          <w:lang w:val="en-US" w:eastAsia="zh-CN"/>
        </w:rPr>
        <w:t xml:space="preserve">   </w:t>
      </w:r>
      <w:r>
        <w:rPr>
          <w:rFonts w:eastAsia="仿宋_GB2312"/>
          <w:sz w:val="22"/>
          <w:szCs w:val="22"/>
        </w:rPr>
        <w:t xml:space="preserve">  联系电话：</w:t>
      </w:r>
      <w:r>
        <w:rPr>
          <w:rFonts w:hint="eastAsia" w:eastAsia="仿宋_GB2312"/>
          <w:sz w:val="22"/>
          <w:szCs w:val="22"/>
        </w:rPr>
        <w:t>28580689</w:t>
      </w:r>
      <w:r>
        <w:rPr>
          <w:rFonts w:eastAsia="仿宋_GB2312"/>
          <w:sz w:val="22"/>
          <w:szCs w:val="22"/>
        </w:rPr>
        <w:t xml:space="preserve">     单位负责人签字：刘湛</w:t>
      </w:r>
    </w:p>
    <w:sectPr>
      <w:footerReference r:id="rId3" w:type="default"/>
      <w:pgSz w:w="11906" w:h="16838"/>
      <w:pgMar w:top="2098" w:right="1531" w:bottom="1984" w:left="1531" w:header="851" w:footer="158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6</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2NzM3ZTkxYWQ4YTFhNmRiMjhmYjBmNzdhZTI5MzMifQ=="/>
    <w:docVar w:name="KSO_WPS_MARK_KEY" w:val="cb8135a4-cbb2-49c8-8248-ba3007407f48"/>
  </w:docVars>
  <w:rsids>
    <w:rsidRoot w:val="3B7EF2ED"/>
    <w:rsid w:val="00160E98"/>
    <w:rsid w:val="002E4781"/>
    <w:rsid w:val="003B3269"/>
    <w:rsid w:val="00403DD1"/>
    <w:rsid w:val="00415F1A"/>
    <w:rsid w:val="004C0C1B"/>
    <w:rsid w:val="00513B00"/>
    <w:rsid w:val="005D4533"/>
    <w:rsid w:val="00696F8B"/>
    <w:rsid w:val="00710967"/>
    <w:rsid w:val="0077574E"/>
    <w:rsid w:val="007F2EC4"/>
    <w:rsid w:val="009130D8"/>
    <w:rsid w:val="00991AB8"/>
    <w:rsid w:val="009C5CAF"/>
    <w:rsid w:val="00A3444E"/>
    <w:rsid w:val="00A37614"/>
    <w:rsid w:val="00A42E69"/>
    <w:rsid w:val="00A653E2"/>
    <w:rsid w:val="00AA7F51"/>
    <w:rsid w:val="00AB1850"/>
    <w:rsid w:val="00B63AC4"/>
    <w:rsid w:val="00BA6B6D"/>
    <w:rsid w:val="00C00461"/>
    <w:rsid w:val="00C17AE8"/>
    <w:rsid w:val="00EB5B49"/>
    <w:rsid w:val="00F0489F"/>
    <w:rsid w:val="00F6423E"/>
    <w:rsid w:val="01092E43"/>
    <w:rsid w:val="01305281"/>
    <w:rsid w:val="029A22D5"/>
    <w:rsid w:val="04664A43"/>
    <w:rsid w:val="055D755A"/>
    <w:rsid w:val="057073E7"/>
    <w:rsid w:val="06300BB7"/>
    <w:rsid w:val="07CF735F"/>
    <w:rsid w:val="07D102E3"/>
    <w:rsid w:val="07D41268"/>
    <w:rsid w:val="08814C04"/>
    <w:rsid w:val="08845B88"/>
    <w:rsid w:val="0AF92D0E"/>
    <w:rsid w:val="0BF14028"/>
    <w:rsid w:val="0CD66F96"/>
    <w:rsid w:val="0E1B4EB5"/>
    <w:rsid w:val="10560F5C"/>
    <w:rsid w:val="10F75262"/>
    <w:rsid w:val="12117034"/>
    <w:rsid w:val="12F63EBC"/>
    <w:rsid w:val="153220D4"/>
    <w:rsid w:val="16A51FB6"/>
    <w:rsid w:val="173F21B4"/>
    <w:rsid w:val="17FA7064"/>
    <w:rsid w:val="18F63A84"/>
    <w:rsid w:val="1A101FD2"/>
    <w:rsid w:val="1A826A90"/>
    <w:rsid w:val="1A9A0156"/>
    <w:rsid w:val="1AA167C8"/>
    <w:rsid w:val="1C895B5E"/>
    <w:rsid w:val="1C8C2366"/>
    <w:rsid w:val="1D2A56E8"/>
    <w:rsid w:val="1DE92197"/>
    <w:rsid w:val="1F7D4C37"/>
    <w:rsid w:val="1FDD1C52"/>
    <w:rsid w:val="20E45483"/>
    <w:rsid w:val="20EC0311"/>
    <w:rsid w:val="21086065"/>
    <w:rsid w:val="218D2419"/>
    <w:rsid w:val="26362371"/>
    <w:rsid w:val="274E2589"/>
    <w:rsid w:val="28877790"/>
    <w:rsid w:val="28DA21D4"/>
    <w:rsid w:val="29252190"/>
    <w:rsid w:val="29E83175"/>
    <w:rsid w:val="2A6A2827"/>
    <w:rsid w:val="2BAD4138"/>
    <w:rsid w:val="2BB327BE"/>
    <w:rsid w:val="2E601123"/>
    <w:rsid w:val="2E6E5EBA"/>
    <w:rsid w:val="30161DDB"/>
    <w:rsid w:val="306F7C5C"/>
    <w:rsid w:val="30812C5E"/>
    <w:rsid w:val="31260631"/>
    <w:rsid w:val="3392652C"/>
    <w:rsid w:val="352D62CE"/>
    <w:rsid w:val="35C771FF"/>
    <w:rsid w:val="35E656FC"/>
    <w:rsid w:val="36584736"/>
    <w:rsid w:val="366208C9"/>
    <w:rsid w:val="37440EBB"/>
    <w:rsid w:val="37A15870"/>
    <w:rsid w:val="38DF0C5D"/>
    <w:rsid w:val="3B7EF2ED"/>
    <w:rsid w:val="3C0E4317"/>
    <w:rsid w:val="3C4569F0"/>
    <w:rsid w:val="3DA63134"/>
    <w:rsid w:val="3F3C44CF"/>
    <w:rsid w:val="4088593D"/>
    <w:rsid w:val="40D667EF"/>
    <w:rsid w:val="40EA548F"/>
    <w:rsid w:val="414E1930"/>
    <w:rsid w:val="419C74B1"/>
    <w:rsid w:val="4205365D"/>
    <w:rsid w:val="420A3368"/>
    <w:rsid w:val="43B45922"/>
    <w:rsid w:val="43C845C3"/>
    <w:rsid w:val="44F53FBC"/>
    <w:rsid w:val="4537221B"/>
    <w:rsid w:val="46C50728"/>
    <w:rsid w:val="46E624AF"/>
    <w:rsid w:val="47D7186A"/>
    <w:rsid w:val="488D0932"/>
    <w:rsid w:val="48D12D87"/>
    <w:rsid w:val="490B63E4"/>
    <w:rsid w:val="4C58104F"/>
    <w:rsid w:val="4E3B4A67"/>
    <w:rsid w:val="4E5C081F"/>
    <w:rsid w:val="4ECE7859"/>
    <w:rsid w:val="4F125FC1"/>
    <w:rsid w:val="4F30407B"/>
    <w:rsid w:val="4F487865"/>
    <w:rsid w:val="504925C9"/>
    <w:rsid w:val="51183F1B"/>
    <w:rsid w:val="52245352"/>
    <w:rsid w:val="52295F56"/>
    <w:rsid w:val="538F45A4"/>
    <w:rsid w:val="544143C8"/>
    <w:rsid w:val="56E15C15"/>
    <w:rsid w:val="56ED52AB"/>
    <w:rsid w:val="5B237E93"/>
    <w:rsid w:val="5B432946"/>
    <w:rsid w:val="5C936DF0"/>
    <w:rsid w:val="5D3A0883"/>
    <w:rsid w:val="5E50292A"/>
    <w:rsid w:val="5E51004B"/>
    <w:rsid w:val="5F1A7A93"/>
    <w:rsid w:val="61D04B09"/>
    <w:rsid w:val="63B668EE"/>
    <w:rsid w:val="677E059C"/>
    <w:rsid w:val="678768E9"/>
    <w:rsid w:val="67FD1DAB"/>
    <w:rsid w:val="68B74A5D"/>
    <w:rsid w:val="6A34524E"/>
    <w:rsid w:val="6B732357"/>
    <w:rsid w:val="6EB2602C"/>
    <w:rsid w:val="7144725F"/>
    <w:rsid w:val="730D7B4F"/>
    <w:rsid w:val="7355410F"/>
    <w:rsid w:val="748C3843"/>
    <w:rsid w:val="75FA3A1A"/>
    <w:rsid w:val="77234781"/>
    <w:rsid w:val="777A0A13"/>
    <w:rsid w:val="77B030EB"/>
    <w:rsid w:val="78F61204"/>
    <w:rsid w:val="79DC01FD"/>
    <w:rsid w:val="7A373D8F"/>
    <w:rsid w:val="7A4259A3"/>
    <w:rsid w:val="7BCA41A5"/>
    <w:rsid w:val="7CC3693C"/>
    <w:rsid w:val="7EE06CB6"/>
    <w:rsid w:val="7F0A58FC"/>
    <w:rsid w:val="7F9B6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link w:val="15"/>
    <w:uiPriority w:val="0"/>
    <w:pPr>
      <w:snapToGrid w:val="0"/>
      <w:spacing w:line="360" w:lineRule="auto"/>
    </w:pPr>
    <w:rPr>
      <w:rFonts w:ascii="Calibri" w:hAnsi="Calibri" w:eastAsia="仿宋_GB2312"/>
      <w:sz w:val="32"/>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uiPriority w:val="0"/>
    <w:rPr>
      <w:sz w:val="21"/>
      <w:szCs w:val="21"/>
    </w:rPr>
  </w:style>
  <w:style w:type="character" w:customStyle="1" w:styleId="11">
    <w:name w:val="NormalCharacter"/>
    <w:qFormat/>
    <w:uiPriority w:val="0"/>
  </w:style>
  <w:style w:type="paragraph" w:styleId="12">
    <w:name w:val="List Paragraph"/>
    <w:basedOn w:val="1"/>
    <w:qFormat/>
    <w:uiPriority w:val="99"/>
    <w:pPr>
      <w:ind w:firstLine="420" w:firstLineChars="200"/>
    </w:pPr>
    <w:rPr>
      <w:rFonts w:ascii="Calibri" w:hAnsi="Calibri"/>
      <w:szCs w:val="22"/>
    </w:rPr>
  </w:style>
  <w:style w:type="character" w:customStyle="1" w:styleId="13">
    <w:name w:val="页眉 Char"/>
    <w:basedOn w:val="8"/>
    <w:link w:val="6"/>
    <w:uiPriority w:val="0"/>
    <w:rPr>
      <w:rFonts w:ascii="Times New Roman" w:hAnsi="Times New Roman"/>
      <w:kern w:val="2"/>
      <w:sz w:val="18"/>
      <w:szCs w:val="18"/>
    </w:rPr>
  </w:style>
  <w:style w:type="character" w:customStyle="1" w:styleId="14">
    <w:name w:val="批注框文本 Char"/>
    <w:basedOn w:val="8"/>
    <w:link w:val="4"/>
    <w:qFormat/>
    <w:uiPriority w:val="0"/>
    <w:rPr>
      <w:rFonts w:ascii="Times New Roman" w:hAnsi="Times New Roman"/>
      <w:kern w:val="2"/>
      <w:sz w:val="18"/>
      <w:szCs w:val="18"/>
    </w:rPr>
  </w:style>
  <w:style w:type="character" w:customStyle="1" w:styleId="15">
    <w:name w:val="正文文本 Char"/>
    <w:basedOn w:val="8"/>
    <w:link w:val="3"/>
    <w:qFormat/>
    <w:uiPriority w:val="0"/>
    <w:rPr>
      <w:rFonts w:eastAsia="仿宋_GB2312"/>
      <w:kern w:val="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4209</Words>
  <Characters>4591</Characters>
  <Lines>36</Lines>
  <Paragraphs>10</Paragraphs>
  <TotalTime>7</TotalTime>
  <ScaleCrop>false</ScaleCrop>
  <LinksUpToDate>false</LinksUpToDate>
  <CharactersWithSpaces>4696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2024-11-08T03:32:00Z</dcterms:created>
  <dc:creator>kylin</dc:creator>
  <cp:lastModifiedBy>翩翩侠</cp:lastModifiedBy>
  <dcterms:modified xsi:type="dcterms:W3CDTF">2024-11-08T03:44:57Z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9A572DAAC2FB435B8D44BC44D7920B20_12</vt:lpwstr>
  </property>
</Properties>
</file>