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年度部门整体支出绩效自评报告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44"/>
        </w:rPr>
        <w:t>单位名称（盖章）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AndChars" w:linePitch="312" w:charSpace="0"/>
        </w:sectPr>
      </w:pP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一、预算单位基本情况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1、主要职能：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（1）贯彻落实党和国家各项方针政策和法律法规，对居民进行思想政治教育和社会主义法制教育，依法保障居民合法权益。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（2）拟订并执行本行政区域内的经济和社会发展远近期规划，大力发民街道经济，提高社区服务能力。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（3）管理本行政区域内的经济、教育、科学、文化、体育、卫生、农业事业和财政、民政、安全、司法行政、计划生育、城市管理、社会管理综合治理等行政工作。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（4）负责本行政区域内的社会主义精神文明建设和民主法制建设，组织开展各类文明创建活动和群众性文化活动。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（5）承担本级基层政权建设和基层组织建设工作。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（6）抓好征兵工作，组织民兵训练，开展国防教育等工作。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（7）完成区委、区政府交办的其他工作任务。</w:t>
      </w:r>
    </w:p>
    <w:p>
      <w:pPr>
        <w:spacing w:line="560" w:lineRule="exact"/>
        <w:ind w:firstLine="64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2、机构情况：街道辖3个行政村和7个居委会，辖区常住人口约5万人。</w:t>
      </w:r>
    </w:p>
    <w:p>
      <w:pPr>
        <w:spacing w:line="560" w:lineRule="exact"/>
        <w:ind w:firstLine="645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3、人员情况：截止202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年12月拥有在职人员（以区发工资人数为基准）3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人，退休人员2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/>
          <w:sz w:val="30"/>
          <w:szCs w:val="30"/>
        </w:rPr>
        <w:t>人，网格人员1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二、预算收支出情况（按单位预算口径）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1387.4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万元，其中年初预算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995.12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万元，调整追加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392.28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万元。其他资金来源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1387.4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577.4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三、资金使用及绩效情况（包含单位管理的公共专项）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坚持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eastAsia="zh-CN"/>
        </w:rPr>
        <w:t>党建引领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示范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</w:rPr>
        <w:t>，政治建设不断加强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u w:val="none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主题教育守初心。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街道党工委坚持以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习近平新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时代中国特色社会主义思想为指导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，把开展主题教育作为一项重大政治任务，以高度负责的态度抓好主题教育，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切实学在深处、干在实处。自主题教育开展以来，辖区57个党支部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制定了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学习计划，每月组织党员开展学习研讨活动，“书记讲党课”68次，坚定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理想信念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，锤炼了党性修养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第一议题促学习。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街道切实落实学习第一议题制度，以领导领学促进全员共学，围绕习近平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总书记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系列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重要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讲话精神，组织理论中心组学习12次，机关党支部开展“三会一课”21次，主题党日活动12次，领导班子下基层讲党课11次，把学习贯彻习近平新时代中国特色社会主义思想作为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首要政治任务，不断增强“四个意识”，坚定“四个自信”，忠诚拥护“两个确立”，坚决做到“两个维护”。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阵地建设强根基。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完成了白马村党总支党群服务中心、井墈社区党群服务中心提质改造，加快建设清石嘉苑党支部党群服务站、天骄小区党群服务站，报亭社区广铁小区党支部成功创建株洲市五星级小区党支部，通过建设规范化和标准化的党员活动阵地，开展形式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多样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的活动，不断增强基层党组织的凝聚力和战斗力，提高基层党员素质。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统筹推进作风建设，街道效能不断提升。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为进一步严明纪律作风，切实巩固“干部能力提升年”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成果同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“作风建设年”有效衔接，街道党工委开展了一系列作风建设活动。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强化以镜鉴己，补足精神之钙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街道党工委紧紧围绕以案明纪以案促改肃流毒、正生态、促发展这一主题，深入开展了“镜鉴”专题大讨论活动。组织机关全体党员集中观看廉政警示片，并对21起典型案例进行深入剖析，班子成员带头撰写了心得体会。机关全体党员分组进行研讨，其中，班子成员以普通党员身份参与大讨论，与会党员轮流将心得体会进行分享交流，利用“反面典型”，敲响党员干部引以为戒的警钟，提高自身党性修养，不触“底线”，不碰“红线”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坚持以学促改，强化底线思维。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一是街道组织开展“两带头五整治”纠风反腐专项行动，切实提高党员思想认识和政治站位，准确把握开展好专项行动的重要性和紧迫性，把专项行动作为开展主题教育、推进作风建设、净化政治生态的重要抓手，确保专项行动取得实效。二是“清廉家风、照我心田”主题征文活动。大力推进清廉机关建设工作，采取干部群众喜闻乐见的形式，教育引导党员干部弘扬清廉家风，筑牢反腐防线，利用身边先进典型，形成带动作用，让党员干部自觉增强廉洁自律意识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加强建章立制，激励担当作为。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街道制定了《清水塘街道2023年“作风建设年”实施方案》，一是严格考察标准，将考核考察结果充分运用到干部选拔任用、职级晋升、评先评优上来。二是坚持严管和厚爱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相结合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，评选表彰一批担当作为、创新创业的先进部门和先进个人，让能为善为敢为的干部脱颖而出。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紧扣民生实事项目，民生保障不断夯实。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就业服务提质增效。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积极推动沈家湾社区、湘天桥社区、华垅社区就业服务驿站建设，组织开展职业培训大讲堂活动，井墈社区召开企业专场招聘会。持续推进人社就业工作目标，城镇新增就业指标完成1577人，劳动力转移就业指标完成30人、完成高校毕业生就业服务61人次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民生底线走深走实。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目前街道低保在册人数363人，2023年低保对象新增33人，退出低保24人。办理临时救助19人，发放临时救助金33800元。办理医疗救助14人，发放医疗救助金127517元。通过全面强化街道低保扩围增效工作力度，畅通“政策找人”的主动发现渠道，不断提升救助时效和精准度，织密织牢低保保障网，确保低保对象应保尽保、应纳尽纳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养老服务多元共建。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入弘益社工社会组织，充分发挥社工专业优势，给予“繁星工程”志愿者帮助和支持，运用“社工+志愿者”社志联动模式，共同为辖区重点老人提供精准帮扶。引入社会资本，创办老年食堂、老年驿站等，为社区老人提供精准养老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建设了清水塘街道养老服务中心，统筹整合养老服务机构资源，重点打造具备养老服务供需对接、社区餐厅、老年学堂、康养娱乐、集中照护等功能于一体的街道区域养老服务中心，切实提高街道养老服务水平。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井墈社区成功创建全国示范性老年友好型社区。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聚焦生态资源保护，乡村振兴不断加快。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一是加强耕地保护。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为改善土壤质量确保土地有效利用，对辖区内3938.19亩稻田土地设立严格管控区，在严格管控区内实施优质大豆和国家推广的试验水稻的种植培育，增加农民收入。完成耕地复耕90.885亩。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二是强化森林安全。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制定《清水塘街道森林防火工作方案及考核奖惩办法（试行）》（株石清党发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14号），对野外生产用火实行“计划烧除”，重要山林关口实行24小时值班值守轮岗制度，完成了九塘、白马村森林防火道、隔离带等建设任务。成立多部门联合督查组全时段监督值班值守情况，对履职不力的及时予以通报纠正，并将其纳入绩效考核结果中来，切实保障森林安全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三是壮大集体经济。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九塘村以“鱼水文化”为核心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生态垂钓基地和140亩湘莲种植项目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村集体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万元。白马村以“九郎福柚”品牌建设为核心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瓜果、蔬菜种植采摘园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，村集体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万元。大冲村以“秋瑾文化”为核心，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打造党建研学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休闲文旅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，槐庭食府、“三社合一”运营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村集体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万元。严格落实耕地“非粮化”“非农化”要求，积极盘活土地资源，引入200亩益母草种植项目，在乡村振兴方面探索了新路径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u w:val="none"/>
          <w:lang w:val="en-US" w:eastAsia="zh-CN"/>
        </w:rPr>
        <w:t>持续改善城居环境，小区治理不断升级。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红色物业创建成功。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完成井墈社区株化小区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、果园社区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“红色物业”创建工作，打造示范型党建引领小区。同社区居委会、业委会、派出所、律师等形成联合队伍，定期听取物业公司服务工作汇报，提升物业服务效能。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创文巩卫卓有成效。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处置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牛皮癣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100余次，劝导违章行为10000余次，清理破损广告90余次，督促餐饮门店规范使用油烟净化设备400余次，劝导并处置露天焚烧问题50余次，创文巩卫工作取得显著成效。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志愿服务创新升级。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目前完成志愿者培育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11000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人，完成了“一户一人”志愿者“繁星工程”万人志愿者总目标。自工作推进以来，志愿者常态化在街道开展“十大主题”志愿服务，累计开展志愿活动600余场、“幸福邻里节”活动9场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、长株潭一体化“欢乐跑”活动，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既丰富了群众精神生活，也充分发挥了志愿者监督与协调作用，参与社区矛盾调解、清廉社区建设中来，切实保障社区环境和谐稳定。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u w:val="none"/>
          <w:lang w:val="en-US" w:eastAsia="zh-CN"/>
        </w:rPr>
        <w:t>六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u w:val="none"/>
          <w:lang w:val="en-US" w:eastAsia="zh-CN"/>
        </w:rPr>
        <w:t>全力维护社会稳定，发展底线不断筑牢。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信访矛盾调解成果显著。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共处理上访个案30余件，群访4件，成功签订息访息诉案件2件。在全国两会、省两会、市两会等敏感时期，未发生一起因处理不当造成的越级访、非访、闹访民事案件。成功完成慧泉书记来石峰区信访接待工作，公开登记11批，其中2例纳入慧泉书记接访名单，3例纳入市直部门接访名单，取得较好效果。街道信访工作受理率100%、答复率100%、参评率100%和参评满意率均达到100%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禁毒网格化全面管控。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举办禁毒宣传活动20余场。组织党员干部、学生、居民等到禁毒教育基地参观学习4次。开展禁毒宣传进校园、禁毒宣传进农村等活动38场。对396名在册吸毒人员建立一人一档，准确掌握人员基本情况、现实表现，一旦发现异常情况，及时管控帮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全面实现对辖区在册吸毒人员纳入网格化管控，完善社区戒毒（康复）工作机制，社区戒毒（康复）执行率达到100%，“出所必接”比例达100%。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安全生产监管常抓不懈。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班子会研究安全生产工作16次，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企业负责人开工第一课讲安全、企业安全培训、上门讲解典型生产安全事故案例等，增强安全管理人员的工作规范性和企业从业人员的安全意识。坚持“全覆盖、零容忍、严执法、重实效”的要求，开展安全生产、防灾减灾等检查150多次，派出检查700余人次，排查各类生产经营单位560多家，排查消防、工贸、餐饮等领域安全隐患500多条，对于不能现场整改的安全隐患，严格落实一单四制，共开具一单四制80余份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全年未发生一起特重大安全生产事故，街道社会大局平稳可控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在总结回顾成绩的同时，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也需要认识到街道仍然存在部分问题亟待解决：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一是运转经费不足。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一方面街道财政收入主要是来自区级财政对街道的财政转移支付，但仍不足以支撑街道基础设施和社会事业发展的需要。另一方面市区上级部门均可对街道下达任务，以考核来督促完成各项任务，但事权和财权不相统一，街道为完成任务必须拿出资金进行配套，脱离了街道实际承受能力，运转压力较大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二是信访矛盾隐患仍然存在。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汇亚大楼及华晨翡翠湾业主信访群体、“三供一业”遗留问题、老旧小区安全隐患问题等仍然较为突出，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部分群众反应过度，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沟通方式较为激进，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矛盾风险增加，导致工作压力大、调解难度大。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三是物业公司与居民矛盾凸显。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一方面是物业公司市场化程度不高，利用闲置资源能力较差，对开展高水平的物业服务缺乏积极性。另一方面辖区多是国有企业搬迁后的厂矿型小区，居民思想还未从企业大包大揽的状态中改变，花钱买服务的意识不强，拒缴拖缴物业管理费用，导致物业与居民矛盾日益增加，管理难度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（二）项目支出绩效情况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对应年初预算申报及年中预算调整的子项目分别描述绩效情况（可单独提供项目绩效评价报告），格式参考如下：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预算项目</w:t>
      </w:r>
      <w:r>
        <w:rPr>
          <w:rFonts w:hint="eastAsia" w:ascii="仿宋_GB2312" w:eastAsia="仿宋_GB2312"/>
          <w:color w:val="auto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微民生网格事件办理经费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27.45</w:t>
      </w:r>
      <w:r>
        <w:rPr>
          <w:rFonts w:hint="eastAsia" w:ascii="仿宋_GB2312" w:eastAsia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业务性专项经费”</w:t>
      </w:r>
      <w:r>
        <w:rPr>
          <w:rFonts w:hint="eastAsia" w:ascii="仿宋_GB2312" w:eastAsia="仿宋_GB2312"/>
          <w:color w:val="auto"/>
          <w:sz w:val="32"/>
          <w:szCs w:val="32"/>
        </w:rPr>
        <w:t>金额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37.25</w:t>
      </w:r>
      <w:r>
        <w:rPr>
          <w:rFonts w:hint="eastAsia" w:ascii="仿宋_GB2312" w:eastAsia="仿宋_GB2312"/>
          <w:color w:val="auto"/>
          <w:sz w:val="32"/>
          <w:szCs w:val="32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社区人员经费”</w:t>
      </w:r>
      <w:r>
        <w:rPr>
          <w:rFonts w:hint="eastAsia" w:ascii="仿宋_GB2312" w:eastAsia="仿宋_GB2312"/>
          <w:color w:val="auto"/>
          <w:sz w:val="32"/>
          <w:szCs w:val="32"/>
        </w:rPr>
        <w:t>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342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,“提退人员经费”金额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11.81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</w:rPr>
        <w:t>年中执行调增（减）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418.51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）微民生网格事件办理经费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27.45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社区网格化管理依托统一的城市管理以及数字化的平台，将城市管理辖区按照一定的标准划分成单元格。通过加强对单元网格的部件和事件巡查，建立一种监督和处置互相分离的形式。项目资金拔付率100%，项目资金使用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69</w:t>
      </w:r>
      <w:r>
        <w:rPr>
          <w:rFonts w:hint="eastAsia" w:ascii="仿宋_GB2312" w:eastAsia="仿宋_GB2312"/>
          <w:sz w:val="32"/>
          <w:szCs w:val="32"/>
          <w:highlight w:val="none"/>
        </w:rPr>
        <w:t>%，该项目在积极的推进和实施过程中产生了良好的社会效益，有效地提高了事务管理人员的工作积极性。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（2）业务性专项经费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项目支出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37.25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万元，主要用于街道党建、城管、妇联、计生、基层武装、综治维稳等开支,按进度，项目资金拔付率100%，项目资金使用率99.74%。体现了惠民利民的民本思想理念，将群众切身利益维护好、实现好、发展好，提升了居民的幸福感,进一步做好综治维稳、武装征兵、安全生产、城管等工作，提高街道办民办实事办好事的能力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（3）社区人员经费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ab/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</w:t>
      </w:r>
      <w:r>
        <w:rPr>
          <w:rFonts w:hint="eastAsia" w:ascii="仿宋_GB2312" w:eastAsia="仿宋_GB2312"/>
          <w:sz w:val="32"/>
          <w:szCs w:val="32"/>
          <w:highlight w:val="none"/>
        </w:rPr>
        <w:t>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342</w:t>
      </w:r>
      <w:r>
        <w:rPr>
          <w:rFonts w:hint="eastAsia" w:ascii="仿宋_GB2312" w:eastAsia="仿宋_GB2312"/>
          <w:sz w:val="32"/>
          <w:szCs w:val="32"/>
        </w:rPr>
        <w:t>万元，主要用于更好服务社区,增强社区居民幸福指数,发挥好社区组织枢纽和配置作用,上通下达。按进度，项目资金拔付率100%，项目资金使用率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%。该项目在积极的推进和实施过程中产生了良好的社会效益，有效地提高了事务管理人员的工作积极性。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（4）提退人员经费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ab/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项目支</w:t>
      </w:r>
      <w:r>
        <w:rPr>
          <w:rFonts w:hint="eastAsia" w:ascii="仿宋_GB2312" w:eastAsia="仿宋_GB2312"/>
          <w:sz w:val="32"/>
          <w:szCs w:val="32"/>
          <w:highlight w:val="none"/>
        </w:rPr>
        <w:t>出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11.81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highlight w:val="none"/>
        </w:rPr>
        <w:t>主要用于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提退</w:t>
      </w:r>
      <w:r>
        <w:rPr>
          <w:rFonts w:hint="eastAsia" w:ascii="仿宋_GB2312" w:eastAsia="仿宋_GB2312"/>
          <w:sz w:val="32"/>
          <w:szCs w:val="32"/>
          <w:highlight w:val="none"/>
        </w:rPr>
        <w:t>人员工资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、社保和</w:t>
      </w:r>
      <w:r>
        <w:rPr>
          <w:rFonts w:hint="eastAsia" w:ascii="仿宋_GB2312" w:eastAsia="仿宋_GB2312"/>
          <w:sz w:val="32"/>
          <w:szCs w:val="32"/>
          <w:highlight w:val="none"/>
        </w:rPr>
        <w:t>考核奖金等。按进度，项目资金拔付率100%，项目资金使用率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62.17</w:t>
      </w:r>
      <w:r>
        <w:rPr>
          <w:rFonts w:hint="eastAsia" w:ascii="仿宋_GB2312" w:eastAsia="仿宋_GB2312"/>
          <w:sz w:val="32"/>
          <w:szCs w:val="32"/>
          <w:highlight w:val="none"/>
        </w:rPr>
        <w:t>%。该项目在积极的推进和实施过程中产生了良好的社会效益，有效地提高了事务管理人员的工作积极性。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年中追加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highlight w:val="none"/>
        </w:rPr>
        <w:t>就业创业服务资金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66.23</w:t>
      </w:r>
      <w:r>
        <w:rPr>
          <w:rFonts w:hint="eastAsia" w:ascii="仿宋_GB2312" w:eastAsia="仿宋_GB2312"/>
          <w:color w:val="auto"/>
          <w:sz w:val="32"/>
          <w:szCs w:val="32"/>
        </w:rPr>
        <w:t>万元，“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办事处工作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55.86</w:t>
      </w:r>
      <w:r>
        <w:rPr>
          <w:rFonts w:hint="eastAsia" w:ascii="仿宋_GB2312" w:eastAsia="仿宋_GB2312"/>
          <w:color w:val="auto"/>
          <w:sz w:val="32"/>
          <w:szCs w:val="32"/>
        </w:rPr>
        <w:t>万元，“</w:t>
      </w:r>
      <w:r>
        <w:rPr>
          <w:rFonts w:hint="eastAsia" w:ascii="仿宋_GB2312" w:eastAsia="仿宋_GB2312"/>
          <w:sz w:val="32"/>
          <w:szCs w:val="32"/>
          <w:highlight w:val="none"/>
        </w:rPr>
        <w:t>社区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37.5</w:t>
      </w:r>
      <w:r>
        <w:rPr>
          <w:rFonts w:hint="eastAsia" w:ascii="仿宋_GB2312" w:eastAsia="仿宋_GB2312"/>
          <w:color w:val="auto"/>
          <w:sz w:val="32"/>
          <w:szCs w:val="32"/>
        </w:rPr>
        <w:t>万元，“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乡村建设</w:t>
      </w:r>
      <w:r>
        <w:rPr>
          <w:rFonts w:hint="eastAsia" w:ascii="仿宋_GB2312" w:eastAsia="仿宋_GB2312"/>
          <w:sz w:val="32"/>
          <w:szCs w:val="32"/>
          <w:highlight w:val="none"/>
        </w:rPr>
        <w:t>资金</w:t>
      </w:r>
      <w:r>
        <w:rPr>
          <w:rFonts w:hint="eastAsia" w:ascii="仿宋_GB2312" w:eastAsia="仿宋_GB2312"/>
          <w:color w:val="auto"/>
          <w:sz w:val="32"/>
          <w:szCs w:val="32"/>
        </w:rPr>
        <w:t>”金额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231.9</w:t>
      </w:r>
      <w:r>
        <w:rPr>
          <w:rFonts w:hint="eastAsia" w:ascii="仿宋_GB2312" w:eastAsia="仿宋_GB2312"/>
          <w:color w:val="auto"/>
          <w:sz w:val="32"/>
          <w:szCs w:val="32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实际支出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391.49</w:t>
      </w:r>
      <w:r>
        <w:rPr>
          <w:rFonts w:hint="eastAsia" w:ascii="仿宋_GB2312" w:eastAsia="仿宋_GB2312"/>
          <w:color w:val="auto"/>
          <w:sz w:val="32"/>
          <w:szCs w:val="32"/>
        </w:rPr>
        <w:t>万元，结余结转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项目实施及绩效情况如下：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）就业创业服务资金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66.23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开展贫困劳动力岗位补贴、社保补贴和交通补贴等各类扶贫政策的宣传、咨询，做好信息数据的采集录入和维护工作。项目资金拔付率100%，项目资金使用率100%。有利于提供高质量的公共服务产品，有利于提高管理效率，从而提高服务生产效率，更深入、彻底地把公共服务落到实处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办事处工作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55.86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办事处伙食费、零星维修等日常开支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强化职能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充分发挥街道办事处的基础性作用。</w:t>
      </w:r>
      <w:r>
        <w:rPr>
          <w:rFonts w:hint="eastAsia" w:ascii="仿宋_GB2312" w:eastAsia="仿宋_GB2312"/>
          <w:sz w:val="32"/>
          <w:szCs w:val="32"/>
          <w:highlight w:val="none"/>
        </w:rPr>
        <w:t>项目资金拔付率100%，项目资金使用率100%。该项目在积极的推进和实施过程中产生了良好的社会效益，有效地提高了事务管理人员的工作积极性。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）社区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</w:rPr>
        <w:t>经费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项目支出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37.5</w:t>
      </w:r>
      <w:r>
        <w:rPr>
          <w:rFonts w:hint="eastAsia" w:ascii="仿宋_GB2312" w:eastAsia="仿宋_GB2312"/>
          <w:sz w:val="32"/>
          <w:szCs w:val="32"/>
          <w:highlight w:val="none"/>
        </w:rPr>
        <w:t>万元，主要用于提升基层党建工作的科学化水平，加强基层党组织建设，为推动经济社会又好又快、更好更快发展提供坚强的组织保证。项目资金拔付率100%，项目资金使用率100%。保持党建工作的良好势头，发挥创新精神，进一步提升党建工作的龙头作用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乡村建设</w:t>
      </w:r>
      <w:r>
        <w:rPr>
          <w:rFonts w:hint="eastAsia" w:ascii="仿宋_GB2312" w:eastAsia="仿宋_GB2312"/>
          <w:sz w:val="32"/>
          <w:szCs w:val="32"/>
          <w:highlight w:val="none"/>
        </w:rPr>
        <w:t>资金</w:t>
      </w:r>
    </w:p>
    <w:p>
      <w:pPr>
        <w:spacing w:after="0" w:line="220" w:lineRule="atLeas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231.9万元，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主要用于设施环境改善，群众归属感强，促进经济协调发展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乡村设施进一步完善、环境质量提升、居民生活丰富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改善居民生产生活环境。</w:t>
      </w:r>
      <w:r>
        <w:rPr>
          <w:rFonts w:hint="eastAsia" w:ascii="仿宋_GB2312" w:eastAsia="仿宋_GB2312"/>
          <w:sz w:val="32"/>
          <w:szCs w:val="32"/>
          <w:highlight w:val="none"/>
        </w:rPr>
        <w:t>项目资金拔付率100%，项目资金使用率</w:t>
      </w:r>
      <w:r>
        <w:rPr>
          <w:rFonts w:hint="default" w:ascii="仿宋_GB2312" w:eastAsia="仿宋_GB2312"/>
          <w:sz w:val="32"/>
          <w:szCs w:val="32"/>
          <w:highlight w:val="none"/>
          <w:lang w:val="en-US"/>
        </w:rPr>
        <w:t>100</w:t>
      </w:r>
      <w:r>
        <w:rPr>
          <w:rFonts w:hint="eastAsia" w:ascii="仿宋_GB2312" w:eastAsia="仿宋_GB2312"/>
          <w:sz w:val="32"/>
          <w:szCs w:val="32"/>
          <w:highlight w:val="none"/>
        </w:rPr>
        <w:t>%。该项目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使</w:t>
      </w:r>
      <w:r>
        <w:rPr>
          <w:rFonts w:hint="eastAsia" w:ascii="仿宋_GB2312" w:eastAsia="仿宋_GB2312"/>
          <w:sz w:val="32"/>
          <w:szCs w:val="32"/>
          <w:highlight w:val="none"/>
        </w:rPr>
        <w:t>新农村建设迈上新台阶，休闲农业发展凸显成效，吸引游客前来观赏，推动了乡村旅游和农家乐的发展壮大，提升了村民的幸福指数。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四、绩效管理存在的问题及下一步改进措施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1、存在的问题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一是年初预算调整及追加金额较大，部门预算编制不科学，缺乏前瞻性。202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年年初预算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995.12</w:t>
      </w:r>
      <w:r>
        <w:rPr>
          <w:rFonts w:hint="eastAsia" w:ascii="仿宋_GB2312" w:eastAsia="仿宋_GB2312"/>
          <w:sz w:val="32"/>
          <w:szCs w:val="32"/>
        </w:rPr>
        <w:t>万元，年中追加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392.28</w:t>
      </w:r>
      <w:r>
        <w:rPr>
          <w:rFonts w:hint="eastAsia" w:ascii="仿宋_GB2312" w:eastAsia="仿宋_GB2312"/>
          <w:sz w:val="32"/>
          <w:szCs w:val="32"/>
        </w:rPr>
        <w:t>万元，其中：基本支出追加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4.28</w:t>
      </w:r>
      <w:r>
        <w:rPr>
          <w:rFonts w:hint="eastAsia" w:ascii="仿宋_GB2312" w:eastAsia="仿宋_GB2312"/>
          <w:sz w:val="32"/>
          <w:szCs w:val="32"/>
        </w:rPr>
        <w:t>万元、项目支出追加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388</w:t>
      </w:r>
      <w:r>
        <w:rPr>
          <w:rFonts w:hint="eastAsia" w:ascii="仿宋_GB2312" w:eastAsia="仿宋_GB2312"/>
          <w:sz w:val="32"/>
          <w:szCs w:val="32"/>
        </w:rPr>
        <w:t>万元。全年预算收入总额为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1387.4</w:t>
      </w:r>
      <w:r>
        <w:rPr>
          <w:rFonts w:hint="eastAsia" w:ascii="仿宋_GB2312" w:eastAsia="仿宋_GB2312"/>
          <w:sz w:val="32"/>
          <w:szCs w:val="32"/>
        </w:rPr>
        <w:t>万元，年中追加为年初预算的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39.42</w:t>
      </w:r>
      <w:r>
        <w:rPr>
          <w:rFonts w:hint="eastAsia" w:ascii="仿宋_GB2312" w:eastAsia="仿宋_GB2312"/>
          <w:sz w:val="32"/>
          <w:szCs w:val="32"/>
        </w:rPr>
        <w:t>%，占全年预算资金的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28.27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二是资产管理制度有待加强。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2、改进措施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科学合理编制预算，严格执行预算。加强预算编制的前瞻性，建议按照新《预算法》及其实施条例的相关规定，按政策规定及本部门的发展规划，结合上一年度预算执行情况和本年度预算收支变化因素，科学、合理地编制本年预算草案，避免预算支出与实际执行出现较大偏差的情况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二是严格细化专项资金预算明细，做到专项资金合理规范，提高财政资金使用效益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三是认真执行各项规定，进一步加强资产管理。严格按照《固定资产管理办法》的规定加强固定资产管理，及时登记、更新台账，加强资产卡片管理，年终前对各类实物资产进行全面盘点，确保账账、账实相符。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四是建议财政部门指导规范单位正确填报年度决算数据,要求口径一致。</w:t>
      </w:r>
    </w:p>
    <w:p>
      <w:pPr>
        <w:pStyle w:val="9"/>
        <w:numPr>
          <w:ilvl w:val="0"/>
          <w:numId w:val="0"/>
        </w:numPr>
        <w:rPr>
          <w:rFonts w:hint="default"/>
        </w:rPr>
      </w:pP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其他需要说明的情况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无其他需要说明的情况。</w:t>
      </w:r>
    </w:p>
    <w:p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/>
        </w:rPr>
      </w:pPr>
    </w:p>
    <w:p>
      <w:pPr>
        <w:rPr>
          <w:rFonts w:hint="default"/>
          <w:lang w:eastAsia="zh-CN"/>
        </w:rPr>
      </w:pPr>
    </w:p>
    <w:sectPr>
      <w:footerReference r:id="rId4" w:type="default"/>
      <w:pgSz w:w="11906" w:h="16838"/>
      <w:pgMar w:top="1531" w:right="1531" w:bottom="1531" w:left="1531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cs="Times New Roman"/>
      </w:rPr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cs="Times New Roman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true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c1ODZjNWVkMTY1ZDMyNmRiY2M2NTQ2YjQ1OGJmYTU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582208"/>
    <w:rsid w:val="0EA03BB9"/>
    <w:rsid w:val="0F74026E"/>
    <w:rsid w:val="0F9505C8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063C8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8A7E99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866FE0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C286DF0"/>
    <w:rsid w:val="2D8A136A"/>
    <w:rsid w:val="2E770DFB"/>
    <w:rsid w:val="2E9665FD"/>
    <w:rsid w:val="2F1763DE"/>
    <w:rsid w:val="3002077B"/>
    <w:rsid w:val="300B0291"/>
    <w:rsid w:val="30192EE0"/>
    <w:rsid w:val="311E625A"/>
    <w:rsid w:val="32390E2D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8CF5AD6"/>
    <w:rsid w:val="3915133C"/>
    <w:rsid w:val="396A687C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0F44B92"/>
    <w:rsid w:val="413C6D6B"/>
    <w:rsid w:val="41FE6046"/>
    <w:rsid w:val="42112CF3"/>
    <w:rsid w:val="42347456"/>
    <w:rsid w:val="42720F81"/>
    <w:rsid w:val="427B2141"/>
    <w:rsid w:val="43587B65"/>
    <w:rsid w:val="43A003E9"/>
    <w:rsid w:val="44332554"/>
    <w:rsid w:val="44527E3B"/>
    <w:rsid w:val="445F4809"/>
    <w:rsid w:val="44A7431B"/>
    <w:rsid w:val="44DA00F4"/>
    <w:rsid w:val="44E419D4"/>
    <w:rsid w:val="458E4325"/>
    <w:rsid w:val="46367F5F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7222B5"/>
    <w:rsid w:val="53991D61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2A14F1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733125"/>
    <w:rsid w:val="68F776E4"/>
    <w:rsid w:val="6927577B"/>
    <w:rsid w:val="69394480"/>
    <w:rsid w:val="6A023290"/>
    <w:rsid w:val="6A8E0312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F056D7"/>
    <w:rsid w:val="7C346A84"/>
    <w:rsid w:val="7C9524F8"/>
    <w:rsid w:val="7C9731D2"/>
    <w:rsid w:val="7CE7577C"/>
    <w:rsid w:val="7D5E1E12"/>
    <w:rsid w:val="7D670134"/>
    <w:rsid w:val="7D695474"/>
    <w:rsid w:val="7D7C3D3A"/>
    <w:rsid w:val="7DF55347"/>
    <w:rsid w:val="7E64772D"/>
    <w:rsid w:val="7E8E2937"/>
    <w:rsid w:val="7F68316C"/>
    <w:rsid w:val="BB7D1A2D"/>
    <w:rsid w:val="CFFB5A10"/>
    <w:rsid w:val="FBFFE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0" w:leftChars="0" w:firstLine="880" w:firstLineChars="200"/>
    </w:p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c 5"/>
    <w:basedOn w:val="1"/>
    <w:next w:val="1"/>
    <w:qFormat/>
    <w:locked/>
    <w:uiPriority w:val="0"/>
    <w:pPr>
      <w:ind w:left="1680"/>
    </w:p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First Indent 2"/>
    <w:basedOn w:val="4"/>
    <w:next w:val="5"/>
    <w:qFormat/>
    <w:uiPriority w:val="0"/>
    <w:pPr>
      <w:spacing w:line="240" w:lineRule="auto"/>
      <w:ind w:firstLine="420" w:firstLineChars="200"/>
    </w:pPr>
  </w:style>
  <w:style w:type="character" w:styleId="13">
    <w:name w:val="page number"/>
    <w:basedOn w:val="12"/>
    <w:qFormat/>
    <w:uiPriority w:val="99"/>
  </w:style>
  <w:style w:type="paragraph" w:customStyle="1" w:styleId="14">
    <w:name w:val="正文文字"/>
    <w:basedOn w:val="1"/>
    <w:next w:val="1"/>
    <w:qFormat/>
    <w:uiPriority w:val="99"/>
    <w:pPr>
      <w:spacing w:after="120"/>
    </w:pPr>
  </w:style>
  <w:style w:type="character" w:customStyle="1" w:styleId="15">
    <w:name w:val="Header Char"/>
    <w:basedOn w:val="12"/>
    <w:link w:val="8"/>
    <w:semiHidden/>
    <w:qFormat/>
    <w:locked/>
    <w:uiPriority w:val="99"/>
    <w:rPr>
      <w:sz w:val="18"/>
      <w:szCs w:val="18"/>
    </w:rPr>
  </w:style>
  <w:style w:type="character" w:customStyle="1" w:styleId="16">
    <w:name w:val="Footer Char"/>
    <w:basedOn w:val="12"/>
    <w:link w:val="7"/>
    <w:qFormat/>
    <w:locked/>
    <w:uiPriority w:val="99"/>
    <w:rPr>
      <w:sz w:val="18"/>
      <w:szCs w:val="18"/>
    </w:rPr>
  </w:style>
  <w:style w:type="character" w:customStyle="1" w:styleId="17">
    <w:name w:val="Date Char"/>
    <w:basedOn w:val="12"/>
    <w:link w:val="6"/>
    <w:semiHidden/>
    <w:qFormat/>
    <w:locked/>
    <w:uiPriority w:val="99"/>
  </w:style>
  <w:style w:type="character" w:customStyle="1" w:styleId="18">
    <w:name w:val="font41"/>
    <w:basedOn w:val="12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9">
    <w:name w:val="font11"/>
    <w:basedOn w:val="12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13</Pages>
  <Words>11323</Words>
  <Characters>12468</Characters>
  <Lines>0</Lines>
  <Paragraphs>0</Paragraphs>
  <TotalTime>0</TotalTime>
  <ScaleCrop>false</ScaleCrop>
  <LinksUpToDate>false</LinksUpToDate>
  <CharactersWithSpaces>12979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2019-01-16T03:17:00Z</dcterms:created>
  <dc:creator>Windows 用户</dc:creator>
  <cp:lastModifiedBy>user</cp:lastModifiedBy>
  <cp:lastPrinted>2023-08-29T07:21:00Z</cp:lastPrinted>
  <dcterms:modified xsi:type="dcterms:W3CDTF">2024-11-21T14:53:00Z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D046AB22908C472C8AD60C17670F1370</vt:lpwstr>
  </property>
</Properties>
</file>