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218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4F13B57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91E2ADF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19504821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5793864C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CEB2A0E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6AEE080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0D156619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09F999B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5503268B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CFBB865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35E258D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6576CE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 w14:paraId="3E6D8CD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E91BBF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C7EE24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9776F4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6E202E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F25A78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3D0AD1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35FE43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F528D2E"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中共株洲市芦淞区委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统战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部（盖章）</w:t>
      </w:r>
    </w:p>
    <w:p w14:paraId="7E1555A0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2129EBF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DC6EFE9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7782A3C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B6E7777">
      <w:pPr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5AAB5F69">
      <w:pPr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45C52C12">
      <w:pPr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2247D0C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方正小标宋简体" w:cs="Times New Roman"/>
          <w:sz w:val="40"/>
          <w:szCs w:val="32"/>
        </w:rPr>
        <w:t>2023年度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中共株洲市芦淞区委统战部</w:t>
      </w:r>
    </w:p>
    <w:p w14:paraId="343E82E2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t>整体支出绩效自评报告</w:t>
      </w:r>
    </w:p>
    <w:p w14:paraId="73FC8B7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BE97696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8506DE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一、部门（单位）基本情况</w:t>
      </w:r>
    </w:p>
    <w:p w14:paraId="645C8DB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（一）主要职能</w:t>
      </w:r>
    </w:p>
    <w:p w14:paraId="43B76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组织贯彻执行党和国家关于统一战线的方针、政策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向区委反映统战政策的执行情况，提出开展统战工作的意见、建议和安排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研究拟订区委统战工作的计划并组织实施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负责开展统战理论研究和统战方针政策的宣传、教育工作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协调我区统一战线各方面的关系。</w:t>
      </w:r>
    </w:p>
    <w:p w14:paraId="0CFBF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负责联系我区各民主党派和无党派代表人士，及时通报情况，反映他们的意见和建议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贯彻党领导的多党合作和政治协商制度以及对民主党派的方针、政策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支持各民主党派加强自身建设，指导和帮助他们开展调查研究、建言献策和民主监督工作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协助有关部门帮助民主党派改善工作条件。</w:t>
      </w:r>
    </w:p>
    <w:p w14:paraId="3867C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贯彻执行党的民族、宗教的方针政策,了解情况，掌握动态，协调关系，提出政策性建议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会同有关部门妥善解决民族、宗教方面的问题，维护本区的安定团结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联系少数民族和宗教界的代表人士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协助有关部门做好少数民族干部的培养和举荐工作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办理各项民族宗教事务工作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依法管理民族宗教事务，巩固和扩大民族宗教界的爱国政治联盟。</w:t>
      </w:r>
    </w:p>
    <w:p w14:paraId="396EB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负责开展以祖国统一为重点的海外统战工作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贯彻党中央、国务院港澳台侨方面的方针政策，向区委、区政府提供侨务、对台工作信息以及工作建议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广泛开展海外联络联谊活动，加强海外宣传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做好侨、台胞和侨、台属的有关工作。</w:t>
      </w:r>
    </w:p>
    <w:p w14:paraId="5984F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调查研究党外知识分子的情况，反映意见，协调关系，提出政策性建议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联系并培养党外知识分子的代表人士，重点做好无党派知识分子代表人士的工作。</w:t>
      </w:r>
    </w:p>
    <w:p w14:paraId="17531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负责指导各镇、街道、区级机关部门统战工作的统一战线两支队伍的培训工作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管理区民宗局工作。</w:t>
      </w:r>
    </w:p>
    <w:p w14:paraId="5EED6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完成区委和上级统战部门交办的其他工作。</w:t>
      </w:r>
    </w:p>
    <w:p w14:paraId="3612F104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（二）机构设置</w:t>
      </w:r>
    </w:p>
    <w:p w14:paraId="470AB6AE">
      <w:pPr>
        <w:keepNext w:val="0"/>
        <w:keepLines w:val="0"/>
        <w:pageBreakBefore w:val="0"/>
        <w:tabs>
          <w:tab w:val="left" w:pos="339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根据芦办发〔2019〕17号文件，区统战部内设办公室、民主党派和侨务工作办公室、民族宗教工作办公室3个科室。下设芦淞区党外知识分子服务中心1个所属事业单位。</w:t>
      </w:r>
    </w:p>
    <w:p w14:paraId="35DF833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（三）人员情况</w:t>
      </w:r>
    </w:p>
    <w:p w14:paraId="48CA7B1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截止2023年12月底实有人数总计16人,其中：行政编制8人，事业编制3人，在职11人，退休5人。</w:t>
      </w:r>
    </w:p>
    <w:p w14:paraId="369CAFC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 w14:paraId="1B1EDBC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（一）基本支出情况</w:t>
      </w:r>
    </w:p>
    <w:p w14:paraId="1AC2872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1.2023年度年初预算资金241.26万元。</w:t>
      </w:r>
    </w:p>
    <w:p w14:paraId="3214F58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2.2023年度单位一般公共预算财政拨款收入284.92万元。</w:t>
      </w:r>
    </w:p>
    <w:p w14:paraId="38C09D1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3.2023年度单位一般公共预算财政拨款支出284.92万元，其中：项目支出45.54万元，基本支出239.37万元，其中：人员经费215.20万元，公用经费24.17万元。</w:t>
      </w:r>
    </w:p>
    <w:p w14:paraId="5F7B7E69">
      <w:pPr>
        <w:keepNext w:val="0"/>
        <w:keepLines w:val="0"/>
        <w:pageBreakBefore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项目支出情况</w:t>
      </w:r>
    </w:p>
    <w:p w14:paraId="21431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项目支出合计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45.54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其中：</w:t>
      </w:r>
    </w:p>
    <w:p w14:paraId="7146B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民主党派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万元。</w:t>
      </w:r>
    </w:p>
    <w:p w14:paraId="78DE5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统战特别经费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万元。</w:t>
      </w:r>
    </w:p>
    <w:p w14:paraId="36921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民族宗教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专项工作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经费项目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万元。</w:t>
      </w:r>
    </w:p>
    <w:p w14:paraId="30E9D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知新、四同、海侨工作经费项目支出15.05元。</w:t>
      </w:r>
    </w:p>
    <w:p w14:paraId="5375E97A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政府性基金预算支出情况</w:t>
      </w:r>
    </w:p>
    <w:p w14:paraId="6532A44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48538C2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四、国有资本经营预算支出情况</w:t>
      </w:r>
    </w:p>
    <w:p w14:paraId="75D3ADC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1C45DDC5">
      <w:pPr>
        <w:keepNext w:val="0"/>
        <w:keepLines w:val="0"/>
        <w:pageBreakBefore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社会保险基金预算支出情况</w:t>
      </w:r>
    </w:p>
    <w:p w14:paraId="42FDA9A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1341DAF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490971A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（一）整体支出绩效情况</w:t>
      </w:r>
    </w:p>
    <w:p w14:paraId="19117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中共株洲市芦淞区委统战部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的基本支出主要为用于保障机构正常运转、完成日常工作而发生的支出，包括人员经费和公用经费等。202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年基本支出合计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239.37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万元。其中：1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工资福利支出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209.07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万元。工资福利支出指基本工资、津贴补贴、奖金、机关事业单位基本养老保险缴费、职工基本医疗保险缴费、其他社会保障缴费、住房公积金。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对个人和家庭的补助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6.13万元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。对个人和家庭的补助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指生活补助、奖励金、其他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对个人和家庭的补助。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商品和服务支出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24.17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万元。商品和服务支出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日常工作运转的办公费、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印刷费、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邮电费、差旅费、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维修（护）费、劳务费、委托业务费、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工会经费、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其他交通费用、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其他商品和服务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。202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年项目支出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合计45.54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主要用于支持各民主党派加强自身建设，为民主党派人士履职尽责调研考察等活动提供经费支持。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大统战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书记主持召开党务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、区委统战工作和非公有制经济工作领导小组会议等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，区委常委学习传达统战领域指示精神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非公有制经济工作领导小组成员单位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，印发了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工作规则等文件6个，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理顺职责职能、细化工作任务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。严格按照要求足额配备党外干部，全年累计提拔、重用党外干部7人，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其中提拔正科级1人、副科级5人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镇（街道）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条件成熟的村（社区）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、重点领域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成立新阶联分会组织，实现基层联谊组织全覆盖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天泽华丽获评省级实践创新优秀基地，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大汉·悦中心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获评市级实践创新基地，中央统战部六局调研芦淞区新阶层人士统战工作时给予了高度评价。举办纪念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中共中央发布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五一口号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75周年座谈会，制作《制造名城新力量·三百三助赋新能》宣传片，在人流最旺的市场群、主干道打造宣传阵地，引导党外人士听党话、跟党走。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引导统战团体开展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盟心工作站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益云公益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‘七彩假期’夏令营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‘童心·童画’书画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社会服务活动，用实际行动彰显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担当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裘日亮被评为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全国归侨侨眷先进个人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，方畅被评为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全国侨联系统先进个人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，林文爱获评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全国模范人民调解员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称号。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新阶同心·圆桌汇智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工作品牌，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引导统战成员围绕中心工作深入调研、建言献策。区领导联系民营企业和商协会28家，区委书记主持政企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餐叙会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次，推动问题办结53件。开展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干部联企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提信心·促发展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等暖企活动，评选了一批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芦淞区贡献杰出企业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芦淞区第一届优秀企业家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，营造亲商重商爱商浓厚氛围。华锐精密获评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时代匠人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奖、全省第三批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5G+工业互联网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示范工厂，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魔美名作获评中国服装行业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营业收入利润率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百强企业，素白亮相中国国际时装周3次，肖旭凯获评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新湖南贡献奖先进个人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，4家企业入选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株洲民营企业50强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，3名企业家获评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株洲市民营经济杰出人物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积极对接异地商协会到芦淞考察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引进湘商回归项目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7个，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白关丝瓜出口英国、签订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德国意向协议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。联动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统战资源助推文旅产业，开发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神农福地·制造名城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精品研学专线，打造了航空小镇等4个研学营地，年接待能力达10万人次。深入开展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五进五好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等主题活动，促进宗教活动场所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两个规范化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两个专项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查整治工作，持续治理非法宗教活动，确保宗教领域安全稳定。举办2023年民族宗教政策宣传月暨民族团结进步主题宣传月活动，解决各族同胞入学、加分等19起，持续开展民族团结进步示范创建，南方中学获评省级示范单位、白关镇龙凤庵村获评市级示范单位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新时期网络统战人士统战工作路径创新研究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调查研究，制定了网络协调机制，成立了全省首家网络主播分会，推动网络统战工作走深走实。</w:t>
      </w:r>
    </w:p>
    <w:p w14:paraId="6442EEC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（二）项目支出绩效情况</w:t>
      </w:r>
    </w:p>
    <w:p w14:paraId="6C47B01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民主党派建设经费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2150A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辖区内民主党派的建设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及开展调研活动经费。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关于支持民主党派加强基层组织建设的通知》的有关要求，完成全区7个民主党派基层组织工作经费全额拨付工作，开展多党合作，积极引导党外人士参与服务地区科学发展、转型升级事业，打造改善民生的新亮点，协助各民主党派加强自身建设。</w:t>
      </w:r>
    </w:p>
    <w:p w14:paraId="0AD8DAAE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统战特别经费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1421A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12.31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辖区内民主党派的建设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及开展调研活动经费。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完善“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大统战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书记主持召开党务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工作会议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、区委统战工作和非公有制经济工作领导小组会议等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，区委常委学习传达统战领域指示精神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6次。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非公有制经济工作领导小组成员单位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，印发了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工作规则等文件6个，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理顺职责职能、细化工作任务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。严格按照要求足额配备党外干部，全年累计提拔、重用党外干部7人，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其中提拔正科级1人、副科级5人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举办纪念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中共中央发布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五一口号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75周年座谈会，制作《制造名城新力量·三百三助赋新能》宣传片，在人流最旺的市场群、主干道打造宣传阵地，引导党外人士听党话、跟党走。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引导统战团体开展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盟心工作站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益云公益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‘七彩假期’夏令营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‘童心·童画’书画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社会服务活动，用实际行动彰显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担当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裘日亮被评为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全国归侨侨眷先进个人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，方畅被评为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全国侨联系统先进个人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，林文爱获评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全国模范人民调解员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称号。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创建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新阶同心·圆桌汇智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工作品牌，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引导统战成员围绕中心工作深入调研、建言献策。区领导联系民营企业和商协会28家，区委书记主持政企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餐叙会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次，推动问题办结53件。开展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干部联企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提信心·促发展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等暖企活动，评选了一批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芦淞区贡献杰出企业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芦淞区第一届优秀企业家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，营造亲商重商爱商浓厚氛围。华锐精密获评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时代匠人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奖、全省第三批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5G+工业互联网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示范工厂，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魔美名作获评中国服装行业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营业收入利润率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百强企业，素白亮相中国国际时装周3次，肖旭凯获评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新湖南贡献奖先进个人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，4家企业入选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株洲民营企业50强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，3名企业家获评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株洲市民营经济杰出人物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积极对接异地商协会到芦淞考察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引进湘商回归项目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7个，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助推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白关丝瓜出口英国、签订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德国意向协议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。联动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统战资源助推文旅产业，开发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神农福地·制造名城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精品研学专线，打造了航空小镇等4个研学营地，年接待能力达10万人次。</w:t>
      </w:r>
    </w:p>
    <w:p w14:paraId="4250B03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民族宗教专项工作经费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6EFEE6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宣传贯彻落实党和国家的民族政策，维护民族团结、社会稳定和国家统一，妥善处理影响民族团结的各类问题。开展宗教工作，维护民族宗教领域稳定。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五进五好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等主题活动，促进宗教活动场所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两个规范化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两个专项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查整治工作，持续治理非法宗教活动，确保宗教领域安全稳定。举办2023年民族宗教政策宣传月暨民族团结进步主题宣传月活动，解决各族同胞入学、加分等19起，持续开展民族团结进步示范创建，南方中学获评省级示范单位、白关镇龙凤庵村获评市级示范单位。深入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新时期网络统战人士统战工作路径创新研究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调查研究，制定了网络协调机制，成立了全省首家网络主播分会，推动网络统战工作走深走实。</w:t>
      </w:r>
    </w:p>
    <w:p w14:paraId="0C95A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.年初预算项目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知新、四同、海侨工作经费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，年中执行调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万元。项目实施及绩效情况如下：</w:t>
      </w:r>
    </w:p>
    <w:p w14:paraId="1FC4D83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15.05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主要用于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引导统一战线成员助力乡村振兴战略实施，创建一批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同心示范点，创建新的社会阶层人士实践创新基地。开展新的社会阶层人士和党外知识分子联谊交友、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咨政建言等工作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项目实施及绩效情况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区、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镇（街道）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条件成熟的村（社区）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、重点领域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成立新阶联分会组织，实现基层联谊组织全覆盖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天泽华丽获评省级实践创新优秀基地，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大汉·悦中心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获评市级实践创新基地，中央统战部六局调研芦淞区新阶层人士统战工作时给予了高度评价。</w:t>
      </w:r>
    </w:p>
    <w:p w14:paraId="60366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04F1F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预算编制时存在预测性和不确定性，造成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资金预算使用安排不够精准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资金使用情况与预算安排不够协调统一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单位开展预算绩效管理的管理水平有待提高。</w:t>
      </w:r>
    </w:p>
    <w:p w14:paraId="4BC10F85">
      <w:pPr>
        <w:keepNext w:val="0"/>
        <w:keepLines w:val="0"/>
        <w:pageBreakBefore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下一步改进措施</w:t>
      </w:r>
    </w:p>
    <w:p w14:paraId="1C794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科学合理编制预算，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加强预算资金管理，完善管理制度，规范使用资金，提高资金运行绩效；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围绕区委中心工作大局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，精准施策，着力推进统战工作迈上新台阶。</w:t>
      </w:r>
    </w:p>
    <w:p w14:paraId="1EFC0C2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2F6FB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根据预算绩效管理要求，本单位组织对202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年度部门整体支出开展了绩效自评，从评价情况来看，预算执行及时、有效，绩效目标得到较好实现，绩效管理水平不断提高。</w:t>
      </w:r>
    </w:p>
    <w:p w14:paraId="77114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本单位没有独立网站，因此只在芦淞区政府信息公开专栏中公开。</w:t>
      </w:r>
    </w:p>
    <w:p w14:paraId="60DE45AF"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16D857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 w14:paraId="228E31DE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 w14:paraId="2C8AE434">
      <w:pPr>
        <w:rPr>
          <w:rFonts w:ascii="Times New Roman" w:hAnsi="Times New Roman" w:eastAsia="黑体" w:cs="Times New Roman"/>
          <w:sz w:val="32"/>
          <w:szCs w:val="32"/>
        </w:rPr>
      </w:pPr>
    </w:p>
    <w:p w14:paraId="5D777101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5F282EBA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0AA2C47D"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9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EAB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2B28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110%</w:t>
            </w:r>
          </w:p>
        </w:tc>
      </w:tr>
      <w:tr w14:paraId="6D00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E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7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8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4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1A57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C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B6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7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5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0.53</w:t>
            </w:r>
          </w:p>
        </w:tc>
      </w:tr>
      <w:tr w14:paraId="3F54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5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0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21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FB7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A46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0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6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2AE2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0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E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05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FF9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93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5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C0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EE5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54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9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4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0.53</w:t>
            </w:r>
          </w:p>
        </w:tc>
      </w:tr>
      <w:tr w14:paraId="3AF9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F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E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69.75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1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27.00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5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45.54</w:t>
            </w:r>
          </w:p>
        </w:tc>
      </w:tr>
      <w:tr w14:paraId="1A8A2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3B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F5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3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5581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B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9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B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0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0D67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B9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5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0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4E1D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民主党派建设经费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B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1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E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10.00</w:t>
            </w:r>
          </w:p>
        </w:tc>
      </w:tr>
      <w:tr w14:paraId="13B1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统战特别经费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40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38.51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AF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C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12.31</w:t>
            </w:r>
          </w:p>
        </w:tc>
      </w:tr>
      <w:tr w14:paraId="35E5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民族宗教专项工作经费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1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11.23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A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B8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8.18</w:t>
            </w:r>
          </w:p>
        </w:tc>
      </w:tr>
      <w:tr w14:paraId="1219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知新、四同、海侨工作经费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E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0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A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15.05</w:t>
            </w:r>
          </w:p>
        </w:tc>
      </w:tr>
      <w:tr w14:paraId="7B8B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C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4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29.37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F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24.17</w:t>
            </w:r>
          </w:p>
        </w:tc>
      </w:tr>
      <w:tr w14:paraId="05E7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1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B6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3.67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B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E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2.79</w:t>
            </w:r>
          </w:p>
        </w:tc>
      </w:tr>
      <w:tr w14:paraId="4104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E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4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9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0.20</w:t>
            </w:r>
          </w:p>
        </w:tc>
      </w:tr>
      <w:tr w14:paraId="2DFE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C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2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DF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CEC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4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D9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3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F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19.65</w:t>
            </w:r>
          </w:p>
        </w:tc>
      </w:tr>
      <w:tr w14:paraId="107B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4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1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0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214.26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02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239.37</w:t>
            </w:r>
          </w:p>
        </w:tc>
      </w:tr>
      <w:tr w14:paraId="2178E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07A7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4D54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C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40EE4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4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6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552B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3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7476B463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2"/>
        </w:rPr>
        <w:t>项目支出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2"/>
        </w:rPr>
        <w:t>需要填报基本支出以外的所有项目支出情况，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2"/>
        </w:rPr>
        <w:t>公用经费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2"/>
        </w:rPr>
        <w:t>填报基本支出中的一般商品和服务支出。</w:t>
      </w:r>
    </w:p>
    <w:p w14:paraId="7EA7346D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22"/>
          <w:lang w:eastAsia="zh-CN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李恋</w:t>
      </w:r>
      <w:r>
        <w:rPr>
          <w:rFonts w:hint="eastAsia" w:ascii="Times New Roman" w:hAnsi="Times New Roman" w:eastAsia="仿宋_GB2312" w:cs="Times New Roman"/>
          <w:sz w:val="22"/>
        </w:rPr>
        <w:t xml:space="preserve">    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2"/>
        </w:rPr>
        <w:t xml:space="preserve">     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28580591</w:t>
      </w:r>
      <w:r>
        <w:rPr>
          <w:rFonts w:hint="eastAsia" w:ascii="Times New Roman" w:hAnsi="Times New Roman" w:eastAsia="仿宋_GB2312" w:cs="Times New Roman"/>
          <w:sz w:val="22"/>
        </w:rPr>
        <w:t xml:space="preserve">     单位负责人签字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：</w:t>
      </w:r>
    </w:p>
    <w:p w14:paraId="7F18623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42D4029C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469032E8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9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65A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FE0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562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中共株洲市芦淞区委统战部</w:t>
            </w:r>
          </w:p>
        </w:tc>
      </w:tr>
      <w:tr w14:paraId="7B2B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896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6F902F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4FA8CB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ADCE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552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E8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831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F4E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2C9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844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2BDF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1B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AD4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A9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241.26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21D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284.92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74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284.92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B53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F6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5A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27F41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AD1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987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284.92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144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284.92</w:t>
            </w:r>
          </w:p>
        </w:tc>
      </w:tr>
      <w:tr w14:paraId="59AD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C9D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3E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284.92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452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239.37</w:t>
            </w:r>
          </w:p>
        </w:tc>
      </w:tr>
      <w:tr w14:paraId="1A45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AEF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4FF8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2D15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45.54</w:t>
            </w:r>
          </w:p>
        </w:tc>
      </w:tr>
      <w:tr w14:paraId="7256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5FC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D2B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927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ED9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B1D76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EFCF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E62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FAE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6E6E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9AE8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34F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1691C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C0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C5BD8">
            <w:pPr>
              <w:widowControl/>
              <w:numPr>
                <w:ilvl w:val="0"/>
                <w:numId w:val="0"/>
              </w:num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切实做好单位日常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人员经费、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eastAsia="zh-CN"/>
              </w:rPr>
              <w:t>公用经费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的开支，保证局机关的正常运转。2.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</w:rPr>
              <w:t>认真落实中央和省市关于统一战线系列重大决策部署，扎实做好新形势下的民族宗教工作。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3.扎实做好非公有制经济领域统战工作。4.积极做好民主党派和无党派人士工作。5.扎实做好党外知识分子和新的社会阶层人士统战工作。6.积极推动港澳台海外统战工作；全面加强统战系统自身建设。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2A57">
            <w:pPr>
              <w:widowControl/>
              <w:numPr>
                <w:ilvl w:val="0"/>
                <w:numId w:val="0"/>
              </w:numPr>
              <w:spacing w:line="240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2023年基本支出合计239.37万元。其中： 1、工资福利支出209.07万元。工资福利支出指基本工资、津贴补贴、奖金、机关事业单位基本养老保险缴费、职工基本医疗保险缴费、其他社会保障缴费、住房公积金。2、对个人和家庭的补助6.13万元 。对个人和家庭的补助指生活补助、奖励金、其他对个人和家庭的补助。2、商品和服务支出24.17万元。商品和服务支出指日常工作运转的办公费、印刷费、邮电费、差旅费、维修（护）费、劳务费、委托业务费、工会经费、其他交通费用、其他商品和服务支出。2023年项目支出合计45.54万元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主要用于支持各民主党派加强自身建设，为民主党派人士履职尽责调研考察等活动提供经费支持。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完善“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大统战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的工作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区委书记主持召开党务工作会议、区委统战工作和非公有制经济工作领导小组会议等4次，区委常委学习传达统战领域指示精神6次。调优非公有制经济工作领导小组成员单位，印发了工作规则等文件6个，理顺职责职能、细化工作任务。严格按照要求足额配备党外干部，全年累计提拔、重用党外干部7人，其中提拔正科级1人、副科级5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镇（街道）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条件成熟的村（社区）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、重点领域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成立新阶联分会组织，实现基层联谊组织全覆盖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天泽华丽获评省级实践创新优秀基地，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大汉·悦中心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获评市级实践创新基地，中央统战部六局调研芦淞区新阶层人士统战工作时给予了高度评价。举办纪念中共中央发布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五一口号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75周年座谈会，制作《制造名城新力量·三百三助赋新能》宣传片，在人流最旺的市场群、主干道打造宣传阵地，引导党外人士听党话、跟党走。引导统战团体开展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盟心工作站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益云公益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‘七彩假期’夏令营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‘童心·童画’书画展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等社会服务活动，用实际行动彰显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统战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担当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裘日亮被评为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全国归侨侨眷先进个人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，方畅被评为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全国侨联系统先进个人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，林文爱获评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全国模范人民调解员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称号。创建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新阶同心·圆桌汇智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工作品牌，引导统战成员围绕中心工作深入调研、建言献策。区领导联系民营企业和商协会28家，区委书记主持政企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餐叙会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次，推动问题办结53件。开展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干部联企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提信心·促发展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等暖企活动，评选了一批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芦淞区贡献杰出企业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芦淞区第一届优秀企业家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，营造亲商重商爱商浓厚氛围。华锐精密获评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时代匠人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奖、全省第三批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5G+工业互联网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示范工厂，魔美名作获评中国服装行业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营业收入利润率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百强企业，素白亮相中国国际时装周3次，肖旭凯获评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新湖南贡献奖先进个人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，4家企业入选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株洲民营企业50强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，3名企业家获评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株洲市民营经济杰出人物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。积极对接异地商协会到芦淞考察，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引进湘商回归项目7个，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助推白关丝瓜出口英国、签订出口德国意向协议。联动统战资源助推文旅产业，开发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神农福地·制造名城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精品研学专线，打造了航空小镇等4个研学营地，年接待能力达10万人次。深入开展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五进五好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等主题活动，促进宗教活动场所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两个规范化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建设。开展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两个专项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排查整治工作，持续治理非法宗教活动，确保宗教领域安全稳定。举办2023年民族宗教政策宣传月暨民族团结进步主题宣传月活动，解决各族同胞入学、加分等19起，持续开展民族团结进步示范创建，南方中学获评省级示范单位、白关镇龙凤庵村获评市级示范单位。深入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新时期网络统战人士统战工作路径创新研究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调查研究，制定了网络协调机制，成立了全省首家网络主播分会，推动网络统战工作走深走实。</w:t>
            </w:r>
          </w:p>
        </w:tc>
      </w:tr>
      <w:tr w14:paraId="4E21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61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63BF16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3D2C948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0E79482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41B631A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82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8A1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C3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5482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547D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781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675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87CF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6C8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153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33B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E7E43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55988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A9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553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支持区民主党派基层组织建设数量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0F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03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776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47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82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8BE1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F52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2FC1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914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02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民族团结示范点创建数量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55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9E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58E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08F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C6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1E5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745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D846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63C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4B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开展主题活动、培训次数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D7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≥7次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EB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9次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612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8B2B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62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D0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406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FC4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BDB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07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组织慰问统战对象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、海侨人士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F7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≥6次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28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6次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4E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2C1E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3A7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A1F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057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6E2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A72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772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走访联点乡镇企业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32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≥3次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F1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D89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904B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12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2C3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1DE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892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FF3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61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创建新的社会阶层人士基地和同心项目数量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35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7F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90B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ACD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30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21C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1FA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6CD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50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946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各项工作达标率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CD8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0F0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044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16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DF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031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040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384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C72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863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完成及时率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E23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7B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91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02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AC1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D15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E5F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07D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02D12D4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0A535E2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1644A78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8B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0C4D7F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8C0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提振民营企业发展的信心决心，有效促进民营经济发展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3F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69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AD9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7E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B77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28E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779C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784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BC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59776AD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33E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促进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统一战线各界人士同心、同向、同行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E1D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6D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5AF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46B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8CE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A89B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5F7A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050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AE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48E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维护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民族和宗教领域和谐稳定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5E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维护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EDA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维护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655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C093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E1D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032E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2A1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4BB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63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71B52B1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D6B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0A3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83A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559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CF4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34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D25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96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F8C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52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4F6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推进芦淞统一战线和多党合作事业科学发展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BD1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推进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9C9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推进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F2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B7E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A85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134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B7D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9FB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539ED1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DFE7AA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662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7C8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统战对象满意度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35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F0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BF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EC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C07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CB9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888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95B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3A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F14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成本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C2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241.26万元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C6A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284.92万元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57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17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39C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因部分上年度资金在本年度支付，后续年度加强预算执行力度。  </w:t>
            </w:r>
          </w:p>
        </w:tc>
      </w:tr>
      <w:tr w14:paraId="2666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0D2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C18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96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48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1A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CA34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8DC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D4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A16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7BC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CA6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B0C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BB7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63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A7C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31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14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3E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244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91F6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05C6F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FC4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F1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572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1744F7AC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李恋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 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28580591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2"/>
          <w:szCs w:val="22"/>
        </w:rPr>
        <w:t>单位负责人签字：</w:t>
      </w:r>
    </w:p>
    <w:p w14:paraId="53F90725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6F695AF">
      <w:pPr>
        <w:rPr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2AEF8">
    <w:pPr>
      <w:pStyle w:val="5"/>
      <w:framePr w:wrap="around" w:vAnchor="text" w:hAnchor="margin" w:xAlign="outside" w:y="1"/>
      <w:rPr>
        <w:rStyle w:val="11"/>
        <w:rFonts w:hint="eastAsia" w:ascii="宋体"/>
        <w:sz w:val="28"/>
        <w:szCs w:val="28"/>
      </w:rPr>
    </w:pPr>
    <w:r>
      <w:rPr>
        <w:rStyle w:val="11"/>
        <w:rFonts w:hint="eastAsia" w:ascii="宋体"/>
        <w:color w:val="FFFFFF"/>
        <w:sz w:val="28"/>
        <w:szCs w:val="28"/>
      </w:rPr>
      <w:t>—</w:t>
    </w:r>
    <w:r>
      <w:rPr>
        <w:rStyle w:val="11"/>
        <w:rFonts w:hint="eastAsia" w:ascii="宋体"/>
        <w:sz w:val="28"/>
        <w:szCs w:val="28"/>
      </w:rPr>
      <w:t xml:space="preserve">— </w:t>
    </w:r>
    <w:r>
      <w:rPr>
        <w:rStyle w:val="11"/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  </w:instrText>
    </w:r>
    <w:r>
      <w:rPr>
        <w:rStyle w:val="11"/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9</w:t>
    </w:r>
    <w:r>
      <w:rPr>
        <w:rStyle w:val="11"/>
        <w:rFonts w:hint="eastAsia" w:ascii="宋体"/>
        <w:sz w:val="28"/>
        <w:szCs w:val="28"/>
      </w:rPr>
      <w:fldChar w:fldCharType="end"/>
    </w:r>
    <w:r>
      <w:rPr>
        <w:rStyle w:val="11"/>
        <w:rFonts w:hint="eastAsia" w:ascii="宋体"/>
        <w:sz w:val="28"/>
        <w:szCs w:val="28"/>
      </w:rPr>
      <w:t xml:space="preserve"> —</w:t>
    </w:r>
    <w:r>
      <w:rPr>
        <w:rStyle w:val="11"/>
        <w:rFonts w:hint="eastAsia" w:ascii="宋体"/>
        <w:color w:val="FFFFFF"/>
        <w:sz w:val="28"/>
        <w:szCs w:val="28"/>
      </w:rPr>
      <w:t>—</w:t>
    </w:r>
  </w:p>
  <w:p w14:paraId="41AF78A1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B2D67"/>
    <w:multiLevelType w:val="singleLevel"/>
    <w:tmpl w:val="CCFB2D6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5BF536"/>
    <w:multiLevelType w:val="singleLevel"/>
    <w:tmpl w:val="0A5BF5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B305EB1"/>
    <w:multiLevelType w:val="singleLevel"/>
    <w:tmpl w:val="7B305EB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720FED"/>
    <w:rsid w:val="01A6665B"/>
    <w:rsid w:val="01EF5276"/>
    <w:rsid w:val="02665DCF"/>
    <w:rsid w:val="029D163B"/>
    <w:rsid w:val="02A86D87"/>
    <w:rsid w:val="02AE4CCA"/>
    <w:rsid w:val="02D92DDA"/>
    <w:rsid w:val="03287320"/>
    <w:rsid w:val="03845D86"/>
    <w:rsid w:val="038929F5"/>
    <w:rsid w:val="03AE3AC0"/>
    <w:rsid w:val="03FA6217"/>
    <w:rsid w:val="046063A3"/>
    <w:rsid w:val="048E4A8E"/>
    <w:rsid w:val="04910642"/>
    <w:rsid w:val="04A8621F"/>
    <w:rsid w:val="052D1124"/>
    <w:rsid w:val="05427DB6"/>
    <w:rsid w:val="054E7D82"/>
    <w:rsid w:val="05841760"/>
    <w:rsid w:val="058C239E"/>
    <w:rsid w:val="06334EF1"/>
    <w:rsid w:val="06377F01"/>
    <w:rsid w:val="06587490"/>
    <w:rsid w:val="071E5F82"/>
    <w:rsid w:val="072B45AB"/>
    <w:rsid w:val="07BB6AF4"/>
    <w:rsid w:val="07EF4D29"/>
    <w:rsid w:val="08265F45"/>
    <w:rsid w:val="08470747"/>
    <w:rsid w:val="0893725C"/>
    <w:rsid w:val="089572CF"/>
    <w:rsid w:val="08A00773"/>
    <w:rsid w:val="08A4283C"/>
    <w:rsid w:val="08E7784D"/>
    <w:rsid w:val="08EF0DD0"/>
    <w:rsid w:val="08F027B4"/>
    <w:rsid w:val="096E7C66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4575D8"/>
    <w:rsid w:val="115176A2"/>
    <w:rsid w:val="11F63871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6BD52E1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093160"/>
    <w:rsid w:val="1A4E2E8E"/>
    <w:rsid w:val="1ABD5F72"/>
    <w:rsid w:val="1AF51455"/>
    <w:rsid w:val="1B182F58"/>
    <w:rsid w:val="1B9D302A"/>
    <w:rsid w:val="1BF446CE"/>
    <w:rsid w:val="1C704031"/>
    <w:rsid w:val="1D271A66"/>
    <w:rsid w:val="1DCB47DF"/>
    <w:rsid w:val="1E601115"/>
    <w:rsid w:val="1EB03217"/>
    <w:rsid w:val="1EF76F36"/>
    <w:rsid w:val="1F000FB0"/>
    <w:rsid w:val="1F0E39C8"/>
    <w:rsid w:val="1F111AD7"/>
    <w:rsid w:val="1F5A1E7F"/>
    <w:rsid w:val="1FA707DF"/>
    <w:rsid w:val="1FFE7B8C"/>
    <w:rsid w:val="203C025A"/>
    <w:rsid w:val="20775CA3"/>
    <w:rsid w:val="20E1009C"/>
    <w:rsid w:val="217A1AB1"/>
    <w:rsid w:val="22695B47"/>
    <w:rsid w:val="243235AA"/>
    <w:rsid w:val="24B10BAC"/>
    <w:rsid w:val="24D2061D"/>
    <w:rsid w:val="251132F3"/>
    <w:rsid w:val="253C38DE"/>
    <w:rsid w:val="25634E58"/>
    <w:rsid w:val="25B24E22"/>
    <w:rsid w:val="262B4FF6"/>
    <w:rsid w:val="264810A7"/>
    <w:rsid w:val="265A7CC8"/>
    <w:rsid w:val="26620084"/>
    <w:rsid w:val="27014400"/>
    <w:rsid w:val="271B2298"/>
    <w:rsid w:val="27381B31"/>
    <w:rsid w:val="276D0D8C"/>
    <w:rsid w:val="286C33CA"/>
    <w:rsid w:val="28975CA1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E84CB1"/>
    <w:rsid w:val="2DF720F5"/>
    <w:rsid w:val="2E1C0F3D"/>
    <w:rsid w:val="2E69253C"/>
    <w:rsid w:val="2EEF2198"/>
    <w:rsid w:val="2F0246FC"/>
    <w:rsid w:val="2F080155"/>
    <w:rsid w:val="2FB549BF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1D398E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BE35DE8"/>
    <w:rsid w:val="3C87456A"/>
    <w:rsid w:val="3CA231F4"/>
    <w:rsid w:val="3CDC3CFC"/>
    <w:rsid w:val="3CFC20B7"/>
    <w:rsid w:val="3E0A5199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407E40"/>
    <w:rsid w:val="417E043D"/>
    <w:rsid w:val="41D57B43"/>
    <w:rsid w:val="42DD17FC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3B7E57"/>
    <w:rsid w:val="4A5007FC"/>
    <w:rsid w:val="4A6F5457"/>
    <w:rsid w:val="4A885383"/>
    <w:rsid w:val="4AE85958"/>
    <w:rsid w:val="4AF51ADF"/>
    <w:rsid w:val="4AFD5436"/>
    <w:rsid w:val="4B591469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4463C8"/>
    <w:rsid w:val="59A40B9B"/>
    <w:rsid w:val="59AB3DEE"/>
    <w:rsid w:val="5A3C1A0D"/>
    <w:rsid w:val="5A6A2A29"/>
    <w:rsid w:val="5A9244F7"/>
    <w:rsid w:val="5AF0423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BE0868"/>
    <w:rsid w:val="5EC735B0"/>
    <w:rsid w:val="5F0F193D"/>
    <w:rsid w:val="5F2B6724"/>
    <w:rsid w:val="60276C51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237471"/>
    <w:rsid w:val="689E76A5"/>
    <w:rsid w:val="68DB1AF2"/>
    <w:rsid w:val="68E0427F"/>
    <w:rsid w:val="68F75735"/>
    <w:rsid w:val="68F77B4C"/>
    <w:rsid w:val="694757F4"/>
    <w:rsid w:val="6B3B48D5"/>
    <w:rsid w:val="6BBF4B8D"/>
    <w:rsid w:val="6C630660"/>
    <w:rsid w:val="6C6E6460"/>
    <w:rsid w:val="6C9165DC"/>
    <w:rsid w:val="6C9331C1"/>
    <w:rsid w:val="6CA17CD4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04F4A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A0114B"/>
    <w:rsid w:val="75F34010"/>
    <w:rsid w:val="765D45B4"/>
    <w:rsid w:val="76652AD9"/>
    <w:rsid w:val="76735213"/>
    <w:rsid w:val="76BD2353"/>
    <w:rsid w:val="772B072A"/>
    <w:rsid w:val="778F1D5A"/>
    <w:rsid w:val="7836349E"/>
    <w:rsid w:val="78A55F95"/>
    <w:rsid w:val="78B02F32"/>
    <w:rsid w:val="79327EB8"/>
    <w:rsid w:val="7933175D"/>
    <w:rsid w:val="794F5B82"/>
    <w:rsid w:val="79654F33"/>
    <w:rsid w:val="79E234DF"/>
    <w:rsid w:val="7A086EF4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711B45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正文文字"/>
    <w:basedOn w:val="1"/>
    <w:next w:val="1"/>
    <w:qFormat/>
    <w:uiPriority w:val="99"/>
    <w:pPr>
      <w:spacing w:after="12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1038</Words>
  <Characters>1126</Characters>
  <Lines>0</Lines>
  <Paragraphs>0</Paragraphs>
  <TotalTime>3</TotalTime>
  <ScaleCrop>false</ScaleCrop>
  <LinksUpToDate>false</LinksUpToDate>
  <CharactersWithSpaces>1132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Gustav·xy</cp:lastModifiedBy>
  <dcterms:modified xsi:type="dcterms:W3CDTF">2024-11-21T03:26:05Z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46B1E17AE7754E13BA78DBD53DD7830E</vt:lpwstr>
  </property>
</Properties>
</file>