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．主要职能。</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为落实国家政策，严格依法行政，发挥经济管理职能，加强政策引导，制定发展规划，发展街道办事处经济、文化和社会事业，提供公共服务，维护社会稳定，构建社会主义和谐社会，主要职能职责有：</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（一）执行上级国家行政机关的决定和命令；</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（二）执行本行政区域内的经济和社会发展计划、预算，管理本行政区域内的经济、教育、科学、文化、卫生、财政、民政、司法、计划生育等行政工作；</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（三）保护社会主义的全民所有的财产和劳动群众集体所有的财产，保护公民私人所有的合法财产，维护社会公共秩序，保障公民的人身权利、民主权利和其他权利；</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（四）保护各种经济组织的合法权益；</w:t>
      </w:r>
      <w:r>
        <w:rPr>
          <w:rFonts w:hint="default" w:ascii="Times New Roman" w:hAnsi="Times New Roman" w:eastAsia="仿宋_GB2312" w:cs="Times New Roman"/>
          <w:color w:val="auto"/>
          <w:kern w:val="2"/>
          <w:sz w:val="32"/>
          <w:szCs w:val="32"/>
          <w:lang w:val="en-US" w:eastAsia="zh-CN" w:bidi="ar-SA"/>
        </w:rPr>
        <w:tab/>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（五）保障少数民族的权利和尊重少数民族的风俗习惯；</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（六）办理上级石峰区、党工委交办的其他事项。</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2．机构情况。</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株洲市石峰区龙头铺街道办事处位于石峰区，无下属单位，街道面积30平方公里，人口1.3万人，辖7个社区，130个村民小组。街道办事处下设党政办、党建办、经济发展办、财政办、平安法制和应急管理办公室等10个站办。</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3．人员情况。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2023年12月底止，龙头铺街道办事处核定编制数为33人，实有人数39人，其中在职人员39人，其中街道正式人员28人、网格员9人、代理记账人员2人。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2036.62</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954.59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1082.03</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1855.25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375.02</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1661.60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181.37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3年预算收入2036.62万元。其中：一般公共预算财政拨款收入2036.62万元占总收入的100.00</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p>
    <w:p>
      <w:pPr>
        <w:pStyle w:val="16"/>
        <w:tabs>
          <w:tab w:val="left" w:pos="1628"/>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3年支出1855.25万元。其中：：一般公共服务支出1295.55 万元占比69.83%，社会保障和就业支出425.76万元占比22.95%，卫生健康支出36.19 万元占比1.95%，城乡社区支出69.31万元占比3.74%，农林水支出28.02万元占比1.51%，交通运输支出0.42万元占比0.02%。</w:t>
      </w:r>
    </w:p>
    <w:p>
      <w:pPr>
        <w:pStyle w:val="4"/>
        <w:widowControl/>
        <w:spacing w:after="0" w:line="60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绩效情况：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1.从严治党，基层党建工作取得新成绩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充分发挥基层党建引领工作，深入开展党史学习教育和党工委理论学习中心组专题学习，开展党的二十大精神、《习近平谈治国理政》等重点内容集中学习10次。一是抓党建强社区治理，高标准建成龙头安置小区、兴隆山安置小区等党群服务站。二是抓党建促乡村振兴。三是坚持正风肃纪反腐。</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2</w:t>
      </w:r>
      <w:r>
        <w:rPr>
          <w:rFonts w:hint="default" w:ascii="楷体" w:hAnsi="楷体" w:eastAsia="楷体" w:cs="楷体"/>
          <w:b/>
          <w:bCs/>
          <w:color w:val="auto"/>
          <w:sz w:val="28"/>
          <w:szCs w:val="28"/>
          <w:u w:val="none"/>
          <w:lang w:val="en-US" w:eastAsia="zh-CN"/>
        </w:rPr>
        <w:t>.统筹推进，城乡建设面貌持续改观</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扎实推进项目建设与征拆工作</w:t>
      </w:r>
      <w:r>
        <w:rPr>
          <w:rFonts w:hint="default" w:ascii="Times New Roman" w:hAnsi="Times New Roman" w:eastAsia="仿宋_GB2312" w:cs="Times New Roman"/>
          <w:color w:val="auto"/>
          <w:kern w:val="2"/>
          <w:sz w:val="32"/>
          <w:szCs w:val="32"/>
          <w:lang w:val="en-US" w:eastAsia="zh-CN" w:bidi="ar-SA"/>
        </w:rPr>
        <w:t>抢抓发展机遇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完成了株洲市2023年度第五批次建设用地项目、国创越摩封装外线10KV高压杆线建设、金科景朝集美云湖及官典坝中支流污水管网建设借地工作；二是妥善</w:t>
      </w:r>
      <w:r>
        <w:rPr>
          <w:rFonts w:hint="eastAsia" w:ascii="Times New Roman" w:hAnsi="Times New Roman" w:eastAsia="仿宋_GB2312" w:cs="Times New Roman"/>
          <w:color w:val="auto"/>
          <w:kern w:val="2"/>
          <w:sz w:val="32"/>
          <w:szCs w:val="32"/>
          <w:lang w:val="en-US" w:eastAsia="zh-CN" w:bidi="ar-SA"/>
        </w:rPr>
        <w:t>处理原项目遗留问题处理工作，</w:t>
      </w:r>
      <w:r>
        <w:rPr>
          <w:rFonts w:hint="default" w:ascii="Times New Roman" w:hAnsi="Times New Roman" w:eastAsia="仿宋_GB2312" w:cs="Times New Roman"/>
          <w:color w:val="auto"/>
          <w:kern w:val="2"/>
          <w:sz w:val="32"/>
          <w:szCs w:val="32"/>
          <w:lang w:val="en-US" w:eastAsia="zh-CN" w:bidi="ar-SA"/>
        </w:rPr>
        <w:t>完成了株洲椭圆时空基站建设补征土地及原项目遗留问题处理工作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三是治违控违，优化施工环境。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3</w:t>
      </w:r>
      <w:r>
        <w:rPr>
          <w:rFonts w:hint="default" w:ascii="楷体" w:hAnsi="楷体" w:eastAsia="楷体" w:cs="楷体"/>
          <w:b/>
          <w:bCs/>
          <w:color w:val="auto"/>
          <w:sz w:val="28"/>
          <w:szCs w:val="28"/>
          <w:u w:val="none"/>
          <w:lang w:val="en-US" w:eastAsia="zh-CN"/>
        </w:rPr>
        <w:t>.全面进步，社会事业发展不断</w:t>
      </w:r>
      <w:r>
        <w:rPr>
          <w:rFonts w:hint="eastAsia" w:ascii="楷体" w:hAnsi="楷体" w:eastAsia="楷体" w:cs="楷体"/>
          <w:b/>
          <w:bCs/>
          <w:color w:val="auto"/>
          <w:sz w:val="28"/>
          <w:szCs w:val="28"/>
          <w:u w:val="none"/>
          <w:lang w:val="en-US" w:eastAsia="zh-CN"/>
        </w:rPr>
        <w:t>提升</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一是积极推动居民再就业工作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新增就业人员</w:t>
      </w:r>
      <w:r>
        <w:rPr>
          <w:rFonts w:hint="eastAsia" w:ascii="Times New Roman" w:hAnsi="Times New Roman" w:eastAsia="仿宋_GB2312" w:cs="Times New Roman"/>
          <w:color w:val="auto"/>
          <w:kern w:val="2"/>
          <w:sz w:val="32"/>
          <w:szCs w:val="32"/>
          <w:lang w:val="en-US" w:eastAsia="zh-CN" w:bidi="ar-SA"/>
        </w:rPr>
        <w:t>152</w:t>
      </w:r>
      <w:r>
        <w:rPr>
          <w:rFonts w:hint="default" w:ascii="Times New Roman" w:hAnsi="Times New Roman" w:eastAsia="仿宋_GB2312" w:cs="Times New Roman"/>
          <w:color w:val="auto"/>
          <w:kern w:val="2"/>
          <w:sz w:val="32"/>
          <w:szCs w:val="32"/>
          <w:lang w:val="en-US" w:eastAsia="zh-CN" w:bidi="ar-SA"/>
        </w:rPr>
        <w:t>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二是稳步推进社会救助工作</w:t>
      </w: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是持续推进人居环境整治工作</w:t>
      </w:r>
      <w:r>
        <w:rPr>
          <w:rFonts w:hint="eastAsia" w:ascii="Times New Roman" w:hAnsi="Times New Roman" w:eastAsia="仿宋_GB2312" w:cs="Times New Roman"/>
          <w:color w:val="auto"/>
          <w:kern w:val="2"/>
          <w:sz w:val="32"/>
          <w:szCs w:val="32"/>
          <w:lang w:val="en-US" w:eastAsia="zh-CN" w:bidi="ar-SA"/>
        </w:rPr>
        <w:t>，加强创文巩卫，</w:t>
      </w:r>
      <w:r>
        <w:rPr>
          <w:rFonts w:hint="default" w:ascii="Times New Roman" w:hAnsi="Times New Roman" w:eastAsia="仿宋_GB2312" w:cs="Times New Roman"/>
          <w:color w:val="auto"/>
          <w:kern w:val="2"/>
          <w:sz w:val="32"/>
          <w:szCs w:val="32"/>
          <w:lang w:val="en-US" w:eastAsia="zh-CN" w:bidi="ar-SA"/>
        </w:rPr>
        <w:t>全力推动辖区市容管理精细化，对龙头铺新街、兴隆农贸市场、磐龙世纪城等沿线出店经营、乱堆乱放、人行道违停、违规设置灯箱广告牌、“牛皮癣”等情况进行整治，共清理乱堆乱放200处，规范劝导出店、占道经营400余次，拆除各类违规横幅广告120余处，清理“牛皮癣”300余处，规范车辆停放1000余台次，清运垃圾2800余吨，有效地推进了城市管理工作，确保市容市貌整洁</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是坚持维护生态环境工作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排查自建房安全隐患。截止目前共排查自建房屋2378栋，对初判存在安全隐患的房屋621栋委托第三方鉴定机构进行鉴定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对新建6栋房屋落实选址踏勘到场、定点放线到场、基坑基槽验收到场、工程重要节点到场、主体结构完工到场竣工验收，严格按照“六个到场”顺序执行</w:t>
      </w:r>
      <w:r>
        <w:rPr>
          <w:rFonts w:hint="eastAsia" w:ascii="Times New Roman" w:hAnsi="Times New Roman" w:eastAsia="仿宋_GB2312" w:cs="Times New Roman"/>
          <w:color w:val="auto"/>
          <w:kern w:val="2"/>
          <w:sz w:val="32"/>
          <w:szCs w:val="32"/>
          <w:lang w:val="en-US" w:eastAsia="zh-CN" w:bidi="ar-SA"/>
        </w:rPr>
        <w:t>；四是</w:t>
      </w:r>
      <w:r>
        <w:rPr>
          <w:rFonts w:hint="default" w:ascii="Times New Roman" w:hAnsi="Times New Roman" w:eastAsia="仿宋_GB2312" w:cs="Times New Roman"/>
          <w:color w:val="auto"/>
          <w:kern w:val="2"/>
          <w:sz w:val="32"/>
          <w:szCs w:val="32"/>
          <w:lang w:val="en-US" w:eastAsia="zh-CN" w:bidi="ar-SA"/>
        </w:rPr>
        <w:t>安全生产检查。街道对辖区工贸行业企业危险化学品、环保设施情况进行全面排查，针对辖区沿街门店、宾馆、市场、商超、仓库、自建房、老旧小区、“多合一”等重点场所开展全面消防安全排查。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4.</w:t>
      </w:r>
      <w:r>
        <w:rPr>
          <w:rFonts w:hint="default" w:ascii="楷体" w:hAnsi="楷体" w:eastAsia="楷体" w:cs="楷体"/>
          <w:b/>
          <w:bCs/>
          <w:color w:val="auto"/>
          <w:sz w:val="28"/>
          <w:szCs w:val="28"/>
          <w:u w:val="none"/>
          <w:lang w:val="en-US" w:eastAsia="zh-CN"/>
        </w:rPr>
        <w:t>多管齐下，推动社会治理纵深发展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是解决群众诉求，积极调解矛盾</w:t>
      </w:r>
      <w:r>
        <w:rPr>
          <w:rFonts w:hint="eastAsia" w:ascii="Times New Roman" w:hAnsi="Times New Roman" w:eastAsia="仿宋_GB2312" w:cs="Times New Roman"/>
          <w:color w:val="auto"/>
          <w:kern w:val="2"/>
          <w:sz w:val="32"/>
          <w:szCs w:val="32"/>
          <w:lang w:val="en-US" w:eastAsia="zh-CN" w:bidi="ar-SA"/>
        </w:rPr>
        <w:t>，实现零赴省进京人员。二</w:t>
      </w:r>
      <w:r>
        <w:rPr>
          <w:rFonts w:hint="default" w:ascii="Times New Roman" w:hAnsi="Times New Roman" w:eastAsia="仿宋_GB2312" w:cs="Times New Roman"/>
          <w:color w:val="auto"/>
          <w:kern w:val="2"/>
          <w:sz w:val="32"/>
          <w:szCs w:val="32"/>
          <w:lang w:val="en-US" w:eastAsia="zh-CN" w:bidi="ar-SA"/>
        </w:rPr>
        <w:t>是开展法制宣传，积极引导教育</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是维护社会稳定，创建平安街道</w:t>
      </w:r>
      <w:r>
        <w:rPr>
          <w:rFonts w:hint="eastAsia" w:ascii="Times New Roman" w:hAnsi="Times New Roman" w:eastAsia="仿宋_GB2312" w:cs="Times New Roman"/>
          <w:color w:val="auto"/>
          <w:kern w:val="2"/>
          <w:sz w:val="32"/>
          <w:szCs w:val="32"/>
          <w:lang w:val="en-US" w:eastAsia="zh-CN" w:bidi="ar-SA"/>
        </w:rPr>
        <w:t>，全面提升应急能力“六有”建设，发挥基层安全生产、应急救援等职能作用。</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pStyle w:val="16"/>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龙头铺街道办事处2023年预算项目支出1661.60万元。</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．年初预算项目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微民生网格事件办理项目，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17.18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12.82</w:t>
      </w:r>
      <w:r>
        <w:rPr>
          <w:rFonts w:hint="default" w:ascii="Times New Roman" w:hAnsi="Times New Roman" w:eastAsia="仿宋_GB2312" w:cs="Times New Roman"/>
          <w:color w:val="auto"/>
          <w:sz w:val="32"/>
          <w:szCs w:val="32"/>
        </w:rPr>
        <w:t>万元。项目实施及绩效情况如下：</w:t>
      </w:r>
      <w:r>
        <w:rPr>
          <w:rFonts w:hint="default" w:ascii="Times New Roman" w:hAnsi="Times New Roman" w:eastAsia="仿宋_GB2312" w:cs="Times New Roman"/>
          <w:color w:val="auto"/>
          <w:sz w:val="32"/>
          <w:szCs w:val="32"/>
          <w:lang w:eastAsia="zh-CN"/>
        </w:rPr>
        <w:t>全年度登记和处理事件</w:t>
      </w:r>
      <w:r>
        <w:rPr>
          <w:rFonts w:hint="eastAsia" w:ascii="Times New Roman" w:hAnsi="Times New Roman" w:eastAsia="仿宋_GB2312" w:cs="Times New Roman"/>
          <w:color w:val="auto"/>
          <w:sz w:val="32"/>
          <w:szCs w:val="32"/>
          <w:lang w:val="en-US" w:eastAsia="zh-CN"/>
        </w:rPr>
        <w:t>300余</w:t>
      </w:r>
      <w:r>
        <w:rPr>
          <w:rFonts w:hint="default" w:ascii="Times New Roman" w:hAnsi="Times New Roman" w:eastAsia="仿宋_GB2312" w:cs="Times New Roman"/>
          <w:color w:val="auto"/>
          <w:sz w:val="32"/>
          <w:szCs w:val="32"/>
          <w:lang w:eastAsia="zh-CN"/>
        </w:rPr>
        <w:t>件，</w:t>
      </w:r>
      <w:r>
        <w:rPr>
          <w:rFonts w:hint="eastAsia" w:ascii="Times New Roman" w:hAnsi="Times New Roman" w:eastAsia="仿宋_GB2312" w:cs="Times New Roman"/>
          <w:color w:val="auto"/>
          <w:sz w:val="32"/>
          <w:szCs w:val="32"/>
          <w:lang w:val="en-US" w:eastAsia="zh-CN"/>
        </w:rPr>
        <w:t>确保全国、全省两会特护期间非访事件发生率为0。</w:t>
      </w:r>
      <w:r>
        <w:rPr>
          <w:rFonts w:hint="default" w:ascii="Times New Roman" w:hAnsi="Times New Roman" w:eastAsia="仿宋_GB2312" w:cs="Times New Roman"/>
          <w:color w:val="auto"/>
          <w:sz w:val="32"/>
          <w:szCs w:val="32"/>
          <w:lang w:eastAsia="zh-CN"/>
        </w:rPr>
        <w:t>广泛宣传综治民调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平安创建、</w:t>
      </w:r>
      <w:r>
        <w:rPr>
          <w:rFonts w:hint="eastAsia" w:ascii="Times New Roman" w:hAnsi="Times New Roman" w:eastAsia="仿宋_GB2312" w:cs="Times New Roman"/>
          <w:color w:val="auto"/>
          <w:sz w:val="32"/>
          <w:szCs w:val="32"/>
          <w:lang w:val="en-US" w:eastAsia="zh-CN"/>
        </w:rPr>
        <w:t>防非处非、</w:t>
      </w:r>
      <w:r>
        <w:rPr>
          <w:rFonts w:hint="default" w:ascii="Times New Roman" w:hAnsi="Times New Roman" w:eastAsia="仿宋_GB2312" w:cs="Times New Roman"/>
          <w:color w:val="auto"/>
          <w:sz w:val="32"/>
          <w:szCs w:val="32"/>
          <w:lang w:eastAsia="zh-CN"/>
        </w:rPr>
        <w:t>反诈宣传等内容</w:t>
      </w:r>
      <w:r>
        <w:rPr>
          <w:rFonts w:hint="eastAsia" w:ascii="Times New Roman" w:hAnsi="Times New Roman" w:eastAsia="仿宋_GB2312" w:cs="Times New Roman"/>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业务性专项经费项目，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为街道党建、妇联、</w:t>
      </w:r>
      <w:r>
        <w:rPr>
          <w:rFonts w:hint="default" w:ascii="Times New Roman" w:hAnsi="Times New Roman" w:eastAsia="仿宋_GB2312" w:cs="Times New Roman"/>
          <w:color w:val="auto"/>
          <w:sz w:val="32"/>
          <w:szCs w:val="32"/>
          <w:lang w:val="en-US" w:eastAsia="zh-CN"/>
        </w:rPr>
        <w:t>卫生健康、城市管理</w:t>
      </w:r>
      <w:r>
        <w:rPr>
          <w:rFonts w:hint="eastAsia" w:ascii="Times New Roman" w:hAnsi="Times New Roman" w:eastAsia="仿宋_GB2312" w:cs="Times New Roman"/>
          <w:color w:val="auto"/>
          <w:sz w:val="32"/>
          <w:szCs w:val="32"/>
          <w:lang w:val="en-US" w:eastAsia="zh-CN"/>
        </w:rPr>
        <w:t>、基层武装、安全生产、综治维稳等工作开展提供资金保障，保进辖区各项事业繁荣，</w:t>
      </w:r>
      <w:r>
        <w:rPr>
          <w:rFonts w:hint="default" w:ascii="Times New Roman" w:hAnsi="Times New Roman" w:eastAsia="仿宋_GB2312" w:cs="Times New Roman"/>
          <w:color w:val="auto"/>
          <w:sz w:val="32"/>
          <w:szCs w:val="32"/>
          <w:lang w:val="en-US" w:eastAsia="zh-CN"/>
        </w:rPr>
        <w:t>街道党工委中心组学习˃</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次，组建8支理论宣讲志愿服务队，开展</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val="en-US" w:eastAsia="zh-CN"/>
        </w:rPr>
        <w:t>场理论宣讲活动。认真做好无偿献血工作，卫生健康知识宣传。接待处理居民、物业投诉。</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安全生产隐患专项检查</w:t>
      </w:r>
      <w:r>
        <w:rPr>
          <w:rFonts w:hint="eastAsia" w:ascii="Times New Roman" w:hAnsi="Times New Roman" w:eastAsia="仿宋_GB2312" w:cs="Times New Roman"/>
          <w:color w:val="auto"/>
          <w:sz w:val="32"/>
          <w:szCs w:val="32"/>
          <w:lang w:val="en-US" w:eastAsia="zh-CN"/>
        </w:rPr>
        <w:t>，推进防灾减灾工作，应对低温雨雪、森林防火等自然灾害。</w:t>
      </w:r>
    </w:p>
    <w:p>
      <w:pPr>
        <w:pStyle w:val="16"/>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社区运转项目，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350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21万元，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371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加强基层自治和社会治理为支撑，强化社区服务功能，发展社会事业，最大限度的满足社区居民的多样化服务需求，建设两型社会。</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环境整治项目，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60万元，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扎实开展农村人居环境整治各项工作，抓牢抓实道路绿化、厕所革命、秸秆禁烧等重点工作；对54户房屋进行鉴定评级；整治农村生活垃圾，全面清理脏乱差和卫生死角，落实门前三包责任制，实行社区小组包片责任制，强化平时日常卫生保洁，做到生活垃圾分类日产日清。</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．年中追加项目</w:t>
      </w:r>
    </w:p>
    <w:p>
      <w:pPr>
        <w:pStyle w:val="2"/>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经开区拨聘用人员工资及解聘经费</w:t>
      </w:r>
      <w:r>
        <w:rPr>
          <w:rFonts w:hint="eastAsia" w:ascii="Times New Roman" w:hAnsi="Times New Roman" w:eastAsia="仿宋_GB2312" w:cs="Times New Roman"/>
          <w:color w:val="auto"/>
          <w:sz w:val="32"/>
          <w:szCs w:val="32"/>
          <w:lang w:eastAsia="zh-CN"/>
        </w:rPr>
        <w:t>项目，</w:t>
      </w:r>
      <w:r>
        <w:rPr>
          <w:rFonts w:hint="eastAsia" w:ascii="Times New Roman" w:hAnsi="Times New Roman" w:cs="Times New Roman"/>
          <w:color w:val="auto"/>
          <w:sz w:val="32"/>
          <w:szCs w:val="32"/>
          <w:lang w:eastAsia="zh-CN"/>
        </w:rPr>
        <w:t>金额</w:t>
      </w:r>
      <w:r>
        <w:rPr>
          <w:rFonts w:hint="eastAsia" w:ascii="Times New Roman" w:hAnsi="Times New Roman" w:cs="Times New Roman"/>
          <w:color w:val="auto"/>
          <w:sz w:val="32"/>
          <w:szCs w:val="32"/>
          <w:lang w:val="en-US" w:eastAsia="zh-CN"/>
        </w:rPr>
        <w:t>936.26</w:t>
      </w:r>
      <w:r>
        <w:rPr>
          <w:rFonts w:hint="eastAsia" w:ascii="Times New Roman" w:hAnsi="Times New Roman" w:cs="Times New Roman"/>
          <w:color w:val="auto"/>
          <w:sz w:val="32"/>
          <w:szCs w:val="32"/>
          <w:lang w:eastAsia="zh-CN"/>
        </w:rPr>
        <w:t>万元，实际支出</w:t>
      </w:r>
      <w:r>
        <w:rPr>
          <w:rFonts w:hint="eastAsia" w:ascii="Times New Roman" w:hAnsi="Times New Roman" w:cs="Times New Roman"/>
          <w:color w:val="auto"/>
          <w:sz w:val="32"/>
          <w:szCs w:val="32"/>
          <w:lang w:val="en-US" w:eastAsia="zh-CN"/>
        </w:rPr>
        <w:t>849.06</w:t>
      </w:r>
      <w:r>
        <w:rPr>
          <w:rFonts w:hint="eastAsia" w:ascii="Times New Roman" w:hAnsi="Times New Roman" w:cs="Times New Roman"/>
          <w:color w:val="auto"/>
          <w:sz w:val="32"/>
          <w:szCs w:val="32"/>
          <w:lang w:eastAsia="zh-CN"/>
        </w:rPr>
        <w:t>万元，结余结转</w:t>
      </w:r>
      <w:r>
        <w:rPr>
          <w:rFonts w:hint="eastAsia" w:ascii="Times New Roman" w:hAnsi="Times New Roman" w:cs="Times New Roman"/>
          <w:color w:val="auto"/>
          <w:sz w:val="32"/>
          <w:szCs w:val="32"/>
          <w:lang w:val="en-US" w:eastAsia="zh-CN"/>
        </w:rPr>
        <w:t>87.2</w:t>
      </w:r>
      <w:r>
        <w:rPr>
          <w:rFonts w:hint="eastAsia" w:ascii="Times New Roman" w:hAnsi="Times New Roman" w:cs="Times New Roman"/>
          <w:color w:val="auto"/>
          <w:sz w:val="32"/>
          <w:szCs w:val="32"/>
          <w:lang w:eastAsia="zh-CN"/>
        </w:rPr>
        <w:t>万元。项目实施及绩效情况：保障街道聘用人员的工资发放、社保缴纳；对</w:t>
      </w:r>
      <w:r>
        <w:rPr>
          <w:rFonts w:hint="default" w:ascii="Times New Roman" w:hAnsi="Times New Roman" w:cs="Times New Roman"/>
          <w:color w:val="auto"/>
          <w:sz w:val="32"/>
          <w:szCs w:val="32"/>
          <w:lang w:val="en-US" w:eastAsia="zh-CN"/>
        </w:rPr>
        <w:t>原经开区聘用派</w:t>
      </w:r>
      <w:r>
        <w:rPr>
          <w:rFonts w:hint="default" w:ascii="Times New Roman" w:hAnsi="Times New Roman" w:eastAsia="仿宋_GB2312" w:cs="Times New Roman"/>
          <w:b w:val="0"/>
          <w:bCs w:val="0"/>
          <w:color w:val="auto"/>
          <w:sz w:val="32"/>
          <w:szCs w:val="32"/>
          <w:lang w:val="en-US" w:eastAsia="zh-CN"/>
        </w:rPr>
        <w:t>驻我街道的19名工作人员已全部完成清退，街道自聘的35名工作人员也已全部签订解除（终止）劳动（合同）关系协议书，并按照相关要求完成街道聘用人员劳务关系签订。同时，</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按时完成在编人员转隶入编手续，并重新做好岗位分工设置。</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退休人员生活补贴、抚恤金专项项目，金额86.62万元，实际支出86.62万元，结余结转0万元。项目实施及绩效情况：保障街道23个退休人员的基本生活需求、提高退休人员待遇和生活水平质量、增强退休人员的社会参与能力。</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全国第五次经济普查工作经费项目，金额5.8万元，实际支出5.12万元，结余结转0.88万元。项目实施及绩效情况：对215家企业及个体工商户进行进行全面普查，掌握发展规模、效益情况，发挥数据统计的积极作用。</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民政、就业、两保专项项目，金额24.55万元，实际支出19.15元，结余结转5.4万元。项目实施及绩效情况：切实做好民生工程，为街道低保对象、城乡特困对象、临时救助人员进行走访慰问并发放慰问金。今年新增就业人员152人。按时发放两保协理员工资及缴纳社保，提高工作积极性。</w:t>
      </w:r>
    </w:p>
    <w:p>
      <w:p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财政、人大、党建专项项目，金额13.15万元，实际支出10.2元，结余结转2.95万元。项目实施及绩效情况：加强做好财源建设工作；开展打击非法集资，进行户外宣传打击非法集资活动2次；打造龙头铺街道人大代表联络站；加强党建工作创新活动方式，抓实基层党组织建设，高质量发展党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公益林补助资金专项项目，金额20.02万元，实际支出20.02元，结余结转0万元。项目实施及绩效情况：省级、市级生态公益林保护工作的正常开展，促进森林生态系统功能恢复和提高。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基层退役军人服务体系运行补助经费项目，金额2万元，实际支出1.33元，结余结转0.63万元。项目实施及绩效情况：开展退役军人培训，保障退役军人的基础生活。</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纪检专项项目，金额4.2万元，实际支出0元，结余结转4.2万元。项目实施及绩效情况：认真开展纠四风监督检查工作，共计18次监督检查，未发现公款吃喝、公款娱乐、公车私用等情况，提高诉求回复率。</w:t>
      </w:r>
    </w:p>
    <w:p>
      <w:pPr>
        <w:pStyle w:val="16"/>
        <w:spacing w:line="600" w:lineRule="exact"/>
        <w:ind w:firstLine="640" w:firstLineChars="200"/>
        <w:jc w:val="both"/>
        <w:rPr>
          <w:rFonts w:hint="default"/>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道路整治专项项目，金额1万元，实际支出0.44元，结余结转0.56万元。项目实施及绩效情况：对交通问题</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顽瘴痼疾</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进行集中整治，对辖区内农村道路开展全面摸排，发现并上报道路安全风险隐患点21处，现已按照要求完成风险隐患点整治项目并竣工验收。</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（一）、存在的主要问题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的编制较为精细，按照费用支出的使用范围和内容，进行了类、款、项三个层级的明细预算，进行了基本支出、项目支出的严格区分，同时在基本支出和项目支出中又进行了更为明细的预算，并按照预算的最末级明细进行预算支出管理，专款专用。但对于追加的项目支出、上年结余结转的项目资金，没有进行预算分解，编制明细预算，因此涉及上年结转和追加预算的项目支出的预算管理均仅从总额进行控制，不便于对其进行精细化的预算管理和分析评价。</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2、在日常预算管理过程中，进一步加强预算支出的审核、跟踪及预算执行情况分析。</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lang w:eastAsia="zh-CN"/>
        </w:rPr>
      </w:pPr>
      <w:r>
        <w:rPr>
          <w:rFonts w:hint="default" w:ascii="Times New Roman" w:hAnsi="Times New Roman" w:eastAsia="仿宋_GB2312" w:cs="Times New Roman"/>
          <w:color w:val="auto"/>
          <w:sz w:val="32"/>
          <w:szCs w:val="32"/>
          <w:lang w:eastAsia="zh-CN"/>
        </w:rPr>
        <w:t>无其他需要说明的情况</w:t>
      </w: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VrULtgEAAFUDAAAOAAAAAAAAAAEAIAAAADQBAABkcnMvZTJv&#10;RG9jLnhtbFBLBQYAAAAABgAGAFkBAABc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FSmNq1AQAAVQMAAA4AAAAAAAAAAQAgAAAANAEAAGRycy9lMm9E&#10;b2MueG1sUEsFBgAAAAAGAAYAWQEAAFs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CA150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0FF34C11"/>
    <w:rsid w:val="103F11C1"/>
    <w:rsid w:val="10561432"/>
    <w:rsid w:val="10E71038"/>
    <w:rsid w:val="110C7443"/>
    <w:rsid w:val="11562771"/>
    <w:rsid w:val="11834980"/>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2B4704"/>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BD2B2B"/>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EFFD5F8"/>
    <w:rsid w:val="3F570588"/>
    <w:rsid w:val="3F5B111B"/>
    <w:rsid w:val="4059750B"/>
    <w:rsid w:val="40815289"/>
    <w:rsid w:val="40894179"/>
    <w:rsid w:val="408F3EBF"/>
    <w:rsid w:val="409860B0"/>
    <w:rsid w:val="413C6D6B"/>
    <w:rsid w:val="41B42B6F"/>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4A65B2"/>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47526A"/>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93B6F8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3"/>
    <w:next w:val="1"/>
    <w:qFormat/>
    <w:uiPriority w:val="99"/>
    <w:pPr>
      <w:spacing w:after="120"/>
    </w:pPr>
  </w:style>
  <w:style w:type="paragraph" w:styleId="3">
    <w:name w:val="Normal Indent"/>
    <w:basedOn w:val="1"/>
    <w:qFormat/>
    <w:uiPriority w:val="0"/>
    <w:pPr>
      <w:ind w:firstLine="420" w:firstLineChars="200"/>
    </w:pPr>
    <w:rPr>
      <w:rFonts w:eastAsia="仿宋_GB2312"/>
      <w:sz w:val="28"/>
    </w:r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3"/>
    <w:semiHidden/>
    <w:qFormat/>
    <w:uiPriority w:val="99"/>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Header Char"/>
    <w:basedOn w:val="9"/>
    <w:link w:val="7"/>
    <w:semiHidden/>
    <w:qFormat/>
    <w:locked/>
    <w:uiPriority w:val="99"/>
    <w:rPr>
      <w:sz w:val="18"/>
      <w:szCs w:val="18"/>
    </w:rPr>
  </w:style>
  <w:style w:type="character" w:customStyle="1" w:styleId="12">
    <w:name w:val="Footer Char"/>
    <w:basedOn w:val="9"/>
    <w:link w:val="6"/>
    <w:qFormat/>
    <w:locked/>
    <w:uiPriority w:val="99"/>
    <w:rPr>
      <w:sz w:val="18"/>
      <w:szCs w:val="18"/>
    </w:rPr>
  </w:style>
  <w:style w:type="character" w:customStyle="1" w:styleId="13">
    <w:name w:val="Date Char"/>
    <w:basedOn w:val="9"/>
    <w:link w:val="5"/>
    <w:semiHidden/>
    <w:qFormat/>
    <w:locked/>
    <w:uiPriority w:val="99"/>
  </w:style>
  <w:style w:type="character" w:customStyle="1" w:styleId="14">
    <w:name w:val="font41"/>
    <w:basedOn w:val="9"/>
    <w:qFormat/>
    <w:uiPriority w:val="99"/>
    <w:rPr>
      <w:rFonts w:ascii="宋体" w:hAnsi="宋体" w:eastAsia="宋体" w:cs="宋体"/>
      <w:b/>
      <w:bCs/>
      <w:color w:val="000000"/>
      <w:sz w:val="44"/>
      <w:szCs w:val="44"/>
      <w:u w:val="none"/>
    </w:rPr>
  </w:style>
  <w:style w:type="character" w:customStyle="1" w:styleId="15">
    <w:name w:val="font11"/>
    <w:basedOn w:val="9"/>
    <w:qFormat/>
    <w:uiPriority w:val="99"/>
    <w:rPr>
      <w:rFonts w:ascii="宋体" w:hAnsi="宋体" w:eastAsia="宋体" w:cs="宋体"/>
      <w:b/>
      <w:bCs/>
      <w:color w:val="000000"/>
      <w:sz w:val="32"/>
      <w:szCs w:val="32"/>
      <w:u w:val="none"/>
    </w:rPr>
  </w:style>
  <w:style w:type="paragraph" w:customStyle="1" w:styleId="16">
    <w:name w:val="Body text|1"/>
    <w:basedOn w:val="1"/>
    <w:qFormat/>
    <w:uiPriority w:val="99"/>
    <w:pPr>
      <w:widowControl w:val="0"/>
      <w:adjustRightInd/>
      <w:snapToGrid/>
      <w:spacing w:after="0" w:line="386" w:lineRule="auto"/>
      <w:ind w:firstLine="400"/>
    </w:pPr>
    <w:rPr>
      <w:rFonts w:ascii="宋体" w:hAnsi="宋体" w:eastAsia="宋体" w:cs="宋体"/>
      <w:sz w:val="30"/>
      <w:szCs w:val="30"/>
      <w:lang w:val="zh-TW" w:eastAsia="zh-TW"/>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0</TotalTime>
  <ScaleCrop>false</ScaleCrop>
  <LinksUpToDate>false</LinksUpToDate>
  <CharactersWithSpaces>779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2019-01-15T19:17:00Z</dcterms:created>
  <dc:creator>Windows 用户</dc:creator>
  <cp:lastModifiedBy>user</cp:lastModifiedBy>
  <cp:lastPrinted>2023-08-28T23:21:00Z</cp:lastPrinted>
  <dcterms:modified xsi:type="dcterms:W3CDTF">2024-11-19T10:42:52Z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D046AB22908C472C8AD60C17670F1370</vt:lpwstr>
  </property>
</Properties>
</file>