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560"/>
        </w:tabs>
        <w:adjustRightInd w:val="0"/>
        <w:snapToGrid w:val="0"/>
        <w:spacing w:line="560" w:lineRule="exact"/>
        <w:jc w:val="left"/>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附件1</w:t>
      </w:r>
    </w:p>
    <w:p>
      <w:pPr>
        <w:tabs>
          <w:tab w:val="left" w:pos="7560"/>
        </w:tabs>
        <w:adjustRightInd w:val="0"/>
        <w:snapToGrid w:val="0"/>
        <w:spacing w:line="560" w:lineRule="exact"/>
        <w:jc w:val="center"/>
        <w:rPr>
          <w:rFonts w:hint="default" w:ascii="Times New Roman" w:hAnsi="Times New Roman" w:eastAsia="方正小标宋简体" w:cs="Times New Roman"/>
          <w:color w:val="auto"/>
          <w:sz w:val="44"/>
          <w:szCs w:val="32"/>
        </w:rPr>
      </w:pPr>
    </w:p>
    <w:p>
      <w:pPr>
        <w:tabs>
          <w:tab w:val="left" w:pos="7560"/>
        </w:tabs>
        <w:adjustRightInd w:val="0"/>
        <w:snapToGrid w:val="0"/>
        <w:spacing w:line="560" w:lineRule="exact"/>
        <w:jc w:val="both"/>
        <w:rPr>
          <w:rFonts w:hint="default" w:ascii="Times New Roman" w:hAnsi="Times New Roman" w:eastAsia="方正小标宋简体" w:cs="Times New Roman"/>
          <w:color w:val="auto"/>
          <w:sz w:val="44"/>
          <w:szCs w:val="32"/>
        </w:rPr>
      </w:pPr>
    </w:p>
    <w:p>
      <w:pPr>
        <w:tabs>
          <w:tab w:val="left" w:pos="7560"/>
        </w:tabs>
        <w:adjustRightInd w:val="0"/>
        <w:snapToGrid w:val="0"/>
        <w:spacing w:line="560" w:lineRule="exact"/>
        <w:jc w:val="center"/>
        <w:rPr>
          <w:rFonts w:hint="default" w:ascii="Times New Roman" w:hAnsi="Times New Roman" w:eastAsia="方正小标宋简体" w:cs="Times New Roman"/>
          <w:color w:val="auto"/>
          <w:sz w:val="44"/>
          <w:szCs w:val="32"/>
        </w:rPr>
      </w:pPr>
      <w:r>
        <w:rPr>
          <w:rFonts w:hint="eastAsia" w:ascii="Times New Roman" w:hAnsi="Times New Roman" w:eastAsia="方正小标宋简体" w:cs="Times New Roman"/>
          <w:color w:val="auto"/>
          <w:sz w:val="44"/>
          <w:szCs w:val="32"/>
          <w:lang w:eastAsia="zh-CN"/>
        </w:rPr>
        <w:t>2023</w:t>
      </w:r>
      <w:r>
        <w:rPr>
          <w:rFonts w:hint="default" w:ascii="Times New Roman" w:hAnsi="Times New Roman" w:eastAsia="方正小标宋简体" w:cs="Times New Roman"/>
          <w:color w:val="auto"/>
          <w:sz w:val="44"/>
          <w:szCs w:val="32"/>
        </w:rPr>
        <w:t>年度部门整体支出绩效自评报告</w:t>
      </w: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center"/>
        <w:rPr>
          <w:rFonts w:hint="default" w:ascii="Times New Roman" w:hAnsi="Times New Roman" w:eastAsia="黑体" w:cs="Times New Roman"/>
          <w:color w:val="auto"/>
          <w:sz w:val="36"/>
          <w:szCs w:val="44"/>
        </w:rPr>
      </w:pPr>
      <w:r>
        <w:rPr>
          <w:rFonts w:hint="default" w:ascii="Times New Roman" w:hAnsi="Times New Roman" w:eastAsia="黑体" w:cs="Times New Roman"/>
          <w:color w:val="auto"/>
          <w:sz w:val="36"/>
          <w:szCs w:val="44"/>
        </w:rPr>
        <w:t>单位名称（盖章）</w:t>
      </w: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40" w:lineRule="exact"/>
        <w:ind w:firstLine="640" w:firstLineChars="200"/>
        <w:jc w:val="left"/>
        <w:rPr>
          <w:rFonts w:hint="default" w:ascii="Times New Roman" w:hAnsi="Times New Roman" w:eastAsia="黑体" w:cs="Times New Roman"/>
          <w:color w:val="auto"/>
          <w:sz w:val="32"/>
          <w:szCs w:val="32"/>
        </w:rPr>
        <w:sectPr>
          <w:footerReference r:id="rId3" w:type="default"/>
          <w:pgSz w:w="11906" w:h="16838"/>
          <w:pgMar w:top="1984" w:right="1531" w:bottom="1701" w:left="1531" w:header="851" w:footer="992" w:gutter="0"/>
          <w:pgNumType w:fmt="decimal"/>
          <w:cols w:space="425" w:num="1"/>
          <w:docGrid w:type="linesAndChars" w:linePitch="312" w:charSpace="0"/>
        </w:sectPr>
      </w:pPr>
    </w:p>
    <w:p>
      <w:pPr>
        <w:tabs>
          <w:tab w:val="left" w:pos="7560"/>
        </w:tabs>
        <w:adjustRightInd w:val="0"/>
        <w:snapToGrid w:val="0"/>
        <w:spacing w:line="540" w:lineRule="exact"/>
        <w:ind w:firstLine="640" w:firstLineChars="200"/>
        <w:jc w:val="left"/>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一、预算单位基本情况</w:t>
      </w:r>
    </w:p>
    <w:p>
      <w:pPr>
        <w:pStyle w:val="16"/>
        <w:tabs>
          <w:tab w:val="left" w:pos="1290"/>
        </w:tabs>
        <w:spacing w:line="600" w:lineRule="exact"/>
        <w:ind w:firstLine="640" w:firstLineChars="200"/>
        <w:jc w:val="both"/>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1</w:t>
      </w:r>
      <w:r>
        <w:rPr>
          <w:rFonts w:hint="eastAsia" w:ascii="Times New Roman" w:hAnsi="Times New Roman" w:eastAsia="仿宋_GB2312" w:cs="Times New Roman"/>
          <w:color w:val="auto"/>
          <w:kern w:val="2"/>
          <w:sz w:val="32"/>
          <w:szCs w:val="32"/>
          <w:lang w:val="en-US" w:eastAsia="zh-CN" w:bidi="ar-SA"/>
        </w:rPr>
        <w:t>．主要职能。</w:t>
      </w:r>
    </w:p>
    <w:p>
      <w:pPr>
        <w:pStyle w:val="16"/>
        <w:tabs>
          <w:tab w:val="left" w:pos="1290"/>
        </w:tabs>
        <w:spacing w:line="600" w:lineRule="exact"/>
        <w:ind w:firstLine="640" w:firstLineChars="200"/>
        <w:jc w:val="both"/>
        <w:rPr>
          <w:rFonts w:hint="default"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为落实国家政策，严格依法行政，发挥经济管理职能，加强政策引导，制定发展规划，发展街道办事处经济、文化和社会事业，提供公共服务，维护社会稳定，构建社会主义和谐社会，主要职能职责有：</w:t>
      </w:r>
    </w:p>
    <w:p>
      <w:pPr>
        <w:pStyle w:val="16"/>
        <w:tabs>
          <w:tab w:val="left" w:pos="1290"/>
        </w:tabs>
        <w:spacing w:line="600" w:lineRule="exact"/>
        <w:ind w:firstLine="640" w:firstLineChars="200"/>
        <w:jc w:val="both"/>
        <w:rPr>
          <w:rFonts w:hint="default"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（一）执行上级国家行政机关的决定和命令；</w:t>
      </w:r>
    </w:p>
    <w:p>
      <w:pPr>
        <w:pStyle w:val="16"/>
        <w:tabs>
          <w:tab w:val="left" w:pos="1290"/>
        </w:tabs>
        <w:spacing w:line="600" w:lineRule="exact"/>
        <w:ind w:firstLine="640" w:firstLineChars="200"/>
        <w:jc w:val="both"/>
        <w:rPr>
          <w:rFonts w:hint="default"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（二）执行本行政区域内的经济和社会发展计划、预算，管理本行政区域内的经济、教育、科学、文化、卫生、财政、民政、司法、计划生育等行政工作；</w:t>
      </w:r>
    </w:p>
    <w:p>
      <w:pPr>
        <w:pStyle w:val="16"/>
        <w:tabs>
          <w:tab w:val="left" w:pos="1290"/>
        </w:tabs>
        <w:spacing w:line="600" w:lineRule="exact"/>
        <w:ind w:firstLine="640" w:firstLineChars="200"/>
        <w:jc w:val="both"/>
        <w:rPr>
          <w:rFonts w:hint="default"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（三）保护社会主义的全民所有的财产和劳动群众集体所有的财产，保护公民私人所有的合法财产，维护社会公共秩序，保障公民的人身权利、民主权利和其他权利；</w:t>
      </w:r>
    </w:p>
    <w:p>
      <w:pPr>
        <w:pStyle w:val="16"/>
        <w:tabs>
          <w:tab w:val="left" w:pos="1290"/>
        </w:tabs>
        <w:spacing w:line="600" w:lineRule="exact"/>
        <w:ind w:firstLine="640" w:firstLineChars="200"/>
        <w:jc w:val="both"/>
        <w:rPr>
          <w:rFonts w:hint="default"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（四）保护各种经济组织的合法权益；</w:t>
      </w:r>
      <w:r>
        <w:rPr>
          <w:rFonts w:hint="default" w:ascii="Times New Roman" w:hAnsi="Times New Roman" w:eastAsia="仿宋_GB2312" w:cs="Times New Roman"/>
          <w:color w:val="auto"/>
          <w:kern w:val="2"/>
          <w:sz w:val="32"/>
          <w:szCs w:val="32"/>
          <w:lang w:val="en-US" w:eastAsia="zh-CN" w:bidi="ar-SA"/>
        </w:rPr>
        <w:tab/>
      </w:r>
    </w:p>
    <w:p>
      <w:pPr>
        <w:pStyle w:val="16"/>
        <w:tabs>
          <w:tab w:val="left" w:pos="1290"/>
        </w:tabs>
        <w:spacing w:line="600" w:lineRule="exact"/>
        <w:ind w:firstLine="640" w:firstLineChars="200"/>
        <w:jc w:val="both"/>
        <w:rPr>
          <w:rFonts w:hint="default"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（五）保障少数民族的权利和尊重少数民族的风俗习惯；</w:t>
      </w:r>
    </w:p>
    <w:p>
      <w:pPr>
        <w:pStyle w:val="16"/>
        <w:tabs>
          <w:tab w:val="left" w:pos="1290"/>
        </w:tabs>
        <w:spacing w:line="600" w:lineRule="exact"/>
        <w:ind w:firstLine="640" w:firstLineChars="200"/>
        <w:jc w:val="both"/>
        <w:rPr>
          <w:rFonts w:hint="default"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（六）办理上级石峰区、党工委交办的其他事项。</w:t>
      </w:r>
    </w:p>
    <w:p>
      <w:pPr>
        <w:pStyle w:val="16"/>
        <w:tabs>
          <w:tab w:val="left" w:pos="1290"/>
        </w:tabs>
        <w:spacing w:line="600" w:lineRule="exact"/>
        <w:ind w:firstLine="640" w:firstLineChars="200"/>
        <w:jc w:val="both"/>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2．机构情况。</w:t>
      </w:r>
    </w:p>
    <w:p>
      <w:pPr>
        <w:pStyle w:val="16"/>
        <w:tabs>
          <w:tab w:val="left" w:pos="1290"/>
        </w:tabs>
        <w:spacing w:line="600" w:lineRule="exact"/>
        <w:ind w:firstLine="640" w:firstLineChars="200"/>
        <w:jc w:val="both"/>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株洲市石峰区龙头铺街道办事处位于石峰区，无下属单位，街道面积30平方公里，人口1.3万人，辖7个社区，130个村民小组。街道办事处下设党政办、党建办、经济发展办、财政办、平安法制和应急管理办公室等10个站办。</w:t>
      </w:r>
    </w:p>
    <w:p>
      <w:pPr>
        <w:pStyle w:val="16"/>
        <w:tabs>
          <w:tab w:val="left" w:pos="1290"/>
        </w:tabs>
        <w:spacing w:line="600" w:lineRule="exact"/>
        <w:ind w:firstLine="640" w:firstLineChars="200"/>
        <w:jc w:val="both"/>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3．人员情况。</w:t>
      </w: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2023年12月底止，龙头铺街道办事处核定编制数为33人，实有人数39人，其中在职人员39人，其中街道正式人员28人、网格员9人、代理记账人员2人。</w:t>
      </w: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二、预算收支出情况（按单位预算口径）</w:t>
      </w: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2023</w:t>
      </w:r>
      <w:r>
        <w:rPr>
          <w:rFonts w:hint="default" w:ascii="Times New Roman" w:hAnsi="Times New Roman" w:eastAsia="仿宋_GB2312" w:cs="Times New Roman"/>
          <w:color w:val="auto"/>
          <w:sz w:val="32"/>
          <w:szCs w:val="32"/>
        </w:rPr>
        <w:t>年预算收入</w:t>
      </w:r>
      <w:r>
        <w:rPr>
          <w:rFonts w:hint="eastAsia" w:ascii="Times New Roman" w:hAnsi="Times New Roman" w:eastAsia="仿宋_GB2312" w:cs="Times New Roman"/>
          <w:color w:val="auto"/>
          <w:sz w:val="32"/>
          <w:szCs w:val="32"/>
          <w:lang w:val="en-US" w:eastAsia="zh-CN"/>
        </w:rPr>
        <w:t>2036.62</w:t>
      </w:r>
      <w:r>
        <w:rPr>
          <w:rFonts w:hint="default" w:ascii="Times New Roman" w:hAnsi="Times New Roman" w:eastAsia="仿宋_GB2312" w:cs="Times New Roman"/>
          <w:color w:val="auto"/>
          <w:sz w:val="32"/>
          <w:szCs w:val="32"/>
        </w:rPr>
        <w:t>万元，其中年初预算</w:t>
      </w:r>
      <w:r>
        <w:rPr>
          <w:rFonts w:hint="eastAsia" w:ascii="Times New Roman" w:hAnsi="Times New Roman" w:eastAsia="仿宋_GB2312" w:cs="Times New Roman"/>
          <w:color w:val="auto"/>
          <w:sz w:val="32"/>
          <w:szCs w:val="32"/>
          <w:lang w:val="en-US" w:eastAsia="zh-CN"/>
        </w:rPr>
        <w:t>954.59</w:t>
      </w:r>
      <w:r>
        <w:rPr>
          <w:rFonts w:hint="default" w:ascii="Times New Roman" w:hAnsi="Times New Roman" w:eastAsia="仿宋_GB2312" w:cs="Times New Roman"/>
          <w:color w:val="auto"/>
          <w:sz w:val="32"/>
          <w:szCs w:val="32"/>
        </w:rPr>
        <w:t>万元，调整追加</w:t>
      </w:r>
      <w:r>
        <w:rPr>
          <w:rFonts w:hint="eastAsia" w:ascii="Times New Roman" w:hAnsi="Times New Roman" w:eastAsia="仿宋_GB2312" w:cs="Times New Roman"/>
          <w:color w:val="auto"/>
          <w:sz w:val="32"/>
          <w:szCs w:val="32"/>
          <w:lang w:val="en-US" w:eastAsia="zh-CN"/>
        </w:rPr>
        <w:t>1082.03</w:t>
      </w:r>
      <w:r>
        <w:rPr>
          <w:rFonts w:hint="default" w:ascii="Times New Roman" w:hAnsi="Times New Roman" w:eastAsia="仿宋_GB2312" w:cs="Times New Roman"/>
          <w:color w:val="auto"/>
          <w:sz w:val="32"/>
          <w:szCs w:val="32"/>
        </w:rPr>
        <w:t>万元。其他资金来源</w:t>
      </w:r>
      <w:r>
        <w:rPr>
          <w:rFonts w:hint="eastAsia"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万元。</w:t>
      </w: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2023</w:t>
      </w:r>
      <w:r>
        <w:rPr>
          <w:rFonts w:hint="default" w:ascii="Times New Roman" w:hAnsi="Times New Roman" w:eastAsia="仿宋_GB2312" w:cs="Times New Roman"/>
          <w:color w:val="auto"/>
          <w:sz w:val="32"/>
          <w:szCs w:val="32"/>
        </w:rPr>
        <w:t>年支出</w:t>
      </w:r>
      <w:r>
        <w:rPr>
          <w:rFonts w:hint="eastAsia" w:ascii="Times New Roman" w:hAnsi="Times New Roman" w:eastAsia="仿宋_GB2312" w:cs="Times New Roman"/>
          <w:color w:val="auto"/>
          <w:sz w:val="32"/>
          <w:szCs w:val="32"/>
          <w:lang w:val="en-US" w:eastAsia="zh-CN"/>
        </w:rPr>
        <w:t>1855.25</w:t>
      </w:r>
      <w:r>
        <w:rPr>
          <w:rFonts w:hint="default" w:ascii="Times New Roman" w:hAnsi="Times New Roman" w:eastAsia="仿宋_GB2312" w:cs="Times New Roman"/>
          <w:color w:val="auto"/>
          <w:sz w:val="32"/>
          <w:szCs w:val="32"/>
        </w:rPr>
        <w:t>万元，其中基本支出</w:t>
      </w:r>
      <w:r>
        <w:rPr>
          <w:rFonts w:hint="eastAsia" w:ascii="Times New Roman" w:hAnsi="Times New Roman" w:eastAsia="仿宋_GB2312" w:cs="Times New Roman"/>
          <w:color w:val="auto"/>
          <w:sz w:val="32"/>
          <w:szCs w:val="32"/>
          <w:lang w:val="en-US" w:eastAsia="zh-CN"/>
        </w:rPr>
        <w:t>375.02</w:t>
      </w:r>
      <w:r>
        <w:rPr>
          <w:rFonts w:hint="default" w:ascii="Times New Roman" w:hAnsi="Times New Roman" w:eastAsia="仿宋_GB2312" w:cs="Times New Roman"/>
          <w:color w:val="auto"/>
          <w:sz w:val="32"/>
          <w:szCs w:val="32"/>
        </w:rPr>
        <w:t>万元，项目支出</w:t>
      </w:r>
      <w:r>
        <w:rPr>
          <w:rFonts w:hint="eastAsia" w:ascii="Times New Roman" w:hAnsi="Times New Roman" w:eastAsia="仿宋_GB2312" w:cs="Times New Roman"/>
          <w:color w:val="auto"/>
          <w:sz w:val="32"/>
          <w:szCs w:val="32"/>
          <w:lang w:val="en-US" w:eastAsia="zh-CN"/>
        </w:rPr>
        <w:t>1661.60</w:t>
      </w:r>
      <w:r>
        <w:rPr>
          <w:rFonts w:hint="default" w:ascii="Times New Roman" w:hAnsi="Times New Roman" w:eastAsia="仿宋_GB2312" w:cs="Times New Roman"/>
          <w:color w:val="auto"/>
          <w:sz w:val="32"/>
          <w:szCs w:val="32"/>
        </w:rPr>
        <w:t>万元，结余结转</w:t>
      </w:r>
      <w:r>
        <w:rPr>
          <w:rFonts w:hint="eastAsia" w:ascii="Times New Roman" w:hAnsi="Times New Roman" w:eastAsia="仿宋_GB2312" w:cs="Times New Roman"/>
          <w:color w:val="auto"/>
          <w:sz w:val="32"/>
          <w:szCs w:val="32"/>
          <w:lang w:val="en-US" w:eastAsia="zh-CN"/>
        </w:rPr>
        <w:t>181.37</w:t>
      </w:r>
      <w:r>
        <w:rPr>
          <w:rFonts w:hint="default" w:ascii="Times New Roman" w:hAnsi="Times New Roman" w:eastAsia="仿宋_GB2312" w:cs="Times New Roman"/>
          <w:color w:val="auto"/>
          <w:sz w:val="32"/>
          <w:szCs w:val="32"/>
        </w:rPr>
        <w:t>万元。</w:t>
      </w:r>
    </w:p>
    <w:p>
      <w:pPr>
        <w:tabs>
          <w:tab w:val="left" w:pos="7560"/>
        </w:tabs>
        <w:adjustRightInd w:val="0"/>
        <w:snapToGrid w:val="0"/>
        <w:spacing w:line="540" w:lineRule="exact"/>
        <w:ind w:firstLine="640" w:firstLineChars="200"/>
        <w:jc w:val="left"/>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三、资金使用及绩效情况（包含单位管理的公共专项）</w:t>
      </w:r>
    </w:p>
    <w:p>
      <w:pPr>
        <w:tabs>
          <w:tab w:val="left" w:pos="7560"/>
        </w:tabs>
        <w:adjustRightInd w:val="0"/>
        <w:snapToGrid w:val="0"/>
        <w:spacing w:line="540" w:lineRule="exact"/>
        <w:ind w:firstLine="640" w:firstLineChars="200"/>
        <w:jc w:val="left"/>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（一）整体支出绩效情况</w:t>
      </w:r>
    </w:p>
    <w:p>
      <w:pPr>
        <w:pStyle w:val="16"/>
        <w:tabs>
          <w:tab w:val="left" w:pos="1628"/>
        </w:tabs>
        <w:spacing w:line="600" w:lineRule="exact"/>
        <w:ind w:firstLine="640" w:firstLineChars="200"/>
        <w:jc w:val="both"/>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202</w:t>
      </w:r>
      <w:r>
        <w:rPr>
          <w:rFonts w:hint="eastAsia" w:ascii="Times New Roman" w:hAnsi="Times New Roman" w:eastAsia="仿宋_GB2312" w:cs="Times New Roman"/>
          <w:color w:val="auto"/>
          <w:kern w:val="2"/>
          <w:sz w:val="32"/>
          <w:szCs w:val="32"/>
          <w:lang w:val="en-US" w:eastAsia="zh-CN" w:bidi="ar-SA"/>
        </w:rPr>
        <w:t>3年预算收入2036.62万元。其中：一般公共预算财政拨款收入2036.62万元占总收入的100.00</w:t>
      </w:r>
      <w:r>
        <w:rPr>
          <w:rFonts w:hint="default" w:ascii="Times New Roman" w:hAnsi="Times New Roman" w:eastAsia="仿宋_GB2312" w:cs="Times New Roman"/>
          <w:color w:val="auto"/>
          <w:kern w:val="2"/>
          <w:sz w:val="32"/>
          <w:szCs w:val="32"/>
          <w:lang w:val="en-US" w:eastAsia="zh-CN" w:bidi="ar-SA"/>
        </w:rPr>
        <w:t>%</w:t>
      </w:r>
      <w:r>
        <w:rPr>
          <w:rFonts w:hint="eastAsia" w:ascii="Times New Roman" w:hAnsi="Times New Roman" w:eastAsia="仿宋_GB2312" w:cs="Times New Roman"/>
          <w:color w:val="auto"/>
          <w:kern w:val="2"/>
          <w:sz w:val="32"/>
          <w:szCs w:val="32"/>
          <w:lang w:val="en-US" w:eastAsia="zh-CN" w:bidi="ar-SA"/>
        </w:rPr>
        <w:t>。</w:t>
      </w:r>
    </w:p>
    <w:p>
      <w:pPr>
        <w:pStyle w:val="16"/>
        <w:tabs>
          <w:tab w:val="left" w:pos="1628"/>
        </w:tabs>
        <w:spacing w:line="600" w:lineRule="exact"/>
        <w:ind w:firstLine="640" w:firstLineChars="200"/>
        <w:jc w:val="both"/>
        <w:rPr>
          <w:rFonts w:hint="eastAsia"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202</w:t>
      </w:r>
      <w:r>
        <w:rPr>
          <w:rFonts w:hint="eastAsia" w:ascii="Times New Roman" w:hAnsi="Times New Roman" w:eastAsia="仿宋_GB2312" w:cs="Times New Roman"/>
          <w:color w:val="auto"/>
          <w:kern w:val="2"/>
          <w:sz w:val="32"/>
          <w:szCs w:val="32"/>
          <w:lang w:val="en-US" w:eastAsia="zh-CN" w:bidi="ar-SA"/>
        </w:rPr>
        <w:t>3年支出1855.25万元。其中：：一般公共服务支出1295.55 万元占比69.83%，社会保障和就业支出425.76万元占比22.95%，卫生健康支出36.19 万元占比1.95%，城乡社区支出69.31万元占比3.74%，农林水支出28.02万元占比1.51%，交通运输支出0.42万元占比0.02%。</w:t>
      </w:r>
    </w:p>
    <w:p>
      <w:pPr>
        <w:pStyle w:val="4"/>
        <w:widowControl/>
        <w:spacing w:after="0" w:line="600" w:lineRule="exact"/>
        <w:ind w:firstLine="560" w:firstLineChars="200"/>
        <w:rPr>
          <w:rFonts w:ascii="Times New Roman" w:hAnsi="Times New Roman" w:cs="Times New Roman"/>
          <w:color w:val="000000"/>
          <w:sz w:val="28"/>
          <w:szCs w:val="28"/>
        </w:rPr>
      </w:pPr>
      <w:r>
        <w:rPr>
          <w:rFonts w:hint="eastAsia" w:ascii="Times New Roman" w:hAnsi="Times New Roman"/>
          <w:color w:val="000000"/>
          <w:sz w:val="28"/>
          <w:szCs w:val="28"/>
        </w:rPr>
        <w:t>绩效情况：</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560" w:firstLineChars="200"/>
        <w:jc w:val="both"/>
        <w:textAlignment w:val="auto"/>
        <w:rPr>
          <w:rFonts w:hint="eastAsia" w:ascii="楷体" w:hAnsi="楷体" w:eastAsia="楷体" w:cs="楷体"/>
          <w:b/>
          <w:bCs/>
          <w:color w:val="auto"/>
          <w:sz w:val="28"/>
          <w:szCs w:val="28"/>
          <w:u w:val="none"/>
          <w:lang w:val="en-US" w:eastAsia="zh-CN"/>
        </w:rPr>
      </w:pPr>
      <w:r>
        <w:rPr>
          <w:rFonts w:hint="eastAsia" w:ascii="楷体" w:hAnsi="楷体" w:eastAsia="楷体" w:cs="楷体"/>
          <w:b/>
          <w:bCs/>
          <w:color w:val="auto"/>
          <w:sz w:val="28"/>
          <w:szCs w:val="28"/>
          <w:u w:val="none"/>
          <w:lang w:val="en-US" w:eastAsia="zh-CN"/>
        </w:rPr>
        <w:t>1.从严治党，基层党建工作取得新成绩</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充分发挥基层党建引领工作，深入开展党史学习教育和党工委理论学习中心组专题学习，开展党的二十大精神、《习近平治国理论》等重点内容集中学习10次。一是抓党建强社区治理，高标准建成龙头安置小区、兴隆山安置小区等党群服务站。二是抓党建促乡村振兴。三是坚持正风肃纪反腐。</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560" w:firstLineChars="200"/>
        <w:jc w:val="both"/>
        <w:textAlignment w:val="auto"/>
        <w:rPr>
          <w:rFonts w:hint="default" w:ascii="楷体" w:hAnsi="楷体" w:eastAsia="楷体" w:cs="楷体"/>
          <w:b/>
          <w:bCs/>
          <w:color w:val="auto"/>
          <w:sz w:val="28"/>
          <w:szCs w:val="28"/>
          <w:u w:val="none"/>
          <w:lang w:val="en-US" w:eastAsia="zh-CN"/>
        </w:rPr>
      </w:pPr>
      <w:r>
        <w:rPr>
          <w:rFonts w:hint="eastAsia" w:ascii="楷体" w:hAnsi="楷体" w:eastAsia="楷体" w:cs="楷体"/>
          <w:b/>
          <w:bCs/>
          <w:color w:val="auto"/>
          <w:sz w:val="28"/>
          <w:szCs w:val="28"/>
          <w:u w:val="none"/>
          <w:lang w:val="en-US" w:eastAsia="zh-CN"/>
        </w:rPr>
        <w:t>2</w:t>
      </w:r>
      <w:r>
        <w:rPr>
          <w:rFonts w:hint="default" w:ascii="楷体" w:hAnsi="楷体" w:eastAsia="楷体" w:cs="楷体"/>
          <w:b/>
          <w:bCs/>
          <w:color w:val="auto"/>
          <w:sz w:val="28"/>
          <w:szCs w:val="28"/>
          <w:u w:val="none"/>
          <w:lang w:val="en-US" w:eastAsia="zh-CN"/>
        </w:rPr>
        <w:t>.统筹推进，城乡建设面貌持续改观</w:t>
      </w:r>
    </w:p>
    <w:p>
      <w:pPr>
        <w:pStyle w:val="16"/>
        <w:tabs>
          <w:tab w:val="left" w:pos="1628"/>
        </w:tabs>
        <w:spacing w:line="600" w:lineRule="exact"/>
        <w:ind w:firstLine="640" w:firstLineChars="200"/>
        <w:jc w:val="both"/>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一是</w:t>
      </w:r>
      <w:r>
        <w:rPr>
          <w:rFonts w:hint="eastAsia" w:ascii="Times New Roman" w:hAnsi="Times New Roman" w:eastAsia="仿宋_GB2312" w:cs="Times New Roman"/>
          <w:color w:val="auto"/>
          <w:kern w:val="2"/>
          <w:sz w:val="32"/>
          <w:szCs w:val="32"/>
          <w:lang w:val="en-US" w:eastAsia="zh-CN" w:bidi="ar-SA"/>
        </w:rPr>
        <w:t>扎实推进项目建设与征拆工作</w:t>
      </w:r>
      <w:r>
        <w:rPr>
          <w:rFonts w:hint="default" w:ascii="Times New Roman" w:hAnsi="Times New Roman" w:eastAsia="仿宋_GB2312" w:cs="Times New Roman"/>
          <w:color w:val="auto"/>
          <w:kern w:val="2"/>
          <w:sz w:val="32"/>
          <w:szCs w:val="32"/>
          <w:lang w:val="en-US" w:eastAsia="zh-CN" w:bidi="ar-SA"/>
        </w:rPr>
        <w:t>抢抓发展机遇</w:t>
      </w:r>
      <w:r>
        <w:rPr>
          <w:rFonts w:hint="eastAsia" w:ascii="Times New Roman" w:hAnsi="Times New Roman" w:eastAsia="仿宋_GB2312" w:cs="Times New Roman"/>
          <w:color w:val="auto"/>
          <w:kern w:val="2"/>
          <w:sz w:val="32"/>
          <w:szCs w:val="32"/>
          <w:lang w:val="en-US" w:eastAsia="zh-CN" w:bidi="ar-SA"/>
        </w:rPr>
        <w:t>，</w:t>
      </w:r>
      <w:r>
        <w:rPr>
          <w:rFonts w:hint="default" w:ascii="Times New Roman" w:hAnsi="Times New Roman" w:eastAsia="仿宋_GB2312" w:cs="Times New Roman"/>
          <w:color w:val="auto"/>
          <w:kern w:val="2"/>
          <w:sz w:val="32"/>
          <w:szCs w:val="32"/>
          <w:lang w:val="en-US" w:eastAsia="zh-CN" w:bidi="ar-SA"/>
        </w:rPr>
        <w:t>完成了株洲市2023年度第五批次建设用地项目、国创越摩封装外线10KV高压杆线建设、金科景朝集美云湖及官典坝中支流污水管网建设借地工作；二是妥善</w:t>
      </w:r>
      <w:r>
        <w:rPr>
          <w:rFonts w:hint="eastAsia" w:ascii="Times New Roman" w:hAnsi="Times New Roman" w:eastAsia="仿宋_GB2312" w:cs="Times New Roman"/>
          <w:color w:val="auto"/>
          <w:kern w:val="2"/>
          <w:sz w:val="32"/>
          <w:szCs w:val="32"/>
          <w:lang w:val="en-US" w:eastAsia="zh-CN" w:bidi="ar-SA"/>
        </w:rPr>
        <w:t>处理原项目遗留问题处理工作，</w:t>
      </w:r>
      <w:r>
        <w:rPr>
          <w:rFonts w:hint="default" w:ascii="Times New Roman" w:hAnsi="Times New Roman" w:eastAsia="仿宋_GB2312" w:cs="Times New Roman"/>
          <w:color w:val="auto"/>
          <w:kern w:val="2"/>
          <w:sz w:val="32"/>
          <w:szCs w:val="32"/>
          <w:lang w:val="en-US" w:eastAsia="zh-CN" w:bidi="ar-SA"/>
        </w:rPr>
        <w:t>完成了株洲椭圆时空基站建设补征土地及原项目遗留问题处理工作</w:t>
      </w:r>
      <w:r>
        <w:rPr>
          <w:rFonts w:hint="eastAsia" w:ascii="Times New Roman" w:hAnsi="Times New Roman" w:eastAsia="仿宋_GB2312" w:cs="Times New Roman"/>
          <w:color w:val="auto"/>
          <w:kern w:val="2"/>
          <w:sz w:val="32"/>
          <w:szCs w:val="32"/>
          <w:lang w:val="en-US" w:eastAsia="zh-CN" w:bidi="ar-SA"/>
        </w:rPr>
        <w:t>；</w:t>
      </w:r>
      <w:r>
        <w:rPr>
          <w:rFonts w:hint="default" w:ascii="Times New Roman" w:hAnsi="Times New Roman" w:eastAsia="仿宋_GB2312" w:cs="Times New Roman"/>
          <w:color w:val="auto"/>
          <w:kern w:val="2"/>
          <w:sz w:val="32"/>
          <w:szCs w:val="32"/>
          <w:lang w:val="en-US" w:eastAsia="zh-CN" w:bidi="ar-SA"/>
        </w:rPr>
        <w:t>三是治违控违，优化施工环境。</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560" w:firstLineChars="200"/>
        <w:jc w:val="both"/>
        <w:textAlignment w:val="auto"/>
        <w:rPr>
          <w:rFonts w:hint="default" w:ascii="楷体" w:hAnsi="楷体" w:eastAsia="楷体" w:cs="楷体"/>
          <w:b/>
          <w:bCs/>
          <w:color w:val="auto"/>
          <w:sz w:val="28"/>
          <w:szCs w:val="28"/>
          <w:u w:val="none"/>
          <w:lang w:val="en-US" w:eastAsia="zh-CN"/>
        </w:rPr>
      </w:pPr>
      <w:r>
        <w:rPr>
          <w:rFonts w:hint="eastAsia" w:ascii="楷体" w:hAnsi="楷体" w:eastAsia="楷体" w:cs="楷体"/>
          <w:b/>
          <w:bCs/>
          <w:color w:val="auto"/>
          <w:sz w:val="28"/>
          <w:szCs w:val="28"/>
          <w:u w:val="none"/>
          <w:lang w:val="en-US" w:eastAsia="zh-CN"/>
        </w:rPr>
        <w:t>3</w:t>
      </w:r>
      <w:r>
        <w:rPr>
          <w:rFonts w:hint="default" w:ascii="楷体" w:hAnsi="楷体" w:eastAsia="楷体" w:cs="楷体"/>
          <w:b/>
          <w:bCs/>
          <w:color w:val="auto"/>
          <w:sz w:val="28"/>
          <w:szCs w:val="28"/>
          <w:u w:val="none"/>
          <w:lang w:val="en-US" w:eastAsia="zh-CN"/>
        </w:rPr>
        <w:t>.全面进步，社会事业发展不断</w:t>
      </w:r>
      <w:r>
        <w:rPr>
          <w:rFonts w:hint="eastAsia" w:ascii="楷体" w:hAnsi="楷体" w:eastAsia="楷体" w:cs="楷体"/>
          <w:b/>
          <w:bCs/>
          <w:color w:val="auto"/>
          <w:sz w:val="28"/>
          <w:szCs w:val="28"/>
          <w:u w:val="none"/>
          <w:lang w:val="en-US" w:eastAsia="zh-CN"/>
        </w:rPr>
        <w:t>提升</w:t>
      </w:r>
    </w:p>
    <w:p>
      <w:pPr>
        <w:pStyle w:val="16"/>
        <w:tabs>
          <w:tab w:val="left" w:pos="1628"/>
        </w:tabs>
        <w:spacing w:line="600" w:lineRule="exact"/>
        <w:ind w:firstLine="640" w:firstLineChars="200"/>
        <w:jc w:val="both"/>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一是积极推动居民再就业工作</w:t>
      </w:r>
      <w:r>
        <w:rPr>
          <w:rFonts w:hint="eastAsia" w:ascii="Times New Roman" w:hAnsi="Times New Roman" w:eastAsia="仿宋_GB2312" w:cs="Times New Roman"/>
          <w:color w:val="auto"/>
          <w:kern w:val="2"/>
          <w:sz w:val="32"/>
          <w:szCs w:val="32"/>
          <w:lang w:val="en-US" w:eastAsia="zh-CN" w:bidi="ar-SA"/>
        </w:rPr>
        <w:t>，</w:t>
      </w:r>
      <w:r>
        <w:rPr>
          <w:rFonts w:hint="default" w:ascii="Times New Roman" w:hAnsi="Times New Roman" w:eastAsia="仿宋_GB2312" w:cs="Times New Roman"/>
          <w:color w:val="auto"/>
          <w:kern w:val="2"/>
          <w:sz w:val="32"/>
          <w:szCs w:val="32"/>
          <w:lang w:val="en-US" w:eastAsia="zh-CN" w:bidi="ar-SA"/>
        </w:rPr>
        <w:t>新增就业人员</w:t>
      </w:r>
      <w:r>
        <w:rPr>
          <w:rFonts w:hint="eastAsia" w:ascii="Times New Roman" w:hAnsi="Times New Roman" w:eastAsia="仿宋_GB2312" w:cs="Times New Roman"/>
          <w:color w:val="auto"/>
          <w:kern w:val="2"/>
          <w:sz w:val="32"/>
          <w:szCs w:val="32"/>
          <w:lang w:val="en-US" w:eastAsia="zh-CN" w:bidi="ar-SA"/>
        </w:rPr>
        <w:t>152</w:t>
      </w:r>
      <w:r>
        <w:rPr>
          <w:rFonts w:hint="default" w:ascii="Times New Roman" w:hAnsi="Times New Roman" w:eastAsia="仿宋_GB2312" w:cs="Times New Roman"/>
          <w:color w:val="auto"/>
          <w:kern w:val="2"/>
          <w:sz w:val="32"/>
          <w:szCs w:val="32"/>
          <w:lang w:val="en-US" w:eastAsia="zh-CN" w:bidi="ar-SA"/>
        </w:rPr>
        <w:t>人</w:t>
      </w:r>
      <w:r>
        <w:rPr>
          <w:rFonts w:hint="eastAsia" w:ascii="Times New Roman" w:hAnsi="Times New Roman" w:eastAsia="仿宋_GB2312" w:cs="Times New Roman"/>
          <w:color w:val="auto"/>
          <w:kern w:val="2"/>
          <w:sz w:val="32"/>
          <w:szCs w:val="32"/>
          <w:lang w:val="en-US" w:eastAsia="zh-CN" w:bidi="ar-SA"/>
        </w:rPr>
        <w:t>；</w:t>
      </w:r>
      <w:r>
        <w:rPr>
          <w:rFonts w:hint="default" w:ascii="Times New Roman" w:hAnsi="Times New Roman" w:eastAsia="仿宋_GB2312" w:cs="Times New Roman"/>
          <w:color w:val="auto"/>
          <w:kern w:val="2"/>
          <w:sz w:val="32"/>
          <w:szCs w:val="32"/>
          <w:lang w:val="en-US" w:eastAsia="zh-CN" w:bidi="ar-SA"/>
        </w:rPr>
        <w:t>二是稳步推进社会救助工作</w:t>
      </w:r>
      <w:r>
        <w:rPr>
          <w:rFonts w:hint="eastAsia" w:ascii="Times New Roman" w:hAnsi="Times New Roman" w:eastAsia="仿宋_GB2312" w:cs="Times New Roman"/>
          <w:color w:val="auto"/>
          <w:kern w:val="2"/>
          <w:sz w:val="32"/>
          <w:szCs w:val="32"/>
          <w:lang w:val="en-US" w:eastAsia="zh-CN" w:bidi="ar-SA"/>
        </w:rPr>
        <w:t>；二</w:t>
      </w:r>
      <w:r>
        <w:rPr>
          <w:rFonts w:hint="default" w:ascii="Times New Roman" w:hAnsi="Times New Roman" w:eastAsia="仿宋_GB2312" w:cs="Times New Roman"/>
          <w:color w:val="auto"/>
          <w:kern w:val="2"/>
          <w:sz w:val="32"/>
          <w:szCs w:val="32"/>
          <w:lang w:val="en-US" w:eastAsia="zh-CN" w:bidi="ar-SA"/>
        </w:rPr>
        <w:t>是持续推进人居环境整治工作</w:t>
      </w:r>
      <w:r>
        <w:rPr>
          <w:rFonts w:hint="eastAsia" w:ascii="Times New Roman" w:hAnsi="Times New Roman" w:eastAsia="仿宋_GB2312" w:cs="Times New Roman"/>
          <w:color w:val="auto"/>
          <w:kern w:val="2"/>
          <w:sz w:val="32"/>
          <w:szCs w:val="32"/>
          <w:lang w:val="en-US" w:eastAsia="zh-CN" w:bidi="ar-SA"/>
        </w:rPr>
        <w:t>，加强创文巩卫，</w:t>
      </w:r>
      <w:r>
        <w:rPr>
          <w:rFonts w:hint="default" w:ascii="Times New Roman" w:hAnsi="Times New Roman" w:eastAsia="仿宋_GB2312" w:cs="Times New Roman"/>
          <w:color w:val="auto"/>
          <w:kern w:val="2"/>
          <w:sz w:val="32"/>
          <w:szCs w:val="32"/>
          <w:lang w:val="en-US" w:eastAsia="zh-CN" w:bidi="ar-SA"/>
        </w:rPr>
        <w:t>全力推动辖区市容管理精细化，对龙头铺新街、兴隆农贸市场、磐龙世纪城等沿线出店经营、乱堆乱放、人行道违停、违规设置灯箱广告牌、“牛皮癣”等情况进行整治，共清理乱堆乱放200处，规范劝导出店、占道经营400余次，拆除各类违规横幅广告120余处，清理“牛皮癣”300余处，规范车辆停放1000余台次，清运垃圾2800余吨，有效地推进了城市管理工作，确保市容市貌整洁</w:t>
      </w:r>
      <w:r>
        <w:rPr>
          <w:rFonts w:hint="eastAsia" w:ascii="Times New Roman" w:hAnsi="Times New Roman" w:eastAsia="仿宋_GB2312" w:cs="Times New Roman"/>
          <w:color w:val="auto"/>
          <w:kern w:val="2"/>
          <w:sz w:val="32"/>
          <w:szCs w:val="32"/>
          <w:lang w:val="en-US" w:eastAsia="zh-CN" w:bidi="ar-SA"/>
        </w:rPr>
        <w:t>；三</w:t>
      </w:r>
      <w:r>
        <w:rPr>
          <w:rFonts w:hint="default" w:ascii="Times New Roman" w:hAnsi="Times New Roman" w:eastAsia="仿宋_GB2312" w:cs="Times New Roman"/>
          <w:color w:val="auto"/>
          <w:kern w:val="2"/>
          <w:sz w:val="32"/>
          <w:szCs w:val="32"/>
          <w:lang w:val="en-US" w:eastAsia="zh-CN" w:bidi="ar-SA"/>
        </w:rPr>
        <w:t>是坚持维护生态环境工作</w:t>
      </w:r>
      <w:r>
        <w:rPr>
          <w:rFonts w:hint="eastAsia" w:ascii="Times New Roman" w:hAnsi="Times New Roman" w:eastAsia="仿宋_GB2312" w:cs="Times New Roman"/>
          <w:color w:val="auto"/>
          <w:kern w:val="2"/>
          <w:sz w:val="32"/>
          <w:szCs w:val="32"/>
          <w:lang w:val="en-US" w:eastAsia="zh-CN" w:bidi="ar-SA"/>
        </w:rPr>
        <w:t>；</w:t>
      </w:r>
      <w:r>
        <w:rPr>
          <w:rFonts w:hint="default" w:ascii="Times New Roman" w:hAnsi="Times New Roman" w:eastAsia="仿宋_GB2312" w:cs="Times New Roman"/>
          <w:color w:val="auto"/>
          <w:kern w:val="2"/>
          <w:sz w:val="32"/>
          <w:szCs w:val="32"/>
          <w:lang w:val="en-US" w:eastAsia="zh-CN" w:bidi="ar-SA"/>
        </w:rPr>
        <w:t>排查自建房安全隐患。截止目前共排查自建房屋2378栋，对初判存在安全隐患的房屋621栋委托第三方鉴定机构进行鉴定</w:t>
      </w:r>
      <w:r>
        <w:rPr>
          <w:rFonts w:hint="eastAsia" w:ascii="Times New Roman" w:hAnsi="Times New Roman" w:eastAsia="仿宋_GB2312" w:cs="Times New Roman"/>
          <w:color w:val="auto"/>
          <w:kern w:val="2"/>
          <w:sz w:val="32"/>
          <w:szCs w:val="32"/>
          <w:lang w:val="en-US" w:eastAsia="zh-CN" w:bidi="ar-SA"/>
        </w:rPr>
        <w:t>。</w:t>
      </w:r>
      <w:r>
        <w:rPr>
          <w:rFonts w:hint="default" w:ascii="Times New Roman" w:hAnsi="Times New Roman" w:eastAsia="仿宋_GB2312" w:cs="Times New Roman"/>
          <w:sz w:val="32"/>
          <w:szCs w:val="32"/>
          <w:lang w:val="en-US" w:eastAsia="zh-CN"/>
        </w:rPr>
        <w:t>对新建6栋房屋落实选址踏勘到场、定点放线到场、基坑基槽验收到场、工程重要节点到场、主体结构完工到场竣工验收，严格按照“六个到场”顺序执行</w:t>
      </w:r>
      <w:r>
        <w:rPr>
          <w:rFonts w:hint="eastAsia" w:ascii="Times New Roman" w:hAnsi="Times New Roman" w:eastAsia="仿宋_GB2312" w:cs="Times New Roman"/>
          <w:color w:val="auto"/>
          <w:kern w:val="2"/>
          <w:sz w:val="32"/>
          <w:szCs w:val="32"/>
          <w:lang w:val="en-US" w:eastAsia="zh-CN" w:bidi="ar-SA"/>
        </w:rPr>
        <w:t>；四是</w:t>
      </w:r>
      <w:r>
        <w:rPr>
          <w:rFonts w:hint="default" w:ascii="Times New Roman" w:hAnsi="Times New Roman" w:eastAsia="仿宋_GB2312" w:cs="Times New Roman"/>
          <w:color w:val="auto"/>
          <w:kern w:val="2"/>
          <w:sz w:val="32"/>
          <w:szCs w:val="32"/>
          <w:lang w:val="en-US" w:eastAsia="zh-CN" w:bidi="ar-SA"/>
        </w:rPr>
        <w:t>安全生产检查。街道对辖区工贸行业企业危险化学品、环保设施情况进行全面排查，针对辖区沿街门店、宾馆、市场、商超、仓库、自建房、老旧小区、“多合一”等重点场所开展全面消防安全排查。</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560" w:firstLineChars="200"/>
        <w:jc w:val="both"/>
        <w:textAlignment w:val="auto"/>
        <w:rPr>
          <w:rFonts w:hint="default" w:ascii="楷体" w:hAnsi="楷体" w:eastAsia="楷体" w:cs="楷体"/>
          <w:b/>
          <w:bCs/>
          <w:color w:val="auto"/>
          <w:sz w:val="28"/>
          <w:szCs w:val="28"/>
          <w:u w:val="none"/>
          <w:lang w:val="en-US" w:eastAsia="zh-CN"/>
        </w:rPr>
      </w:pPr>
      <w:r>
        <w:rPr>
          <w:rFonts w:hint="eastAsia" w:ascii="楷体" w:hAnsi="楷体" w:eastAsia="楷体" w:cs="楷体"/>
          <w:b/>
          <w:bCs/>
          <w:color w:val="auto"/>
          <w:sz w:val="28"/>
          <w:szCs w:val="28"/>
          <w:u w:val="none"/>
          <w:lang w:val="en-US" w:eastAsia="zh-CN"/>
        </w:rPr>
        <w:t>4.</w:t>
      </w:r>
      <w:r>
        <w:rPr>
          <w:rFonts w:hint="default" w:ascii="楷体" w:hAnsi="楷体" w:eastAsia="楷体" w:cs="楷体"/>
          <w:b/>
          <w:bCs/>
          <w:color w:val="auto"/>
          <w:sz w:val="28"/>
          <w:szCs w:val="28"/>
          <w:u w:val="none"/>
          <w:lang w:val="en-US" w:eastAsia="zh-CN"/>
        </w:rPr>
        <w:t>多管齐下，推动社会治理纵深发展</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一</w:t>
      </w:r>
      <w:r>
        <w:rPr>
          <w:rFonts w:hint="default" w:ascii="Times New Roman" w:hAnsi="Times New Roman" w:eastAsia="仿宋_GB2312" w:cs="Times New Roman"/>
          <w:color w:val="auto"/>
          <w:kern w:val="2"/>
          <w:sz w:val="32"/>
          <w:szCs w:val="32"/>
          <w:lang w:val="en-US" w:eastAsia="zh-CN" w:bidi="ar-SA"/>
        </w:rPr>
        <w:t>是解决群众诉求，积极调解矛盾</w:t>
      </w:r>
      <w:r>
        <w:rPr>
          <w:rFonts w:hint="eastAsia" w:ascii="Times New Roman" w:hAnsi="Times New Roman" w:eastAsia="仿宋_GB2312" w:cs="Times New Roman"/>
          <w:color w:val="auto"/>
          <w:kern w:val="2"/>
          <w:sz w:val="32"/>
          <w:szCs w:val="32"/>
          <w:lang w:val="en-US" w:eastAsia="zh-CN" w:bidi="ar-SA"/>
        </w:rPr>
        <w:t>，实现零赴省进京人员。二</w:t>
      </w:r>
      <w:r>
        <w:rPr>
          <w:rFonts w:hint="default" w:ascii="Times New Roman" w:hAnsi="Times New Roman" w:eastAsia="仿宋_GB2312" w:cs="Times New Roman"/>
          <w:color w:val="auto"/>
          <w:kern w:val="2"/>
          <w:sz w:val="32"/>
          <w:szCs w:val="32"/>
          <w:lang w:val="en-US" w:eastAsia="zh-CN" w:bidi="ar-SA"/>
        </w:rPr>
        <w:t>是开展法制宣传，积极引导教育</w:t>
      </w:r>
      <w:r>
        <w:rPr>
          <w:rFonts w:hint="eastAsia" w:ascii="Times New Roman" w:hAnsi="Times New Roman" w:eastAsia="仿宋_GB2312" w:cs="Times New Roman"/>
          <w:color w:val="auto"/>
          <w:kern w:val="2"/>
          <w:sz w:val="32"/>
          <w:szCs w:val="32"/>
          <w:lang w:val="en-US" w:eastAsia="zh-CN" w:bidi="ar-SA"/>
        </w:rPr>
        <w:t>；三</w:t>
      </w:r>
      <w:r>
        <w:rPr>
          <w:rFonts w:hint="default" w:ascii="Times New Roman" w:hAnsi="Times New Roman" w:eastAsia="仿宋_GB2312" w:cs="Times New Roman"/>
          <w:color w:val="auto"/>
          <w:kern w:val="2"/>
          <w:sz w:val="32"/>
          <w:szCs w:val="32"/>
          <w:lang w:val="en-US" w:eastAsia="zh-CN" w:bidi="ar-SA"/>
        </w:rPr>
        <w:t>是维护社会稳定，创建平安街道</w:t>
      </w:r>
      <w:r>
        <w:rPr>
          <w:rFonts w:hint="eastAsia" w:ascii="Times New Roman" w:hAnsi="Times New Roman" w:eastAsia="仿宋_GB2312" w:cs="Times New Roman"/>
          <w:color w:val="auto"/>
          <w:kern w:val="2"/>
          <w:sz w:val="32"/>
          <w:szCs w:val="32"/>
          <w:lang w:val="en-US" w:eastAsia="zh-CN" w:bidi="ar-SA"/>
        </w:rPr>
        <w:t>，全面提升应急能力“六有”建设，发挥基层安全生产、应急救援等职能作用。</w:t>
      </w:r>
    </w:p>
    <w:p>
      <w:pPr>
        <w:tabs>
          <w:tab w:val="left" w:pos="7560"/>
        </w:tabs>
        <w:adjustRightInd w:val="0"/>
        <w:snapToGrid w:val="0"/>
        <w:spacing w:line="540" w:lineRule="exact"/>
        <w:ind w:firstLine="640" w:firstLineChars="200"/>
        <w:jc w:val="left"/>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（二）项目支出绩效情况</w:t>
      </w:r>
    </w:p>
    <w:p>
      <w:pPr>
        <w:pStyle w:val="16"/>
        <w:spacing w:line="600" w:lineRule="exact"/>
        <w:ind w:firstLine="640" w:firstLineChars="200"/>
        <w:jc w:val="both"/>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龙头铺街道办事处2023年预算项目支出1661.60万元。</w:t>
      </w:r>
    </w:p>
    <w:p>
      <w:pPr>
        <w:tabs>
          <w:tab w:val="left" w:pos="7560"/>
        </w:tabs>
        <w:adjustRightInd w:val="0"/>
        <w:snapToGrid w:val="0"/>
        <w:spacing w:line="540" w:lineRule="exact"/>
        <w:ind w:firstLine="640" w:firstLineChars="200"/>
        <w:jc w:val="left"/>
        <w:rPr>
          <w:rFonts w:hint="eastAsia"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1</w:t>
      </w:r>
      <w:r>
        <w:rPr>
          <w:rFonts w:hint="eastAsia" w:ascii="Times New Roman" w:hAnsi="Times New Roman" w:eastAsia="仿宋_GB2312" w:cs="Times New Roman"/>
          <w:color w:val="auto"/>
          <w:sz w:val="32"/>
          <w:szCs w:val="32"/>
          <w:lang w:eastAsia="zh-CN"/>
        </w:rPr>
        <w:t>．年初预算项目</w:t>
      </w:r>
    </w:p>
    <w:p>
      <w:pPr>
        <w:tabs>
          <w:tab w:val="left" w:pos="7560"/>
        </w:tabs>
        <w:adjustRightInd w:val="0"/>
        <w:snapToGrid w:val="0"/>
        <w:spacing w:line="540" w:lineRule="exact"/>
        <w:ind w:firstLine="640" w:firstLineChars="200"/>
        <w:jc w:val="left"/>
        <w:rPr>
          <w:rFonts w:hint="eastAsia"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（1）</w:t>
      </w:r>
      <w:r>
        <w:rPr>
          <w:rFonts w:hint="eastAsia" w:ascii="Times New Roman" w:hAnsi="Times New Roman" w:eastAsia="仿宋_GB2312" w:cs="Times New Roman"/>
          <w:color w:val="auto"/>
          <w:sz w:val="32"/>
          <w:szCs w:val="32"/>
          <w:lang w:eastAsia="zh-CN"/>
        </w:rPr>
        <w:t>微民生网格事件办理项目，</w:t>
      </w:r>
      <w:r>
        <w:rPr>
          <w:rFonts w:hint="default" w:ascii="Times New Roman" w:hAnsi="Times New Roman" w:eastAsia="仿宋_GB2312" w:cs="Times New Roman"/>
          <w:color w:val="auto"/>
          <w:sz w:val="32"/>
          <w:szCs w:val="32"/>
        </w:rPr>
        <w:t>年初预算金额</w:t>
      </w:r>
      <w:r>
        <w:rPr>
          <w:rFonts w:hint="eastAsia" w:ascii="Times New Roman" w:hAnsi="Times New Roman" w:eastAsia="仿宋_GB2312" w:cs="Times New Roman"/>
          <w:color w:val="auto"/>
          <w:sz w:val="32"/>
          <w:szCs w:val="32"/>
          <w:lang w:val="en-US" w:eastAsia="zh-CN"/>
        </w:rPr>
        <w:t>30</w:t>
      </w:r>
      <w:r>
        <w:rPr>
          <w:rFonts w:hint="default"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eastAsia="zh-CN"/>
        </w:rPr>
        <w:t>上级转移支付</w:t>
      </w:r>
      <w:r>
        <w:rPr>
          <w:rFonts w:hint="eastAsia"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万元，年中调增（减）</w:t>
      </w:r>
      <w:r>
        <w:rPr>
          <w:rFonts w:hint="eastAsia"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eastAsia="zh-CN"/>
        </w:rPr>
        <w:t>追加（减）</w:t>
      </w:r>
      <w:r>
        <w:rPr>
          <w:rFonts w:hint="eastAsia" w:ascii="Times New Roman" w:hAnsi="Times New Roman" w:eastAsia="仿宋_GB2312" w:cs="Times New Roman"/>
          <w:color w:val="auto"/>
          <w:sz w:val="32"/>
          <w:szCs w:val="32"/>
          <w:lang w:val="en-US" w:eastAsia="zh-CN"/>
        </w:rPr>
        <w:t>0万元，</w:t>
      </w:r>
      <w:r>
        <w:rPr>
          <w:rFonts w:hint="default" w:ascii="Times New Roman" w:hAnsi="Times New Roman" w:eastAsia="仿宋_GB2312" w:cs="Times New Roman"/>
          <w:color w:val="auto"/>
          <w:sz w:val="32"/>
          <w:szCs w:val="32"/>
        </w:rPr>
        <w:t>实际支出</w:t>
      </w:r>
      <w:r>
        <w:rPr>
          <w:rFonts w:hint="eastAsia" w:ascii="Times New Roman" w:hAnsi="Times New Roman" w:eastAsia="仿宋_GB2312" w:cs="Times New Roman"/>
          <w:color w:val="auto"/>
          <w:sz w:val="32"/>
          <w:szCs w:val="32"/>
          <w:lang w:val="en-US" w:eastAsia="zh-CN"/>
        </w:rPr>
        <w:t>17.18</w:t>
      </w:r>
      <w:r>
        <w:rPr>
          <w:rFonts w:hint="default" w:ascii="Times New Roman" w:hAnsi="Times New Roman" w:eastAsia="仿宋_GB2312" w:cs="Times New Roman"/>
          <w:color w:val="auto"/>
          <w:sz w:val="32"/>
          <w:szCs w:val="32"/>
        </w:rPr>
        <w:t>万元，结余结转</w:t>
      </w:r>
      <w:r>
        <w:rPr>
          <w:rFonts w:hint="eastAsia" w:ascii="Times New Roman" w:hAnsi="Times New Roman" w:eastAsia="仿宋_GB2312" w:cs="Times New Roman"/>
          <w:color w:val="auto"/>
          <w:sz w:val="32"/>
          <w:szCs w:val="32"/>
          <w:lang w:val="en-US" w:eastAsia="zh-CN"/>
        </w:rPr>
        <w:t>12.82</w:t>
      </w:r>
      <w:r>
        <w:rPr>
          <w:rFonts w:hint="default" w:ascii="Times New Roman" w:hAnsi="Times New Roman" w:eastAsia="仿宋_GB2312" w:cs="Times New Roman"/>
          <w:color w:val="auto"/>
          <w:sz w:val="32"/>
          <w:szCs w:val="32"/>
        </w:rPr>
        <w:t>万元。项目实施及绩效情况如下：</w:t>
      </w:r>
      <w:r>
        <w:rPr>
          <w:rFonts w:hint="default" w:ascii="Times New Roman" w:hAnsi="Times New Roman" w:eastAsia="仿宋_GB2312" w:cs="Times New Roman"/>
          <w:color w:val="auto"/>
          <w:sz w:val="32"/>
          <w:szCs w:val="32"/>
          <w:lang w:eastAsia="zh-CN"/>
        </w:rPr>
        <w:t>全年度登记和处理事件</w:t>
      </w:r>
      <w:r>
        <w:rPr>
          <w:rFonts w:hint="eastAsia" w:ascii="Times New Roman" w:hAnsi="Times New Roman" w:eastAsia="仿宋_GB2312" w:cs="Times New Roman"/>
          <w:color w:val="auto"/>
          <w:sz w:val="32"/>
          <w:szCs w:val="32"/>
          <w:lang w:val="en-US" w:eastAsia="zh-CN"/>
        </w:rPr>
        <w:t>300余</w:t>
      </w:r>
      <w:r>
        <w:rPr>
          <w:rFonts w:hint="default" w:ascii="Times New Roman" w:hAnsi="Times New Roman" w:eastAsia="仿宋_GB2312" w:cs="Times New Roman"/>
          <w:color w:val="auto"/>
          <w:sz w:val="32"/>
          <w:szCs w:val="32"/>
          <w:lang w:eastAsia="zh-CN"/>
        </w:rPr>
        <w:t>件，</w:t>
      </w:r>
      <w:r>
        <w:rPr>
          <w:rFonts w:hint="eastAsia" w:ascii="Times New Roman" w:hAnsi="Times New Roman" w:eastAsia="仿宋_GB2312" w:cs="Times New Roman"/>
          <w:color w:val="auto"/>
          <w:sz w:val="32"/>
          <w:szCs w:val="32"/>
          <w:lang w:val="en-US" w:eastAsia="zh-CN"/>
        </w:rPr>
        <w:t>确保全国、全省</w:t>
      </w:r>
      <w:bookmarkStart w:id="0" w:name="_GoBack"/>
      <w:bookmarkEnd w:id="0"/>
      <w:r>
        <w:rPr>
          <w:rFonts w:hint="eastAsia" w:ascii="Times New Roman" w:hAnsi="Times New Roman" w:eastAsia="仿宋_GB2312" w:cs="Times New Roman"/>
          <w:color w:val="auto"/>
          <w:sz w:val="32"/>
          <w:szCs w:val="32"/>
          <w:lang w:val="en-US" w:eastAsia="zh-CN"/>
        </w:rPr>
        <w:t>两会特护期间非访事件发生率为0。</w:t>
      </w:r>
      <w:r>
        <w:rPr>
          <w:rFonts w:hint="default" w:ascii="Times New Roman" w:hAnsi="Times New Roman" w:eastAsia="仿宋_GB2312" w:cs="Times New Roman"/>
          <w:color w:val="auto"/>
          <w:sz w:val="32"/>
          <w:szCs w:val="32"/>
          <w:lang w:eastAsia="zh-CN"/>
        </w:rPr>
        <w:t>广泛宣传综治民调</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eastAsia="zh-CN"/>
        </w:rPr>
        <w:t>平安创建、</w:t>
      </w:r>
      <w:r>
        <w:rPr>
          <w:rFonts w:hint="eastAsia" w:ascii="Times New Roman" w:hAnsi="Times New Roman" w:eastAsia="仿宋_GB2312" w:cs="Times New Roman"/>
          <w:color w:val="auto"/>
          <w:sz w:val="32"/>
          <w:szCs w:val="32"/>
          <w:lang w:val="en-US" w:eastAsia="zh-CN"/>
        </w:rPr>
        <w:t>防非处非、</w:t>
      </w:r>
      <w:r>
        <w:rPr>
          <w:rFonts w:hint="default" w:ascii="Times New Roman" w:hAnsi="Times New Roman" w:eastAsia="仿宋_GB2312" w:cs="Times New Roman"/>
          <w:color w:val="auto"/>
          <w:sz w:val="32"/>
          <w:szCs w:val="32"/>
          <w:lang w:eastAsia="zh-CN"/>
        </w:rPr>
        <w:t>反诈宣传等内容</w:t>
      </w:r>
      <w:r>
        <w:rPr>
          <w:rFonts w:hint="eastAsia" w:ascii="Times New Roman" w:hAnsi="Times New Roman" w:eastAsia="仿宋_GB2312" w:cs="Times New Roman"/>
          <w:color w:val="auto"/>
          <w:sz w:val="32"/>
          <w:szCs w:val="32"/>
          <w:lang w:eastAsia="zh-CN"/>
        </w:rPr>
        <w:t>。</w:t>
      </w:r>
    </w:p>
    <w:p>
      <w:pPr>
        <w:ind w:firstLine="640" w:firstLineChars="200"/>
        <w:rPr>
          <w:rFonts w:hint="eastAsia"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业务性专项经费项目，</w:t>
      </w:r>
      <w:r>
        <w:rPr>
          <w:rFonts w:hint="default" w:ascii="Times New Roman" w:hAnsi="Times New Roman" w:eastAsia="仿宋_GB2312" w:cs="Times New Roman"/>
          <w:color w:val="auto"/>
          <w:sz w:val="32"/>
          <w:szCs w:val="32"/>
        </w:rPr>
        <w:t>年初预算金额</w:t>
      </w:r>
      <w:r>
        <w:rPr>
          <w:rFonts w:hint="eastAsia" w:ascii="Times New Roman" w:hAnsi="Times New Roman" w:eastAsia="仿宋_GB2312" w:cs="Times New Roman"/>
          <w:color w:val="auto"/>
          <w:sz w:val="32"/>
          <w:szCs w:val="32"/>
          <w:lang w:val="en-US" w:eastAsia="zh-CN"/>
        </w:rPr>
        <w:t>36</w:t>
      </w:r>
      <w:r>
        <w:rPr>
          <w:rFonts w:hint="default"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eastAsia="zh-CN"/>
        </w:rPr>
        <w:t>上级转移支付</w:t>
      </w:r>
      <w:r>
        <w:rPr>
          <w:rFonts w:hint="eastAsia"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万元，年中调增（减）</w:t>
      </w:r>
      <w:r>
        <w:rPr>
          <w:rFonts w:hint="eastAsia"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eastAsia="zh-CN"/>
        </w:rPr>
        <w:t>追加（减）</w:t>
      </w:r>
      <w:r>
        <w:rPr>
          <w:rFonts w:hint="eastAsia" w:ascii="Times New Roman" w:hAnsi="Times New Roman" w:eastAsia="仿宋_GB2312" w:cs="Times New Roman"/>
          <w:color w:val="auto"/>
          <w:sz w:val="32"/>
          <w:szCs w:val="32"/>
          <w:lang w:val="en-US" w:eastAsia="zh-CN"/>
        </w:rPr>
        <w:t>0万元，</w:t>
      </w:r>
      <w:r>
        <w:rPr>
          <w:rFonts w:hint="default" w:ascii="Times New Roman" w:hAnsi="Times New Roman" w:eastAsia="仿宋_GB2312" w:cs="Times New Roman"/>
          <w:color w:val="auto"/>
          <w:sz w:val="32"/>
          <w:szCs w:val="32"/>
        </w:rPr>
        <w:t>实际支出</w:t>
      </w:r>
      <w:r>
        <w:rPr>
          <w:rFonts w:hint="eastAsia" w:ascii="Times New Roman" w:hAnsi="Times New Roman" w:eastAsia="仿宋_GB2312" w:cs="Times New Roman"/>
          <w:color w:val="auto"/>
          <w:sz w:val="32"/>
          <w:szCs w:val="32"/>
          <w:lang w:val="en-US" w:eastAsia="zh-CN"/>
        </w:rPr>
        <w:t>31</w:t>
      </w:r>
      <w:r>
        <w:rPr>
          <w:rFonts w:hint="default" w:ascii="Times New Roman" w:hAnsi="Times New Roman" w:eastAsia="仿宋_GB2312" w:cs="Times New Roman"/>
          <w:color w:val="auto"/>
          <w:sz w:val="32"/>
          <w:szCs w:val="32"/>
        </w:rPr>
        <w:t>万元，结余结转</w:t>
      </w:r>
      <w:r>
        <w:rPr>
          <w:rFonts w:hint="eastAsia"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万元。项目实施及绩效情况如下：</w:t>
      </w:r>
      <w:r>
        <w:rPr>
          <w:rFonts w:hint="eastAsia" w:ascii="Times New Roman" w:hAnsi="Times New Roman" w:eastAsia="仿宋_GB2312" w:cs="Times New Roman"/>
          <w:color w:val="auto"/>
          <w:sz w:val="32"/>
          <w:szCs w:val="32"/>
          <w:lang w:val="en-US" w:eastAsia="zh-CN"/>
        </w:rPr>
        <w:t>为街道党建、妇联、</w:t>
      </w:r>
      <w:r>
        <w:rPr>
          <w:rFonts w:hint="default" w:ascii="Times New Roman" w:hAnsi="Times New Roman" w:eastAsia="仿宋_GB2312" w:cs="Times New Roman"/>
          <w:color w:val="auto"/>
          <w:sz w:val="32"/>
          <w:szCs w:val="32"/>
          <w:lang w:val="en-US" w:eastAsia="zh-CN"/>
        </w:rPr>
        <w:t>卫生健康、城市管理</w:t>
      </w:r>
      <w:r>
        <w:rPr>
          <w:rFonts w:hint="eastAsia" w:ascii="Times New Roman" w:hAnsi="Times New Roman" w:eastAsia="仿宋_GB2312" w:cs="Times New Roman"/>
          <w:color w:val="auto"/>
          <w:sz w:val="32"/>
          <w:szCs w:val="32"/>
          <w:lang w:val="en-US" w:eastAsia="zh-CN"/>
        </w:rPr>
        <w:t>、基层武装、安全生产、综治维稳等工作开展提供资金保障，保进辖区各项事业繁荣，</w:t>
      </w:r>
      <w:r>
        <w:rPr>
          <w:rFonts w:hint="default" w:ascii="Times New Roman" w:hAnsi="Times New Roman" w:eastAsia="仿宋_GB2312" w:cs="Times New Roman"/>
          <w:color w:val="auto"/>
          <w:sz w:val="32"/>
          <w:szCs w:val="32"/>
          <w:lang w:val="en-US" w:eastAsia="zh-CN"/>
        </w:rPr>
        <w:t>街道党工委中心组学习˃</w:t>
      </w:r>
      <w:r>
        <w:rPr>
          <w:rFonts w:hint="eastAsia" w:ascii="Times New Roman" w:hAnsi="Times New Roman" w:eastAsia="仿宋_GB2312" w:cs="Times New Roman"/>
          <w:color w:val="auto"/>
          <w:sz w:val="32"/>
          <w:szCs w:val="32"/>
          <w:lang w:val="en-US" w:eastAsia="zh-CN"/>
        </w:rPr>
        <w:t>8</w:t>
      </w:r>
      <w:r>
        <w:rPr>
          <w:rFonts w:hint="default" w:ascii="Times New Roman" w:hAnsi="Times New Roman" w:eastAsia="仿宋_GB2312" w:cs="Times New Roman"/>
          <w:color w:val="auto"/>
          <w:sz w:val="32"/>
          <w:szCs w:val="32"/>
          <w:lang w:val="en-US" w:eastAsia="zh-CN"/>
        </w:rPr>
        <w:t>次，组建8支理论宣讲志愿服务队，开展</w:t>
      </w:r>
      <w:r>
        <w:rPr>
          <w:rFonts w:hint="eastAsia" w:ascii="Times New Roman" w:hAnsi="Times New Roman" w:eastAsia="仿宋_GB2312" w:cs="Times New Roman"/>
          <w:color w:val="auto"/>
          <w:sz w:val="32"/>
          <w:szCs w:val="32"/>
          <w:lang w:val="en-US" w:eastAsia="zh-CN"/>
        </w:rPr>
        <w:t>80</w:t>
      </w:r>
      <w:r>
        <w:rPr>
          <w:rFonts w:hint="default" w:ascii="Times New Roman" w:hAnsi="Times New Roman" w:eastAsia="仿宋_GB2312" w:cs="Times New Roman"/>
          <w:color w:val="auto"/>
          <w:sz w:val="32"/>
          <w:szCs w:val="32"/>
          <w:lang w:val="en-US" w:eastAsia="zh-CN"/>
        </w:rPr>
        <w:t>场理论宣讲活动。认真做好无偿献血工作，卫生健康知识宣传。接待处理居民、物业投诉。</w:t>
      </w:r>
      <w:r>
        <w:rPr>
          <w:rFonts w:hint="eastAsia" w:ascii="Times New Roman" w:hAnsi="Times New Roman" w:eastAsia="仿宋_GB2312" w:cs="Times New Roman"/>
          <w:color w:val="auto"/>
          <w:sz w:val="32"/>
          <w:szCs w:val="32"/>
          <w:lang w:val="en-US" w:eastAsia="zh-CN"/>
        </w:rPr>
        <w:t>开展</w:t>
      </w:r>
      <w:r>
        <w:rPr>
          <w:rFonts w:hint="default" w:ascii="Times New Roman" w:hAnsi="Times New Roman" w:eastAsia="仿宋_GB2312" w:cs="Times New Roman"/>
          <w:color w:val="auto"/>
          <w:sz w:val="32"/>
          <w:szCs w:val="32"/>
          <w:lang w:val="en-US" w:eastAsia="zh-CN"/>
        </w:rPr>
        <w:t>安全生产隐患专项检查</w:t>
      </w:r>
      <w:r>
        <w:rPr>
          <w:rFonts w:hint="eastAsia" w:ascii="Times New Roman" w:hAnsi="Times New Roman" w:eastAsia="仿宋_GB2312" w:cs="Times New Roman"/>
          <w:color w:val="auto"/>
          <w:sz w:val="32"/>
          <w:szCs w:val="32"/>
          <w:lang w:val="en-US" w:eastAsia="zh-CN"/>
        </w:rPr>
        <w:t>，推进防灾减灾工作，应对低温雨雪、森林防火等自然灾害。</w:t>
      </w:r>
    </w:p>
    <w:p>
      <w:pPr>
        <w:pStyle w:val="16"/>
        <w:spacing w:line="600" w:lineRule="exact"/>
        <w:ind w:firstLine="640" w:firstLineChars="200"/>
        <w:jc w:val="both"/>
        <w:rPr>
          <w:rFonts w:hint="eastAsia"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社区运转项目，</w:t>
      </w:r>
      <w:r>
        <w:rPr>
          <w:rFonts w:hint="default" w:ascii="Times New Roman" w:hAnsi="Times New Roman" w:eastAsia="仿宋_GB2312" w:cs="Times New Roman"/>
          <w:color w:val="auto"/>
          <w:sz w:val="32"/>
          <w:szCs w:val="32"/>
        </w:rPr>
        <w:t>年初预算金额</w:t>
      </w:r>
      <w:r>
        <w:rPr>
          <w:rFonts w:hint="eastAsia" w:ascii="Times New Roman" w:hAnsi="Times New Roman" w:eastAsia="仿宋_GB2312" w:cs="Times New Roman"/>
          <w:color w:val="auto"/>
          <w:sz w:val="32"/>
          <w:szCs w:val="32"/>
          <w:lang w:val="en-US" w:eastAsia="zh-CN"/>
        </w:rPr>
        <w:t>350</w:t>
      </w:r>
      <w:r>
        <w:rPr>
          <w:rFonts w:hint="default"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eastAsia="zh-CN"/>
        </w:rPr>
        <w:t>上级转移支付</w:t>
      </w:r>
      <w:r>
        <w:rPr>
          <w:rFonts w:hint="eastAsia" w:ascii="Times New Roman" w:hAnsi="Times New Roman" w:eastAsia="仿宋_GB2312" w:cs="Times New Roman"/>
          <w:color w:val="auto"/>
          <w:sz w:val="32"/>
          <w:szCs w:val="32"/>
          <w:lang w:val="en-US" w:eastAsia="zh-CN"/>
        </w:rPr>
        <w:t>21</w:t>
      </w:r>
      <w:r>
        <w:rPr>
          <w:rFonts w:hint="default" w:ascii="Times New Roman" w:hAnsi="Times New Roman" w:eastAsia="仿宋_GB2312" w:cs="Times New Roman"/>
          <w:color w:val="auto"/>
          <w:sz w:val="32"/>
          <w:szCs w:val="32"/>
        </w:rPr>
        <w:t>万元，年中调增</w:t>
      </w:r>
      <w:r>
        <w:rPr>
          <w:rFonts w:hint="eastAsia" w:ascii="Times New Roman" w:hAnsi="Times New Roman" w:eastAsia="仿宋_GB2312" w:cs="Times New Roman"/>
          <w:color w:val="auto"/>
          <w:sz w:val="32"/>
          <w:szCs w:val="32"/>
          <w:lang w:val="en-US" w:eastAsia="zh-CN"/>
        </w:rPr>
        <w:t>21</w:t>
      </w:r>
      <w:r>
        <w:rPr>
          <w:rFonts w:hint="default"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eastAsia="zh-CN"/>
        </w:rPr>
        <w:t>追加</w:t>
      </w:r>
      <w:r>
        <w:rPr>
          <w:rFonts w:hint="eastAsia" w:ascii="Times New Roman" w:hAnsi="Times New Roman" w:eastAsia="仿宋_GB2312" w:cs="Times New Roman"/>
          <w:color w:val="auto"/>
          <w:sz w:val="32"/>
          <w:szCs w:val="32"/>
          <w:lang w:val="en-US" w:eastAsia="zh-CN"/>
        </w:rPr>
        <w:t>21万元，</w:t>
      </w:r>
      <w:r>
        <w:rPr>
          <w:rFonts w:hint="default" w:ascii="Times New Roman" w:hAnsi="Times New Roman" w:eastAsia="仿宋_GB2312" w:cs="Times New Roman"/>
          <w:color w:val="auto"/>
          <w:sz w:val="32"/>
          <w:szCs w:val="32"/>
        </w:rPr>
        <w:t>实际支出</w:t>
      </w:r>
      <w:r>
        <w:rPr>
          <w:rFonts w:hint="eastAsia" w:ascii="Times New Roman" w:hAnsi="Times New Roman" w:eastAsia="仿宋_GB2312" w:cs="Times New Roman"/>
          <w:color w:val="auto"/>
          <w:sz w:val="32"/>
          <w:szCs w:val="32"/>
          <w:lang w:val="en-US" w:eastAsia="zh-CN"/>
        </w:rPr>
        <w:t>371</w:t>
      </w:r>
      <w:r>
        <w:rPr>
          <w:rFonts w:hint="default" w:ascii="Times New Roman" w:hAnsi="Times New Roman" w:eastAsia="仿宋_GB2312" w:cs="Times New Roman"/>
          <w:color w:val="auto"/>
          <w:sz w:val="32"/>
          <w:szCs w:val="32"/>
        </w:rPr>
        <w:t>万元，结余结转</w:t>
      </w:r>
      <w:r>
        <w:rPr>
          <w:rFonts w:hint="eastAsia"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万元。项目实施及绩效情况如下：</w:t>
      </w:r>
      <w:r>
        <w:rPr>
          <w:rFonts w:hint="eastAsia" w:ascii="Times New Roman" w:hAnsi="Times New Roman" w:eastAsia="仿宋_GB2312" w:cs="Times New Roman"/>
          <w:color w:val="auto"/>
          <w:sz w:val="32"/>
          <w:szCs w:val="32"/>
          <w:lang w:val="en-US" w:eastAsia="zh-CN"/>
        </w:rPr>
        <w:t>加强基层自治和社会治理为支撑，强化社区服务功能，发展社会事业，最大限度的满足社区居民的多样化服务需求，建设两型社会。</w:t>
      </w:r>
    </w:p>
    <w:p>
      <w:pPr>
        <w:tabs>
          <w:tab w:val="left" w:pos="7560"/>
        </w:tabs>
        <w:adjustRightInd w:val="0"/>
        <w:snapToGrid w:val="0"/>
        <w:spacing w:line="540" w:lineRule="exact"/>
        <w:ind w:firstLine="640" w:firstLineChars="200"/>
        <w:jc w:val="left"/>
        <w:rPr>
          <w:rFonts w:hint="eastAsia"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环境整治项目，</w:t>
      </w:r>
      <w:r>
        <w:rPr>
          <w:rFonts w:hint="default" w:ascii="Times New Roman" w:hAnsi="Times New Roman" w:eastAsia="仿宋_GB2312" w:cs="Times New Roman"/>
          <w:color w:val="auto"/>
          <w:sz w:val="32"/>
          <w:szCs w:val="32"/>
        </w:rPr>
        <w:t>年初预算金额</w:t>
      </w:r>
      <w:r>
        <w:rPr>
          <w:rFonts w:hint="eastAsia" w:ascii="Times New Roman" w:hAnsi="Times New Roman" w:eastAsia="仿宋_GB2312" w:cs="Times New Roman"/>
          <w:color w:val="auto"/>
          <w:sz w:val="32"/>
          <w:szCs w:val="32"/>
          <w:lang w:val="en-US" w:eastAsia="zh-CN"/>
        </w:rPr>
        <w:t>71</w:t>
      </w:r>
      <w:r>
        <w:rPr>
          <w:rFonts w:hint="default"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eastAsia="zh-CN"/>
        </w:rPr>
        <w:t>上级转移支付</w:t>
      </w:r>
      <w:r>
        <w:rPr>
          <w:rFonts w:hint="eastAsia"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万元，年中调增</w:t>
      </w:r>
      <w:r>
        <w:rPr>
          <w:rFonts w:hint="eastAsia" w:ascii="Times New Roman" w:hAnsi="Times New Roman" w:eastAsia="仿宋_GB2312" w:cs="Times New Roman"/>
          <w:color w:val="auto"/>
          <w:sz w:val="32"/>
          <w:szCs w:val="32"/>
          <w:lang w:val="en-US" w:eastAsia="zh-CN"/>
        </w:rPr>
        <w:t>60</w:t>
      </w:r>
      <w:r>
        <w:rPr>
          <w:rFonts w:hint="default"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eastAsia="zh-CN"/>
        </w:rPr>
        <w:t>追加</w:t>
      </w:r>
      <w:r>
        <w:rPr>
          <w:rFonts w:hint="eastAsia" w:ascii="Times New Roman" w:hAnsi="Times New Roman" w:eastAsia="仿宋_GB2312" w:cs="Times New Roman"/>
          <w:color w:val="auto"/>
          <w:sz w:val="32"/>
          <w:szCs w:val="32"/>
          <w:lang w:val="en-US" w:eastAsia="zh-CN"/>
        </w:rPr>
        <w:t>60万元，</w:t>
      </w:r>
      <w:r>
        <w:rPr>
          <w:rFonts w:hint="default" w:ascii="Times New Roman" w:hAnsi="Times New Roman" w:eastAsia="仿宋_GB2312" w:cs="Times New Roman"/>
          <w:color w:val="auto"/>
          <w:sz w:val="32"/>
          <w:szCs w:val="32"/>
        </w:rPr>
        <w:t>实际支出</w:t>
      </w:r>
      <w:r>
        <w:rPr>
          <w:rFonts w:hint="eastAsia" w:ascii="Times New Roman" w:hAnsi="Times New Roman" w:eastAsia="仿宋_GB2312" w:cs="Times New Roman"/>
          <w:color w:val="auto"/>
          <w:sz w:val="32"/>
          <w:szCs w:val="32"/>
          <w:lang w:val="en-US" w:eastAsia="zh-CN"/>
        </w:rPr>
        <w:t>85</w:t>
      </w:r>
      <w:r>
        <w:rPr>
          <w:rFonts w:hint="default" w:ascii="Times New Roman" w:hAnsi="Times New Roman" w:eastAsia="仿宋_GB2312" w:cs="Times New Roman"/>
          <w:color w:val="auto"/>
          <w:sz w:val="32"/>
          <w:szCs w:val="32"/>
        </w:rPr>
        <w:t>万元，结余结转</w:t>
      </w:r>
      <w:r>
        <w:rPr>
          <w:rFonts w:hint="eastAsia" w:ascii="Times New Roman" w:hAnsi="Times New Roman" w:eastAsia="仿宋_GB2312" w:cs="Times New Roman"/>
          <w:color w:val="auto"/>
          <w:sz w:val="32"/>
          <w:szCs w:val="32"/>
          <w:lang w:val="en-US" w:eastAsia="zh-CN"/>
        </w:rPr>
        <w:t>46</w:t>
      </w:r>
      <w:r>
        <w:rPr>
          <w:rFonts w:hint="default" w:ascii="Times New Roman" w:hAnsi="Times New Roman" w:eastAsia="仿宋_GB2312" w:cs="Times New Roman"/>
          <w:color w:val="auto"/>
          <w:sz w:val="32"/>
          <w:szCs w:val="32"/>
        </w:rPr>
        <w:t>万元。项目实施及绩效情况如下：</w:t>
      </w:r>
      <w:r>
        <w:rPr>
          <w:rFonts w:hint="eastAsia" w:ascii="Times New Roman" w:hAnsi="Times New Roman" w:eastAsia="仿宋_GB2312" w:cs="Times New Roman"/>
          <w:color w:val="auto"/>
          <w:sz w:val="32"/>
          <w:szCs w:val="32"/>
          <w:lang w:val="en-US" w:eastAsia="zh-CN"/>
        </w:rPr>
        <w:t>扎实开展农村人居环境整治各项工作，抓牢抓实道路绿化、厕所革命、秸秆禁烧等重点工作；对54户房屋进行鉴定评级；整治农村生活垃圾，全面清理脏乱差和卫生死角，落实门前三包责任制，实行社区小组包片责任制，强化平时日常卫生保洁，做到生活垃圾分类日产日清。</w:t>
      </w:r>
    </w:p>
    <w:p>
      <w:pPr>
        <w:tabs>
          <w:tab w:val="left" w:pos="7560"/>
        </w:tabs>
        <w:adjustRightInd w:val="0"/>
        <w:snapToGrid w:val="0"/>
        <w:spacing w:line="540" w:lineRule="exact"/>
        <w:ind w:firstLine="640" w:firstLineChars="200"/>
        <w:jc w:val="left"/>
        <w:rPr>
          <w:rFonts w:hint="eastAsia"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lang w:val="en-US" w:eastAsia="zh-CN"/>
        </w:rPr>
        <w:t>2</w:t>
      </w:r>
      <w:r>
        <w:rPr>
          <w:rFonts w:hint="eastAsia" w:ascii="Times New Roman" w:hAnsi="Times New Roman" w:eastAsia="仿宋_GB2312" w:cs="Times New Roman"/>
          <w:color w:val="auto"/>
          <w:sz w:val="32"/>
          <w:szCs w:val="32"/>
          <w:lang w:eastAsia="zh-CN"/>
        </w:rPr>
        <w:t>．年中追加项目</w:t>
      </w:r>
    </w:p>
    <w:p>
      <w:pPr>
        <w:pStyle w:val="2"/>
        <w:rPr>
          <w:rFonts w:hint="default" w:ascii="Times New Roman" w:hAnsi="Times New Roman" w:eastAsia="仿宋_GB2312" w:cs="Times New Roman"/>
          <w:b w:val="0"/>
          <w:bCs w:val="0"/>
          <w:i w:val="0"/>
          <w:iCs w:val="0"/>
          <w:caps w:val="0"/>
          <w:color w:val="auto"/>
          <w:spacing w:val="0"/>
          <w:kern w:val="2"/>
          <w:sz w:val="32"/>
          <w:szCs w:val="32"/>
          <w:shd w:val="clear" w:color="auto" w:fill="FFFFFF"/>
          <w:lang w:val="en-US" w:eastAsia="zh-CN" w:bidi="ar-SA"/>
        </w:rPr>
      </w:pPr>
      <w:r>
        <w:rPr>
          <w:rFonts w:hint="default" w:ascii="Times New Roman" w:hAnsi="Times New Roman" w:eastAsia="仿宋_GB2312" w:cs="Times New Roman"/>
          <w:color w:val="auto"/>
          <w:sz w:val="32"/>
          <w:szCs w:val="32"/>
        </w:rPr>
        <w:t>（1）</w:t>
      </w:r>
      <w:r>
        <w:rPr>
          <w:rFonts w:hint="eastAsia" w:ascii="Times New Roman" w:hAnsi="Times New Roman" w:cs="Times New Roman"/>
          <w:color w:val="auto"/>
          <w:sz w:val="32"/>
          <w:szCs w:val="32"/>
          <w:lang w:eastAsia="zh-CN"/>
        </w:rPr>
        <w:t>经开区拨聘用人员工资及解聘经费</w:t>
      </w:r>
      <w:r>
        <w:rPr>
          <w:rFonts w:hint="eastAsia" w:ascii="Times New Roman" w:hAnsi="Times New Roman" w:eastAsia="仿宋_GB2312" w:cs="Times New Roman"/>
          <w:color w:val="auto"/>
          <w:sz w:val="32"/>
          <w:szCs w:val="32"/>
          <w:lang w:eastAsia="zh-CN"/>
        </w:rPr>
        <w:t>项目，</w:t>
      </w:r>
      <w:r>
        <w:rPr>
          <w:rFonts w:hint="eastAsia" w:ascii="Times New Roman" w:hAnsi="Times New Roman" w:cs="Times New Roman"/>
          <w:color w:val="auto"/>
          <w:sz w:val="32"/>
          <w:szCs w:val="32"/>
          <w:lang w:eastAsia="zh-CN"/>
        </w:rPr>
        <w:t>金额</w:t>
      </w:r>
      <w:r>
        <w:rPr>
          <w:rFonts w:hint="eastAsia" w:ascii="Times New Roman" w:hAnsi="Times New Roman" w:cs="Times New Roman"/>
          <w:color w:val="auto"/>
          <w:sz w:val="32"/>
          <w:szCs w:val="32"/>
          <w:lang w:val="en-US" w:eastAsia="zh-CN"/>
        </w:rPr>
        <w:t>936.26</w:t>
      </w:r>
      <w:r>
        <w:rPr>
          <w:rFonts w:hint="eastAsia" w:ascii="Times New Roman" w:hAnsi="Times New Roman" w:cs="Times New Roman"/>
          <w:color w:val="auto"/>
          <w:sz w:val="32"/>
          <w:szCs w:val="32"/>
          <w:lang w:eastAsia="zh-CN"/>
        </w:rPr>
        <w:t>万元，实际支出</w:t>
      </w:r>
      <w:r>
        <w:rPr>
          <w:rFonts w:hint="eastAsia" w:ascii="Times New Roman" w:hAnsi="Times New Roman" w:cs="Times New Roman"/>
          <w:color w:val="auto"/>
          <w:sz w:val="32"/>
          <w:szCs w:val="32"/>
          <w:lang w:val="en-US" w:eastAsia="zh-CN"/>
        </w:rPr>
        <w:t>849.06</w:t>
      </w:r>
      <w:r>
        <w:rPr>
          <w:rFonts w:hint="eastAsia" w:ascii="Times New Roman" w:hAnsi="Times New Roman" w:cs="Times New Roman"/>
          <w:color w:val="auto"/>
          <w:sz w:val="32"/>
          <w:szCs w:val="32"/>
          <w:lang w:eastAsia="zh-CN"/>
        </w:rPr>
        <w:t>万元，结余结转</w:t>
      </w:r>
      <w:r>
        <w:rPr>
          <w:rFonts w:hint="eastAsia" w:ascii="Times New Roman" w:hAnsi="Times New Roman" w:cs="Times New Roman"/>
          <w:color w:val="auto"/>
          <w:sz w:val="32"/>
          <w:szCs w:val="32"/>
          <w:lang w:val="en-US" w:eastAsia="zh-CN"/>
        </w:rPr>
        <w:t>87.2</w:t>
      </w:r>
      <w:r>
        <w:rPr>
          <w:rFonts w:hint="eastAsia" w:ascii="Times New Roman" w:hAnsi="Times New Roman" w:cs="Times New Roman"/>
          <w:color w:val="auto"/>
          <w:sz w:val="32"/>
          <w:szCs w:val="32"/>
          <w:lang w:eastAsia="zh-CN"/>
        </w:rPr>
        <w:t>万元。项目实施及绩效情况：保障街道聘用人员的工资发放、社保缴纳；对</w:t>
      </w:r>
      <w:r>
        <w:rPr>
          <w:rFonts w:hint="default" w:ascii="Times New Roman" w:hAnsi="Times New Roman" w:cs="Times New Roman"/>
          <w:color w:val="auto"/>
          <w:sz w:val="32"/>
          <w:szCs w:val="32"/>
          <w:lang w:val="en-US" w:eastAsia="zh-CN"/>
        </w:rPr>
        <w:t>原经开区聘用派</w:t>
      </w:r>
      <w:r>
        <w:rPr>
          <w:rFonts w:hint="default" w:ascii="Times New Roman" w:hAnsi="Times New Roman" w:eastAsia="仿宋_GB2312" w:cs="Times New Roman"/>
          <w:b w:val="0"/>
          <w:bCs w:val="0"/>
          <w:color w:val="auto"/>
          <w:sz w:val="32"/>
          <w:szCs w:val="32"/>
          <w:lang w:val="en-US" w:eastAsia="zh-CN"/>
        </w:rPr>
        <w:t>驻我街道的19名工作人员已全部完成清退，街道自聘的35名工作人员也已全部签订解除（终止）劳动（合同）关系协议书，并按照相关要求完成街道聘用人员劳务关系签订。同时，</w:t>
      </w:r>
      <w:r>
        <w:rPr>
          <w:rFonts w:hint="default" w:ascii="Times New Roman" w:hAnsi="Times New Roman" w:eastAsia="仿宋_GB2312" w:cs="Times New Roman"/>
          <w:b w:val="0"/>
          <w:bCs w:val="0"/>
          <w:i w:val="0"/>
          <w:iCs w:val="0"/>
          <w:caps w:val="0"/>
          <w:color w:val="auto"/>
          <w:spacing w:val="0"/>
          <w:kern w:val="2"/>
          <w:sz w:val="32"/>
          <w:szCs w:val="32"/>
          <w:shd w:val="clear" w:color="auto" w:fill="FFFFFF"/>
          <w:lang w:val="en-US" w:eastAsia="zh-CN" w:bidi="ar-SA"/>
        </w:rPr>
        <w:t>按时完成在编人员转隶入编手续，并重新做好岗位分工设置。</w:t>
      </w:r>
    </w:p>
    <w:p>
      <w:pPr>
        <w:ind w:firstLine="640" w:firstLineChars="200"/>
        <w:rPr>
          <w:rFonts w:hint="eastAsia"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w:t>
      </w:r>
      <w:r>
        <w:rPr>
          <w:rFonts w:hint="eastAsia" w:ascii="Times New Roman" w:hAnsi="Times New Roman" w:eastAsia="仿宋_GB2312" w:cs="Times New Roman"/>
          <w:color w:val="auto"/>
          <w:kern w:val="2"/>
          <w:sz w:val="32"/>
          <w:szCs w:val="32"/>
          <w:lang w:val="en-US" w:eastAsia="zh-CN" w:bidi="ar-SA"/>
        </w:rPr>
        <w:t>2</w:t>
      </w:r>
      <w:r>
        <w:rPr>
          <w:rFonts w:hint="default" w:ascii="Times New Roman" w:hAnsi="Times New Roman" w:eastAsia="仿宋_GB2312" w:cs="Times New Roman"/>
          <w:color w:val="auto"/>
          <w:kern w:val="2"/>
          <w:sz w:val="32"/>
          <w:szCs w:val="32"/>
          <w:lang w:val="en-US" w:eastAsia="zh-CN" w:bidi="ar-SA"/>
        </w:rPr>
        <w:t>）</w:t>
      </w:r>
      <w:r>
        <w:rPr>
          <w:rFonts w:hint="eastAsia" w:ascii="Times New Roman" w:hAnsi="Times New Roman" w:eastAsia="仿宋_GB2312" w:cs="Times New Roman"/>
          <w:color w:val="auto"/>
          <w:kern w:val="2"/>
          <w:sz w:val="32"/>
          <w:szCs w:val="32"/>
          <w:lang w:val="en-US" w:eastAsia="zh-CN" w:bidi="ar-SA"/>
        </w:rPr>
        <w:t>退休人员生活补贴、抚恤金专项项目，金额86.62万元，实际支出86.62万元，结余结转0万元。项目实施及绩效情况：保障街道23个退休人员的基本生活需求、提高退休人员待遇和生活水平质量、增强退休人员的社会参与能力。</w:t>
      </w:r>
    </w:p>
    <w:p>
      <w:pPr>
        <w:ind w:firstLine="640" w:firstLineChars="200"/>
        <w:rPr>
          <w:rFonts w:hint="eastAsia"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w:t>
      </w:r>
      <w:r>
        <w:rPr>
          <w:rFonts w:hint="eastAsia" w:ascii="Times New Roman" w:hAnsi="Times New Roman" w:eastAsia="仿宋_GB2312" w:cs="Times New Roman"/>
          <w:color w:val="auto"/>
          <w:kern w:val="2"/>
          <w:sz w:val="32"/>
          <w:szCs w:val="32"/>
          <w:lang w:val="en-US" w:eastAsia="zh-CN" w:bidi="ar-SA"/>
        </w:rPr>
        <w:t>3</w:t>
      </w:r>
      <w:r>
        <w:rPr>
          <w:rFonts w:hint="default" w:ascii="Times New Roman" w:hAnsi="Times New Roman" w:eastAsia="仿宋_GB2312" w:cs="Times New Roman"/>
          <w:color w:val="auto"/>
          <w:kern w:val="2"/>
          <w:sz w:val="32"/>
          <w:szCs w:val="32"/>
          <w:lang w:val="en-US" w:eastAsia="zh-CN" w:bidi="ar-SA"/>
        </w:rPr>
        <w:t>）</w:t>
      </w:r>
      <w:r>
        <w:rPr>
          <w:rFonts w:hint="eastAsia" w:ascii="Times New Roman" w:hAnsi="Times New Roman" w:eastAsia="仿宋_GB2312" w:cs="Times New Roman"/>
          <w:color w:val="auto"/>
          <w:kern w:val="2"/>
          <w:sz w:val="32"/>
          <w:szCs w:val="32"/>
          <w:lang w:val="en-US" w:eastAsia="zh-CN" w:bidi="ar-SA"/>
        </w:rPr>
        <w:t>全国第五次经济普查工作经费项目，金额5.8万元，实际支出5.12万元，结余结转0.88万元。项目实施及绩效情况：对215家企业及个体工商户进行进行全面普查，掌握发展规模、效益情况，发挥数据统计的积极作用。</w:t>
      </w:r>
    </w:p>
    <w:p>
      <w:pPr>
        <w:ind w:firstLine="640" w:firstLineChars="200"/>
        <w:rPr>
          <w:rFonts w:hint="eastAsia"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w:t>
      </w:r>
      <w:r>
        <w:rPr>
          <w:rFonts w:hint="eastAsia" w:ascii="Times New Roman" w:hAnsi="Times New Roman" w:eastAsia="仿宋_GB2312" w:cs="Times New Roman"/>
          <w:color w:val="auto"/>
          <w:kern w:val="2"/>
          <w:sz w:val="32"/>
          <w:szCs w:val="32"/>
          <w:lang w:val="en-US" w:eastAsia="zh-CN" w:bidi="ar-SA"/>
        </w:rPr>
        <w:t>4</w:t>
      </w:r>
      <w:r>
        <w:rPr>
          <w:rFonts w:hint="default" w:ascii="Times New Roman" w:hAnsi="Times New Roman" w:eastAsia="仿宋_GB2312" w:cs="Times New Roman"/>
          <w:color w:val="auto"/>
          <w:kern w:val="2"/>
          <w:sz w:val="32"/>
          <w:szCs w:val="32"/>
          <w:lang w:val="en-US" w:eastAsia="zh-CN" w:bidi="ar-SA"/>
        </w:rPr>
        <w:t>）</w:t>
      </w:r>
      <w:r>
        <w:rPr>
          <w:rFonts w:hint="eastAsia" w:ascii="Times New Roman" w:hAnsi="Times New Roman" w:eastAsia="仿宋_GB2312" w:cs="Times New Roman"/>
          <w:color w:val="auto"/>
          <w:kern w:val="2"/>
          <w:sz w:val="32"/>
          <w:szCs w:val="32"/>
          <w:lang w:val="en-US" w:eastAsia="zh-CN" w:bidi="ar-SA"/>
        </w:rPr>
        <w:t>民政、就业、两保专项项目，金额24.55万元，实际支出19.15元，结余结转5.4万元。项目实施及绩效情况：切实做好民生工程，为街道低保对象、城乡特困对象、临时救助人员进行走访慰问并发放慰问金。今年新增就业人员152人。按时发放两保协理员工资及缴纳社保，提高工作积极性。</w:t>
      </w:r>
    </w:p>
    <w:p>
      <w:pPr>
        <w:ind w:firstLine="640" w:firstLineChars="200"/>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w:t>
      </w:r>
      <w:r>
        <w:rPr>
          <w:rFonts w:hint="eastAsia" w:ascii="Times New Roman" w:hAnsi="Times New Roman" w:eastAsia="仿宋_GB2312" w:cs="Times New Roman"/>
          <w:color w:val="auto"/>
          <w:kern w:val="2"/>
          <w:sz w:val="32"/>
          <w:szCs w:val="32"/>
          <w:lang w:val="en-US" w:eastAsia="zh-CN" w:bidi="ar-SA"/>
        </w:rPr>
        <w:t>5</w:t>
      </w:r>
      <w:r>
        <w:rPr>
          <w:rFonts w:hint="default" w:ascii="Times New Roman" w:hAnsi="Times New Roman" w:eastAsia="仿宋_GB2312" w:cs="Times New Roman"/>
          <w:color w:val="auto"/>
          <w:kern w:val="2"/>
          <w:sz w:val="32"/>
          <w:szCs w:val="32"/>
          <w:lang w:val="en-US" w:eastAsia="zh-CN" w:bidi="ar-SA"/>
        </w:rPr>
        <w:t>）</w:t>
      </w:r>
      <w:r>
        <w:rPr>
          <w:rFonts w:hint="eastAsia" w:ascii="Times New Roman" w:hAnsi="Times New Roman" w:eastAsia="仿宋_GB2312" w:cs="Times New Roman"/>
          <w:color w:val="auto"/>
          <w:kern w:val="2"/>
          <w:sz w:val="32"/>
          <w:szCs w:val="32"/>
          <w:lang w:val="en-US" w:eastAsia="zh-CN" w:bidi="ar-SA"/>
        </w:rPr>
        <w:t>财政、人大、党建专项项目，金额13.15万元，实际支出10.2元，结余结转2.95万元。项目实施及绩效情况：加强做好财源建设工作；开展打击非法集资，进行户外宣传打击非法集资活动2次；打造龙头铺街道人大代表联络站；加强党建工作创新活动方式，抓实基层党组织建设，高质量发展党员。</w:t>
      </w:r>
    </w:p>
    <w:p>
      <w:pPr>
        <w:ind w:firstLine="640" w:firstLineChars="200"/>
        <w:rPr>
          <w:rFonts w:hint="eastAsia"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w:t>
      </w:r>
      <w:r>
        <w:rPr>
          <w:rFonts w:hint="eastAsia" w:ascii="Times New Roman" w:hAnsi="Times New Roman" w:eastAsia="仿宋_GB2312" w:cs="Times New Roman"/>
          <w:color w:val="auto"/>
          <w:kern w:val="2"/>
          <w:sz w:val="32"/>
          <w:szCs w:val="32"/>
          <w:lang w:val="en-US" w:eastAsia="zh-CN" w:bidi="ar-SA"/>
        </w:rPr>
        <w:t>6</w:t>
      </w:r>
      <w:r>
        <w:rPr>
          <w:rFonts w:hint="default" w:ascii="Times New Roman" w:hAnsi="Times New Roman" w:eastAsia="仿宋_GB2312" w:cs="Times New Roman"/>
          <w:color w:val="auto"/>
          <w:kern w:val="2"/>
          <w:sz w:val="32"/>
          <w:szCs w:val="32"/>
          <w:lang w:val="en-US" w:eastAsia="zh-CN" w:bidi="ar-SA"/>
        </w:rPr>
        <w:t>）</w:t>
      </w:r>
      <w:r>
        <w:rPr>
          <w:rFonts w:hint="eastAsia" w:ascii="Times New Roman" w:hAnsi="Times New Roman" w:eastAsia="仿宋_GB2312" w:cs="Times New Roman"/>
          <w:color w:val="auto"/>
          <w:kern w:val="2"/>
          <w:sz w:val="32"/>
          <w:szCs w:val="32"/>
          <w:lang w:val="en-US" w:eastAsia="zh-CN" w:bidi="ar-SA"/>
        </w:rPr>
        <w:t>公益林补助资金专项项目，金额20.02万元，实际支出20.02元，结余结转0万元。项目实施及绩效情况：省级、市级生态公益林保护工作的正常开展，促进森林生态系统功能恢复和提高。</w:t>
      </w:r>
    </w:p>
    <w:p>
      <w:pPr>
        <w:ind w:firstLine="640" w:firstLineChars="200"/>
        <w:rPr>
          <w:rFonts w:hint="eastAsia"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w:t>
      </w:r>
      <w:r>
        <w:rPr>
          <w:rFonts w:hint="eastAsia" w:ascii="Times New Roman" w:hAnsi="Times New Roman" w:eastAsia="仿宋_GB2312" w:cs="Times New Roman"/>
          <w:color w:val="auto"/>
          <w:kern w:val="2"/>
          <w:sz w:val="32"/>
          <w:szCs w:val="32"/>
          <w:lang w:val="en-US" w:eastAsia="zh-CN" w:bidi="ar-SA"/>
        </w:rPr>
        <w:t>7</w:t>
      </w:r>
      <w:r>
        <w:rPr>
          <w:rFonts w:hint="default" w:ascii="Times New Roman" w:hAnsi="Times New Roman" w:eastAsia="仿宋_GB2312" w:cs="Times New Roman"/>
          <w:color w:val="auto"/>
          <w:kern w:val="2"/>
          <w:sz w:val="32"/>
          <w:szCs w:val="32"/>
          <w:lang w:val="en-US" w:eastAsia="zh-CN" w:bidi="ar-SA"/>
        </w:rPr>
        <w:t>）</w:t>
      </w:r>
      <w:r>
        <w:rPr>
          <w:rFonts w:hint="eastAsia" w:ascii="Times New Roman" w:hAnsi="Times New Roman" w:eastAsia="仿宋_GB2312" w:cs="Times New Roman"/>
          <w:color w:val="auto"/>
          <w:kern w:val="2"/>
          <w:sz w:val="32"/>
          <w:szCs w:val="32"/>
          <w:lang w:val="en-US" w:eastAsia="zh-CN" w:bidi="ar-SA"/>
        </w:rPr>
        <w:t>基层退役军人服务体系运行补助经费项目，金额2万元，实际支出1.33元，结余结转0.63万元。项目实施及绩效情况：开展退役军人培训，保障退役军人的基础生活。</w:t>
      </w:r>
    </w:p>
    <w:p>
      <w:pPr>
        <w:ind w:firstLine="640" w:firstLineChars="200"/>
        <w:rPr>
          <w:rFonts w:hint="eastAsia"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w:t>
      </w:r>
      <w:r>
        <w:rPr>
          <w:rFonts w:hint="eastAsia" w:ascii="Times New Roman" w:hAnsi="Times New Roman" w:eastAsia="仿宋_GB2312" w:cs="Times New Roman"/>
          <w:color w:val="auto"/>
          <w:kern w:val="2"/>
          <w:sz w:val="32"/>
          <w:szCs w:val="32"/>
          <w:lang w:val="en-US" w:eastAsia="zh-CN" w:bidi="ar-SA"/>
        </w:rPr>
        <w:t>8</w:t>
      </w:r>
      <w:r>
        <w:rPr>
          <w:rFonts w:hint="default" w:ascii="Times New Roman" w:hAnsi="Times New Roman" w:eastAsia="仿宋_GB2312" w:cs="Times New Roman"/>
          <w:color w:val="auto"/>
          <w:kern w:val="2"/>
          <w:sz w:val="32"/>
          <w:szCs w:val="32"/>
          <w:lang w:val="en-US" w:eastAsia="zh-CN" w:bidi="ar-SA"/>
        </w:rPr>
        <w:t>）</w:t>
      </w:r>
      <w:r>
        <w:rPr>
          <w:rFonts w:hint="eastAsia" w:ascii="Times New Roman" w:hAnsi="Times New Roman" w:eastAsia="仿宋_GB2312" w:cs="Times New Roman"/>
          <w:color w:val="auto"/>
          <w:kern w:val="2"/>
          <w:sz w:val="32"/>
          <w:szCs w:val="32"/>
          <w:lang w:val="en-US" w:eastAsia="zh-CN" w:bidi="ar-SA"/>
        </w:rPr>
        <w:t>纪检专项项目，金额4.2万元，实际支出0元，结余结转4.2万元。项目实施及绩效情况：认真开展纠四风监督检查工作，共计18次监督检查，未发现公款吃喝、公款娱乐、公车私用等情况，提高诉求回复率。</w:t>
      </w:r>
    </w:p>
    <w:p>
      <w:pPr>
        <w:pStyle w:val="16"/>
        <w:spacing w:line="600" w:lineRule="exact"/>
        <w:ind w:firstLine="640" w:firstLineChars="200"/>
        <w:jc w:val="both"/>
        <w:rPr>
          <w:rFonts w:hint="default"/>
        </w:rPr>
      </w:pPr>
      <w:r>
        <w:rPr>
          <w:rFonts w:hint="default" w:ascii="Times New Roman" w:hAnsi="Times New Roman" w:eastAsia="仿宋_GB2312" w:cs="Times New Roman"/>
          <w:color w:val="auto"/>
          <w:kern w:val="2"/>
          <w:sz w:val="32"/>
          <w:szCs w:val="32"/>
          <w:lang w:val="en-US" w:eastAsia="zh-CN" w:bidi="ar-SA"/>
        </w:rPr>
        <w:t>（</w:t>
      </w:r>
      <w:r>
        <w:rPr>
          <w:rFonts w:hint="eastAsia" w:ascii="Times New Roman" w:hAnsi="Times New Roman" w:eastAsia="仿宋_GB2312" w:cs="Times New Roman"/>
          <w:color w:val="auto"/>
          <w:kern w:val="2"/>
          <w:sz w:val="32"/>
          <w:szCs w:val="32"/>
          <w:lang w:val="en-US" w:eastAsia="zh-CN" w:bidi="ar-SA"/>
        </w:rPr>
        <w:t>9</w:t>
      </w:r>
      <w:r>
        <w:rPr>
          <w:rFonts w:hint="default" w:ascii="Times New Roman" w:hAnsi="Times New Roman" w:eastAsia="仿宋_GB2312" w:cs="Times New Roman"/>
          <w:color w:val="auto"/>
          <w:kern w:val="2"/>
          <w:sz w:val="32"/>
          <w:szCs w:val="32"/>
          <w:lang w:val="en-US" w:eastAsia="zh-CN" w:bidi="ar-SA"/>
        </w:rPr>
        <w:t>）</w:t>
      </w:r>
      <w:r>
        <w:rPr>
          <w:rFonts w:hint="eastAsia" w:ascii="Times New Roman" w:hAnsi="Times New Roman" w:eastAsia="仿宋_GB2312" w:cs="Times New Roman"/>
          <w:color w:val="auto"/>
          <w:kern w:val="2"/>
          <w:sz w:val="32"/>
          <w:szCs w:val="32"/>
          <w:lang w:val="en-US" w:eastAsia="zh-CN" w:bidi="ar-SA"/>
        </w:rPr>
        <w:t>道路整治专项项目，金额1万元，实际支出0.44元，结余结转0.56万元。项目实施及绩效情况：对交通问题</w:t>
      </w:r>
      <w:r>
        <w:rPr>
          <w:rFonts w:hint="default" w:ascii="Times New Roman" w:hAnsi="Times New Roman" w:eastAsia="仿宋_GB2312" w:cs="Times New Roman"/>
          <w:color w:val="auto"/>
          <w:kern w:val="2"/>
          <w:sz w:val="32"/>
          <w:szCs w:val="32"/>
          <w:lang w:val="en-US" w:eastAsia="zh-CN" w:bidi="ar-SA"/>
        </w:rPr>
        <w:t>“</w:t>
      </w:r>
      <w:r>
        <w:rPr>
          <w:rFonts w:hint="eastAsia" w:ascii="Times New Roman" w:hAnsi="Times New Roman" w:eastAsia="仿宋_GB2312" w:cs="Times New Roman"/>
          <w:color w:val="auto"/>
          <w:kern w:val="2"/>
          <w:sz w:val="32"/>
          <w:szCs w:val="32"/>
          <w:lang w:val="en-US" w:eastAsia="zh-CN" w:bidi="ar-SA"/>
        </w:rPr>
        <w:t>顽瘴痼疾</w:t>
      </w:r>
      <w:r>
        <w:rPr>
          <w:rFonts w:hint="default" w:ascii="Times New Roman" w:hAnsi="Times New Roman" w:eastAsia="仿宋_GB2312" w:cs="Times New Roman"/>
          <w:color w:val="auto"/>
          <w:kern w:val="2"/>
          <w:sz w:val="32"/>
          <w:szCs w:val="32"/>
          <w:lang w:val="en-US" w:eastAsia="zh-CN" w:bidi="ar-SA"/>
        </w:rPr>
        <w:t>”</w:t>
      </w:r>
      <w:r>
        <w:rPr>
          <w:rFonts w:hint="eastAsia" w:ascii="Times New Roman" w:hAnsi="Times New Roman" w:eastAsia="仿宋_GB2312" w:cs="Times New Roman"/>
          <w:color w:val="auto"/>
          <w:kern w:val="2"/>
          <w:sz w:val="32"/>
          <w:szCs w:val="32"/>
          <w:lang w:val="en-US" w:eastAsia="zh-CN" w:bidi="ar-SA"/>
        </w:rPr>
        <w:t>进行集中整治，对辖区内农村道路开展全面摸排，发现并上报道路安全风险隐患点21处，现已按照要求完成风险隐患点整治项目并竣工验收。</w:t>
      </w:r>
    </w:p>
    <w:p>
      <w:pPr>
        <w:tabs>
          <w:tab w:val="left" w:pos="7560"/>
        </w:tabs>
        <w:adjustRightInd w:val="0"/>
        <w:snapToGrid w:val="0"/>
        <w:spacing w:line="540" w:lineRule="exact"/>
        <w:ind w:firstLine="640" w:firstLineChars="200"/>
        <w:jc w:val="left"/>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四、绩效管理存在的问题及下一步改进措施</w:t>
      </w:r>
    </w:p>
    <w:p>
      <w:pPr>
        <w:ind w:firstLine="640" w:firstLineChars="200"/>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（一）、存在的主要问题</w:t>
      </w:r>
    </w:p>
    <w:p>
      <w:pPr>
        <w:ind w:firstLine="640" w:firstLineChars="200"/>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年初预算的编制较为精细，按照费用支出的使用范围和内容，进行了类、款、项三个层级的明细预算，进行了基本支出、项目支出的严格区分，同时在基本支出和项目支出中又进行了更为明细的预算，并按照预算的最末级明细进行预算支出管理，专款专用。但对于追加的项目支出、上年结余结转的项目资金，没有进行预算分解，编制明细预算，因此涉及上年结转和追加预算的项目支出的预算管理均仅从总额进行控制，不便于对其进行精细化的预算管理和分析评价。</w:t>
      </w:r>
    </w:p>
    <w:p>
      <w:pPr>
        <w:ind w:firstLine="640" w:firstLineChars="200"/>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（二）、改进措施</w:t>
      </w:r>
    </w:p>
    <w:p>
      <w:pPr>
        <w:ind w:firstLine="640" w:firstLineChars="200"/>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1、细化预算编制工作，认真做好预算的编制。进一步加强内部机构的预算管理意识，严格按照预算编制的相关制度和要求，本着“勤俭节约、保障运转”的原则进行预算的编制；编制范围尽可能的全面、不漏项，进一步提高预算编制的科学性、合理性、严谨性和可控性。</w:t>
      </w:r>
    </w:p>
    <w:p>
      <w:pPr>
        <w:ind w:firstLine="640" w:firstLineChars="200"/>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2、在日常预算管理过程中，进一步加强预算支出的审核、跟踪及预算执行情况分析。</w:t>
      </w:r>
    </w:p>
    <w:p>
      <w:pPr>
        <w:numPr>
          <w:ilvl w:val="0"/>
          <w:numId w:val="1"/>
        </w:numPr>
        <w:tabs>
          <w:tab w:val="left" w:pos="7560"/>
        </w:tabs>
        <w:adjustRightInd w:val="0"/>
        <w:snapToGrid w:val="0"/>
        <w:spacing w:line="540" w:lineRule="exact"/>
        <w:ind w:firstLine="640" w:firstLineChars="200"/>
        <w:jc w:val="left"/>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其他需要说明的情况</w:t>
      </w:r>
    </w:p>
    <w:p>
      <w:pPr>
        <w:tabs>
          <w:tab w:val="left" w:pos="7560"/>
        </w:tabs>
        <w:adjustRightInd w:val="0"/>
        <w:snapToGrid w:val="0"/>
        <w:spacing w:line="540" w:lineRule="exact"/>
        <w:ind w:firstLine="640" w:firstLineChars="200"/>
        <w:jc w:val="left"/>
        <w:rPr>
          <w:rFonts w:hint="default"/>
          <w:lang w:eastAsia="zh-CN"/>
        </w:rPr>
      </w:pPr>
      <w:r>
        <w:rPr>
          <w:rFonts w:hint="default" w:ascii="Times New Roman" w:hAnsi="Times New Roman" w:eastAsia="仿宋_GB2312" w:cs="Times New Roman"/>
          <w:color w:val="auto"/>
          <w:sz w:val="32"/>
          <w:szCs w:val="32"/>
          <w:lang w:eastAsia="zh-CN"/>
        </w:rPr>
        <w:t>无其他需要说明的情况</w:t>
      </w:r>
    </w:p>
    <w:sectPr>
      <w:footerReference r:id="rId4" w:type="default"/>
      <w:pgSz w:w="11906" w:h="16838"/>
      <w:pgMar w:top="1531" w:right="1531" w:bottom="1531" w:left="1531" w:header="851" w:footer="1191" w:gutter="0"/>
      <w:pgNumType w:fmt="decimal"/>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swiss"/>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altName w:val="方正楷体_GBK"/>
    <w:panose1 w:val="02010609030101010101"/>
    <w:charset w:val="86"/>
    <w:family w:val="modern"/>
    <w:pitch w:val="default"/>
    <w:sig w:usb0="00000000" w:usb1="0000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firstLine="360"/>
      <w:rPr>
        <w:rFonts w:cs="Times New Roman"/>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wrap="none" lIns="0" tIns="0" rIns="0" bIns="0" upright="false">
                      <a:spAutoFit/>
                    </wps:bodyPr>
                  </wps:wsp>
                </a:graphicData>
              </a:graphic>
            </wp:anchor>
          </w:drawing>
        </mc:Choice>
        <mc:Fallback>
          <w:pict>
            <v:shape id="文本框 1028"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BYAAABkcnMv&#10;UEsBAhQAFAAAAAgAh07iQM6pebnPAAAABQEAAA8AAAAAAAAAAQAgAAAAOAAAAGRycy9kb3ducmV2&#10;LnhtbFBLAQIUABQAAAAIAIdO4kBtVrULtgEAAFUDAAAOAAAAAAAAAAEAIAAAADQBAABkcnMvZTJv&#10;RG9jLnhtbFBLBQYAAAAABgAGAFkBAABcBQAAAAA=&#10;">
              <v:fill on="f" focussize="0,0"/>
              <v:stroke on="f"/>
              <v:imagedata o:title=""/>
              <o:lock v:ext="edit" aspectratio="f"/>
              <v:textbox inset="0mm,0mm,0mm,0mm" style="mso-fit-shape-to-text:t;">
                <w:txbxContent>
                  <w:p>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firstLine="360"/>
      <w:rPr>
        <w:rFonts w:cs="Times New Roman"/>
      </w:rPr>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102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wrap="none" lIns="0" tIns="0" rIns="0" bIns="0" upright="false">
                      <a:spAutoFit/>
                    </wps:bodyPr>
                  </wps:wsp>
                </a:graphicData>
              </a:graphic>
            </wp:anchor>
          </w:drawing>
        </mc:Choice>
        <mc:Fallback>
          <w:pict>
            <v:shape id="文本框 1027"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FgAAAGRycy9Q&#10;SwECFAAUAAAACACHTuJAzql5uc8AAAAFAQAADwAAAAAAAAABACAAAAA4AAAAZHJzL2Rvd25yZXYu&#10;eG1sUEsBAhQAFAAAAAgAh07iQEFSmNq1AQAAVQMAAA4AAAAAAAAAAQAgAAAANAEAAGRycy9lMm9E&#10;b2MueG1sUEsFBgAAAAAGAAYAWQEAAFsFAAAAAA==&#10;">
              <v:fill on="f" focussize="0,0"/>
              <v:stroke on="f"/>
              <v:imagedata o:title=""/>
              <o:lock v:ext="edit" aspectratio="f"/>
              <v:textbox inset="0mm,0mm,0mm,0mm" style="mso-fit-shape-to-text:t;">
                <w:txbxContent>
                  <w:p>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5FFD4F"/>
    <w:multiLevelType w:val="singleLevel"/>
    <w:tmpl w:val="955FFD4F"/>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doNotDisplayPageBoundaries w:val="true"/>
  <w:embedSystemFonts/>
  <w:bordersDoNotSurroundHeader w:val="true"/>
  <w:bordersDoNotSurroundFooter w:val="true"/>
  <w:documentProtection w:enforcement="0"/>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M4NWM4NGNkNjZkMzhmOTMwOGQxZDdmN2IxODY3ZmEifQ=="/>
  </w:docVars>
  <w:rsids>
    <w:rsidRoot w:val="008E6491"/>
    <w:rsid w:val="000248EA"/>
    <w:rsid w:val="000A3A1B"/>
    <w:rsid w:val="000E17EC"/>
    <w:rsid w:val="00220AC5"/>
    <w:rsid w:val="002476BD"/>
    <w:rsid w:val="002C1873"/>
    <w:rsid w:val="002C2128"/>
    <w:rsid w:val="002F4169"/>
    <w:rsid w:val="00304E26"/>
    <w:rsid w:val="003055F8"/>
    <w:rsid w:val="0031281F"/>
    <w:rsid w:val="00341D1C"/>
    <w:rsid w:val="00380CD5"/>
    <w:rsid w:val="003C549F"/>
    <w:rsid w:val="003F01CC"/>
    <w:rsid w:val="0043193B"/>
    <w:rsid w:val="00433B4B"/>
    <w:rsid w:val="004E64C2"/>
    <w:rsid w:val="005A6F70"/>
    <w:rsid w:val="00634606"/>
    <w:rsid w:val="00634CB8"/>
    <w:rsid w:val="006B1B13"/>
    <w:rsid w:val="00753562"/>
    <w:rsid w:val="007830AB"/>
    <w:rsid w:val="00797513"/>
    <w:rsid w:val="007C5100"/>
    <w:rsid w:val="00806E32"/>
    <w:rsid w:val="00832C97"/>
    <w:rsid w:val="00897CA2"/>
    <w:rsid w:val="008A4C72"/>
    <w:rsid w:val="008C3049"/>
    <w:rsid w:val="008D5121"/>
    <w:rsid w:val="008E6491"/>
    <w:rsid w:val="008E7E2D"/>
    <w:rsid w:val="00940193"/>
    <w:rsid w:val="00952B81"/>
    <w:rsid w:val="00955478"/>
    <w:rsid w:val="00956E78"/>
    <w:rsid w:val="009715BF"/>
    <w:rsid w:val="00975B8F"/>
    <w:rsid w:val="009B2A1B"/>
    <w:rsid w:val="009E7525"/>
    <w:rsid w:val="00A07D45"/>
    <w:rsid w:val="00A14938"/>
    <w:rsid w:val="00A330BC"/>
    <w:rsid w:val="00A7389A"/>
    <w:rsid w:val="00A76B5D"/>
    <w:rsid w:val="00AB106C"/>
    <w:rsid w:val="00AF6751"/>
    <w:rsid w:val="00BC5463"/>
    <w:rsid w:val="00C02A97"/>
    <w:rsid w:val="00C52AFF"/>
    <w:rsid w:val="00C87654"/>
    <w:rsid w:val="00CC3803"/>
    <w:rsid w:val="00D942F4"/>
    <w:rsid w:val="00D96B47"/>
    <w:rsid w:val="00DE300B"/>
    <w:rsid w:val="00E07250"/>
    <w:rsid w:val="00E61034"/>
    <w:rsid w:val="00EC433B"/>
    <w:rsid w:val="00ED34BC"/>
    <w:rsid w:val="00EF3CBB"/>
    <w:rsid w:val="00F94C4E"/>
    <w:rsid w:val="00FA12BD"/>
    <w:rsid w:val="00FB79DC"/>
    <w:rsid w:val="01730CDE"/>
    <w:rsid w:val="02CA150E"/>
    <w:rsid w:val="0300092A"/>
    <w:rsid w:val="030F3E6D"/>
    <w:rsid w:val="03157FF6"/>
    <w:rsid w:val="04270403"/>
    <w:rsid w:val="04A23AD7"/>
    <w:rsid w:val="04E8122B"/>
    <w:rsid w:val="05244B59"/>
    <w:rsid w:val="07F26B0E"/>
    <w:rsid w:val="081D72B1"/>
    <w:rsid w:val="089E5151"/>
    <w:rsid w:val="08E475C6"/>
    <w:rsid w:val="09314228"/>
    <w:rsid w:val="09351A48"/>
    <w:rsid w:val="0942192E"/>
    <w:rsid w:val="09BB4712"/>
    <w:rsid w:val="0A443A42"/>
    <w:rsid w:val="0A6D78B3"/>
    <w:rsid w:val="0B466AC3"/>
    <w:rsid w:val="0C2E6972"/>
    <w:rsid w:val="0D5077BE"/>
    <w:rsid w:val="0D972270"/>
    <w:rsid w:val="0DA01BE2"/>
    <w:rsid w:val="0DAF708E"/>
    <w:rsid w:val="0EA03BB9"/>
    <w:rsid w:val="0F74026E"/>
    <w:rsid w:val="0FB02EE6"/>
    <w:rsid w:val="0FF34C11"/>
    <w:rsid w:val="103F11C1"/>
    <w:rsid w:val="10561432"/>
    <w:rsid w:val="10E71038"/>
    <w:rsid w:val="110C7443"/>
    <w:rsid w:val="11562771"/>
    <w:rsid w:val="11834980"/>
    <w:rsid w:val="11D90D72"/>
    <w:rsid w:val="12CB3584"/>
    <w:rsid w:val="132C7419"/>
    <w:rsid w:val="13461F88"/>
    <w:rsid w:val="14777C70"/>
    <w:rsid w:val="151B4301"/>
    <w:rsid w:val="15647297"/>
    <w:rsid w:val="1565539D"/>
    <w:rsid w:val="15B41D83"/>
    <w:rsid w:val="16525605"/>
    <w:rsid w:val="1663351B"/>
    <w:rsid w:val="174E4C23"/>
    <w:rsid w:val="1750216C"/>
    <w:rsid w:val="179D57AB"/>
    <w:rsid w:val="18B17961"/>
    <w:rsid w:val="192B318F"/>
    <w:rsid w:val="19A417B7"/>
    <w:rsid w:val="1A1E487B"/>
    <w:rsid w:val="1A3B2435"/>
    <w:rsid w:val="1A5E2762"/>
    <w:rsid w:val="1A6B02C6"/>
    <w:rsid w:val="1A7954E3"/>
    <w:rsid w:val="1AEC4F67"/>
    <w:rsid w:val="1B070EDC"/>
    <w:rsid w:val="1BB54765"/>
    <w:rsid w:val="1BEF0709"/>
    <w:rsid w:val="1C6E2FB7"/>
    <w:rsid w:val="1D842E68"/>
    <w:rsid w:val="1E1F6BF7"/>
    <w:rsid w:val="1E2B4704"/>
    <w:rsid w:val="20562A02"/>
    <w:rsid w:val="20B37FA3"/>
    <w:rsid w:val="20BF3573"/>
    <w:rsid w:val="20D86258"/>
    <w:rsid w:val="20DD4A99"/>
    <w:rsid w:val="21292C53"/>
    <w:rsid w:val="215E4F0F"/>
    <w:rsid w:val="21776705"/>
    <w:rsid w:val="21EB549F"/>
    <w:rsid w:val="22001A42"/>
    <w:rsid w:val="225613D4"/>
    <w:rsid w:val="22F0649A"/>
    <w:rsid w:val="23BC5A33"/>
    <w:rsid w:val="24285D8F"/>
    <w:rsid w:val="242C216C"/>
    <w:rsid w:val="24E616F5"/>
    <w:rsid w:val="24E70084"/>
    <w:rsid w:val="24FA6475"/>
    <w:rsid w:val="252B2FED"/>
    <w:rsid w:val="25384864"/>
    <w:rsid w:val="25E652BD"/>
    <w:rsid w:val="278A5206"/>
    <w:rsid w:val="278E5496"/>
    <w:rsid w:val="289F4D7D"/>
    <w:rsid w:val="28A279DD"/>
    <w:rsid w:val="28B613A3"/>
    <w:rsid w:val="28F104F6"/>
    <w:rsid w:val="29D41291"/>
    <w:rsid w:val="2A8C7939"/>
    <w:rsid w:val="2B2E1227"/>
    <w:rsid w:val="2B80630B"/>
    <w:rsid w:val="2B917500"/>
    <w:rsid w:val="2BF7282F"/>
    <w:rsid w:val="2C0113CB"/>
    <w:rsid w:val="2D8A136A"/>
    <w:rsid w:val="2E770DFB"/>
    <w:rsid w:val="2E9665FD"/>
    <w:rsid w:val="2F1763DE"/>
    <w:rsid w:val="3002077B"/>
    <w:rsid w:val="300B0291"/>
    <w:rsid w:val="311E625A"/>
    <w:rsid w:val="327D5EDF"/>
    <w:rsid w:val="32BF66DA"/>
    <w:rsid w:val="32CC12ED"/>
    <w:rsid w:val="33324BC0"/>
    <w:rsid w:val="338F36C8"/>
    <w:rsid w:val="33CD2E7D"/>
    <w:rsid w:val="34674742"/>
    <w:rsid w:val="348059AF"/>
    <w:rsid w:val="34A733C3"/>
    <w:rsid w:val="35D16D46"/>
    <w:rsid w:val="36AB48EE"/>
    <w:rsid w:val="36BD2B2B"/>
    <w:rsid w:val="36CB0E19"/>
    <w:rsid w:val="37410FF2"/>
    <w:rsid w:val="377D4BC1"/>
    <w:rsid w:val="37C11B48"/>
    <w:rsid w:val="380C4020"/>
    <w:rsid w:val="38385FFD"/>
    <w:rsid w:val="3915133C"/>
    <w:rsid w:val="396A687C"/>
    <w:rsid w:val="3A1A4EB3"/>
    <w:rsid w:val="3A6C373A"/>
    <w:rsid w:val="3AC30DF9"/>
    <w:rsid w:val="3B3C6E45"/>
    <w:rsid w:val="3B69738B"/>
    <w:rsid w:val="3BA452C2"/>
    <w:rsid w:val="3CAE3F93"/>
    <w:rsid w:val="3CCE2173"/>
    <w:rsid w:val="3CFF26A1"/>
    <w:rsid w:val="3D387759"/>
    <w:rsid w:val="3EE94F30"/>
    <w:rsid w:val="3F570588"/>
    <w:rsid w:val="3F5B111B"/>
    <w:rsid w:val="4059750B"/>
    <w:rsid w:val="40815289"/>
    <w:rsid w:val="40894179"/>
    <w:rsid w:val="408F3EBF"/>
    <w:rsid w:val="409860B0"/>
    <w:rsid w:val="413C6D6B"/>
    <w:rsid w:val="41B42B6F"/>
    <w:rsid w:val="41FE6046"/>
    <w:rsid w:val="42347456"/>
    <w:rsid w:val="42720F81"/>
    <w:rsid w:val="427B2141"/>
    <w:rsid w:val="43587B65"/>
    <w:rsid w:val="44332554"/>
    <w:rsid w:val="44527E3B"/>
    <w:rsid w:val="44A7431B"/>
    <w:rsid w:val="44DA00F4"/>
    <w:rsid w:val="44E419D4"/>
    <w:rsid w:val="458E4325"/>
    <w:rsid w:val="46625214"/>
    <w:rsid w:val="46C85E76"/>
    <w:rsid w:val="46FD5CE6"/>
    <w:rsid w:val="47126E17"/>
    <w:rsid w:val="4837025C"/>
    <w:rsid w:val="486C2D19"/>
    <w:rsid w:val="48C164A5"/>
    <w:rsid w:val="48D96419"/>
    <w:rsid w:val="4907074D"/>
    <w:rsid w:val="49072B3D"/>
    <w:rsid w:val="499E39EC"/>
    <w:rsid w:val="49AA2F42"/>
    <w:rsid w:val="49F43376"/>
    <w:rsid w:val="49F52274"/>
    <w:rsid w:val="4B7D53D4"/>
    <w:rsid w:val="4B802306"/>
    <w:rsid w:val="4BB559D8"/>
    <w:rsid w:val="4BC64CF7"/>
    <w:rsid w:val="4C1E7F82"/>
    <w:rsid w:val="4C915EB9"/>
    <w:rsid w:val="4DE65243"/>
    <w:rsid w:val="4E3E7768"/>
    <w:rsid w:val="4E7B4F9A"/>
    <w:rsid w:val="4EF83924"/>
    <w:rsid w:val="4F4041E0"/>
    <w:rsid w:val="4FA97C0B"/>
    <w:rsid w:val="505C3AA6"/>
    <w:rsid w:val="50CF697A"/>
    <w:rsid w:val="510D7DB6"/>
    <w:rsid w:val="514A65B2"/>
    <w:rsid w:val="517F0763"/>
    <w:rsid w:val="51D1739A"/>
    <w:rsid w:val="527D12F0"/>
    <w:rsid w:val="537222B5"/>
    <w:rsid w:val="539E2A68"/>
    <w:rsid w:val="540E1038"/>
    <w:rsid w:val="54583E48"/>
    <w:rsid w:val="56602BE6"/>
    <w:rsid w:val="56AE3CF8"/>
    <w:rsid w:val="56B35C8C"/>
    <w:rsid w:val="56ED1418"/>
    <w:rsid w:val="57874E14"/>
    <w:rsid w:val="5788198F"/>
    <w:rsid w:val="579532EC"/>
    <w:rsid w:val="579A6409"/>
    <w:rsid w:val="57BD48C8"/>
    <w:rsid w:val="57F4387E"/>
    <w:rsid w:val="58841072"/>
    <w:rsid w:val="58D611A3"/>
    <w:rsid w:val="590B2972"/>
    <w:rsid w:val="59A77C75"/>
    <w:rsid w:val="5A0F1FE2"/>
    <w:rsid w:val="5ACE500F"/>
    <w:rsid w:val="5B777609"/>
    <w:rsid w:val="5B8135BF"/>
    <w:rsid w:val="5D3673BF"/>
    <w:rsid w:val="5D974E3E"/>
    <w:rsid w:val="5D9B4911"/>
    <w:rsid w:val="5FA76FE8"/>
    <w:rsid w:val="5FC17D62"/>
    <w:rsid w:val="601F704F"/>
    <w:rsid w:val="60336F5F"/>
    <w:rsid w:val="60351D24"/>
    <w:rsid w:val="60E56779"/>
    <w:rsid w:val="61241942"/>
    <w:rsid w:val="614C7899"/>
    <w:rsid w:val="61FB341B"/>
    <w:rsid w:val="625E5182"/>
    <w:rsid w:val="62C1521F"/>
    <w:rsid w:val="633E4244"/>
    <w:rsid w:val="63785F66"/>
    <w:rsid w:val="63903F3A"/>
    <w:rsid w:val="64802980"/>
    <w:rsid w:val="64F03848"/>
    <w:rsid w:val="66BD30AA"/>
    <w:rsid w:val="677A293B"/>
    <w:rsid w:val="67A443BD"/>
    <w:rsid w:val="68F776E4"/>
    <w:rsid w:val="6927577B"/>
    <w:rsid w:val="69394480"/>
    <w:rsid w:val="6A023290"/>
    <w:rsid w:val="6AD05FDE"/>
    <w:rsid w:val="6AD65D9C"/>
    <w:rsid w:val="6B095F81"/>
    <w:rsid w:val="6B1B4D90"/>
    <w:rsid w:val="6B4662F0"/>
    <w:rsid w:val="6B47526A"/>
    <w:rsid w:val="6B7E01F7"/>
    <w:rsid w:val="6BC106E2"/>
    <w:rsid w:val="6C2978BD"/>
    <w:rsid w:val="6C53275F"/>
    <w:rsid w:val="6C606AE7"/>
    <w:rsid w:val="6C6A76A4"/>
    <w:rsid w:val="6C740601"/>
    <w:rsid w:val="6DCB0391"/>
    <w:rsid w:val="6DD11E60"/>
    <w:rsid w:val="6E55001A"/>
    <w:rsid w:val="6E653953"/>
    <w:rsid w:val="6E870266"/>
    <w:rsid w:val="6EB35808"/>
    <w:rsid w:val="6ED87861"/>
    <w:rsid w:val="6EEC5CCF"/>
    <w:rsid w:val="6F034D12"/>
    <w:rsid w:val="6F4C3CE0"/>
    <w:rsid w:val="70B062BF"/>
    <w:rsid w:val="70EE2A07"/>
    <w:rsid w:val="71805A0D"/>
    <w:rsid w:val="728218C8"/>
    <w:rsid w:val="72C53241"/>
    <w:rsid w:val="73323209"/>
    <w:rsid w:val="73BF32E5"/>
    <w:rsid w:val="745C21FC"/>
    <w:rsid w:val="748222C0"/>
    <w:rsid w:val="751F698F"/>
    <w:rsid w:val="75216C76"/>
    <w:rsid w:val="76880C59"/>
    <w:rsid w:val="77520CB2"/>
    <w:rsid w:val="77FC1EB0"/>
    <w:rsid w:val="787C5627"/>
    <w:rsid w:val="78DD3E8B"/>
    <w:rsid w:val="78E57C7B"/>
    <w:rsid w:val="79344D9C"/>
    <w:rsid w:val="7973570C"/>
    <w:rsid w:val="799C07A5"/>
    <w:rsid w:val="79AB2C1B"/>
    <w:rsid w:val="79C5370F"/>
    <w:rsid w:val="7A3D5122"/>
    <w:rsid w:val="7B9873A6"/>
    <w:rsid w:val="7BF056D7"/>
    <w:rsid w:val="7C346A84"/>
    <w:rsid w:val="7C9524F8"/>
    <w:rsid w:val="7C9731D2"/>
    <w:rsid w:val="7CE7577C"/>
    <w:rsid w:val="7D670134"/>
    <w:rsid w:val="7D695474"/>
    <w:rsid w:val="7D7C3D3A"/>
    <w:rsid w:val="7DF55347"/>
    <w:rsid w:val="7E64772D"/>
    <w:rsid w:val="7E8E2937"/>
    <w:rsid w:val="7F68316C"/>
    <w:rsid w:val="93B6F8BB"/>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character" w:default="1" w:styleId="9">
    <w:name w:val="Default Paragraph Font"/>
    <w:semiHidden/>
    <w:qFormat/>
    <w:uiPriority w:val="99"/>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正文文字"/>
    <w:basedOn w:val="3"/>
    <w:next w:val="1"/>
    <w:qFormat/>
    <w:uiPriority w:val="99"/>
    <w:pPr>
      <w:spacing w:after="120"/>
    </w:pPr>
  </w:style>
  <w:style w:type="paragraph" w:styleId="3">
    <w:name w:val="Normal Indent"/>
    <w:basedOn w:val="1"/>
    <w:qFormat/>
    <w:uiPriority w:val="0"/>
    <w:pPr>
      <w:ind w:firstLine="420" w:firstLineChars="200"/>
    </w:pPr>
    <w:rPr>
      <w:rFonts w:eastAsia="仿宋_GB2312"/>
      <w:sz w:val="28"/>
    </w:rPr>
  </w:style>
  <w:style w:type="paragraph" w:styleId="4">
    <w:name w:val="Body Text"/>
    <w:basedOn w:val="1"/>
    <w:qFormat/>
    <w:uiPriority w:val="0"/>
    <w:pPr>
      <w:spacing w:after="120" w:afterLines="0"/>
    </w:pPr>
    <w:rPr>
      <w:rFonts w:ascii="Times New Roman" w:hAnsi="Times New Roman" w:eastAsia="宋体" w:cs="Times New Roman"/>
    </w:rPr>
  </w:style>
  <w:style w:type="paragraph" w:styleId="5">
    <w:name w:val="Date"/>
    <w:basedOn w:val="1"/>
    <w:next w:val="1"/>
    <w:link w:val="13"/>
    <w:semiHidden/>
    <w:qFormat/>
    <w:uiPriority w:val="99"/>
    <w:pPr>
      <w:ind w:left="100" w:leftChars="2500"/>
    </w:pPr>
  </w:style>
  <w:style w:type="paragraph" w:styleId="6">
    <w:name w:val="footer"/>
    <w:basedOn w:val="1"/>
    <w:link w:val="12"/>
    <w:qFormat/>
    <w:uiPriority w:val="99"/>
    <w:pPr>
      <w:tabs>
        <w:tab w:val="center" w:pos="4153"/>
        <w:tab w:val="right" w:pos="8306"/>
      </w:tabs>
      <w:snapToGrid w:val="0"/>
      <w:jc w:val="left"/>
    </w:pPr>
    <w:rPr>
      <w:sz w:val="18"/>
      <w:szCs w:val="18"/>
    </w:rPr>
  </w:style>
  <w:style w:type="paragraph" w:styleId="7">
    <w:name w:val="header"/>
    <w:basedOn w:val="1"/>
    <w:link w:val="11"/>
    <w:semiHidden/>
    <w:qFormat/>
    <w:uiPriority w:val="99"/>
    <w:pPr>
      <w:pBdr>
        <w:bottom w:val="single" w:color="auto" w:sz="6" w:space="1"/>
      </w:pBdr>
      <w:tabs>
        <w:tab w:val="center" w:pos="4153"/>
        <w:tab w:val="right" w:pos="8306"/>
      </w:tabs>
      <w:snapToGrid w:val="0"/>
      <w:jc w:val="center"/>
    </w:pPr>
    <w:rPr>
      <w:sz w:val="18"/>
      <w:szCs w:val="18"/>
    </w:rPr>
  </w:style>
  <w:style w:type="character" w:styleId="10">
    <w:name w:val="page number"/>
    <w:basedOn w:val="9"/>
    <w:qFormat/>
    <w:uiPriority w:val="99"/>
  </w:style>
  <w:style w:type="character" w:customStyle="1" w:styleId="11">
    <w:name w:val="Header Char"/>
    <w:basedOn w:val="9"/>
    <w:link w:val="7"/>
    <w:semiHidden/>
    <w:qFormat/>
    <w:locked/>
    <w:uiPriority w:val="99"/>
    <w:rPr>
      <w:sz w:val="18"/>
      <w:szCs w:val="18"/>
    </w:rPr>
  </w:style>
  <w:style w:type="character" w:customStyle="1" w:styleId="12">
    <w:name w:val="Footer Char"/>
    <w:basedOn w:val="9"/>
    <w:link w:val="6"/>
    <w:qFormat/>
    <w:locked/>
    <w:uiPriority w:val="99"/>
    <w:rPr>
      <w:sz w:val="18"/>
      <w:szCs w:val="18"/>
    </w:rPr>
  </w:style>
  <w:style w:type="character" w:customStyle="1" w:styleId="13">
    <w:name w:val="Date Char"/>
    <w:basedOn w:val="9"/>
    <w:link w:val="5"/>
    <w:semiHidden/>
    <w:qFormat/>
    <w:locked/>
    <w:uiPriority w:val="99"/>
  </w:style>
  <w:style w:type="character" w:customStyle="1" w:styleId="14">
    <w:name w:val="font41"/>
    <w:basedOn w:val="9"/>
    <w:qFormat/>
    <w:uiPriority w:val="99"/>
    <w:rPr>
      <w:rFonts w:ascii="宋体" w:hAnsi="宋体" w:eastAsia="宋体" w:cs="宋体"/>
      <w:b/>
      <w:bCs/>
      <w:color w:val="000000"/>
      <w:sz w:val="44"/>
      <w:szCs w:val="44"/>
      <w:u w:val="none"/>
    </w:rPr>
  </w:style>
  <w:style w:type="character" w:customStyle="1" w:styleId="15">
    <w:name w:val="font11"/>
    <w:basedOn w:val="9"/>
    <w:qFormat/>
    <w:uiPriority w:val="99"/>
    <w:rPr>
      <w:rFonts w:ascii="宋体" w:hAnsi="宋体" w:eastAsia="宋体" w:cs="宋体"/>
      <w:b/>
      <w:bCs/>
      <w:color w:val="000000"/>
      <w:sz w:val="32"/>
      <w:szCs w:val="32"/>
      <w:u w:val="none"/>
    </w:rPr>
  </w:style>
  <w:style w:type="paragraph" w:customStyle="1" w:styleId="16">
    <w:name w:val="Body text|1"/>
    <w:basedOn w:val="1"/>
    <w:qFormat/>
    <w:uiPriority w:val="99"/>
    <w:pPr>
      <w:widowControl w:val="0"/>
      <w:adjustRightInd/>
      <w:snapToGrid/>
      <w:spacing w:after="0" w:line="386" w:lineRule="auto"/>
      <w:ind w:firstLine="400"/>
    </w:pPr>
    <w:rPr>
      <w:rFonts w:ascii="宋体" w:hAnsi="宋体" w:eastAsia="宋体" w:cs="宋体"/>
      <w:sz w:val="30"/>
      <w:szCs w:val="30"/>
      <w:lang w:val="zh-TW" w:eastAsia="zh-TW"/>
    </w:rPr>
  </w:style>
  <w:style w:type="character" w:customStyle="1" w:styleId="17">
    <w:name w:val="NormalCharacter"/>
    <w:semiHidden/>
    <w:qFormat/>
    <w:uiPriority w:val="0"/>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Microsoft</Company>
  <Pages>3</Pages>
  <Words>738</Words>
  <Characters>777</Characters>
  <Lines>0</Lines>
  <Paragraphs>0</Paragraphs>
  <TotalTime>4</TotalTime>
  <ScaleCrop>false</ScaleCrop>
  <LinksUpToDate>false</LinksUpToDate>
  <CharactersWithSpaces>779</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2019-01-15T11:17:00Z</dcterms:created>
  <dc:creator>Windows 用户</dc:creator>
  <cp:lastModifiedBy>user</cp:lastModifiedBy>
  <cp:lastPrinted>2023-08-28T15:21:00Z</cp:lastPrinted>
  <dcterms:modified xsi:type="dcterms:W3CDTF">2024-11-19T10:41:00Z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y fmtid="{D5CDD505-2E9C-101B-9397-08002B2CF9AE}" pid="3" name="ICV">
    <vt:lpwstr>D046AB22908C472C8AD60C17670F1370</vt:lpwstr>
  </property>
</Properties>
</file>