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A025C">
      <w:pPr>
        <w:pStyle w:val="16"/>
        <w:jc w:val="both"/>
        <w:rPr>
          <w:rFonts w:ascii="Times New Roman" w:hAnsi="Times New Roman" w:cs="Times New Roman"/>
          <w:sz w:val="56"/>
          <w:szCs w:val="56"/>
        </w:rPr>
      </w:pPr>
    </w:p>
    <w:p w14:paraId="4D1C2BB0">
      <w:pPr>
        <w:pStyle w:val="16"/>
        <w:jc w:val="both"/>
        <w:rPr>
          <w:rFonts w:ascii="Times New Roman" w:hAnsi="Times New Roman" w:cs="Times New Roman"/>
          <w:sz w:val="56"/>
          <w:szCs w:val="56"/>
        </w:rPr>
      </w:pPr>
    </w:p>
    <w:p w14:paraId="68164AAA">
      <w:pPr>
        <w:pStyle w:val="16"/>
        <w:jc w:val="both"/>
        <w:rPr>
          <w:rFonts w:ascii="Times New Roman" w:hAnsi="Times New Roman" w:cs="Times New Roman"/>
          <w:sz w:val="84"/>
          <w:szCs w:val="84"/>
        </w:rPr>
      </w:pPr>
    </w:p>
    <w:p w14:paraId="27C9D4CE">
      <w:pPr>
        <w:pStyle w:val="16"/>
        <w:jc w:val="center"/>
        <w:rPr>
          <w:rFonts w:ascii="Times New Roman" w:hAnsi="Times New Roman" w:eastAsia="方正小标宋简体" w:cs="Times New Roman"/>
          <w:sz w:val="76"/>
          <w:szCs w:val="76"/>
        </w:rPr>
      </w:pPr>
    </w:p>
    <w:p w14:paraId="6E702777">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0536A3EC">
      <w:pPr>
        <w:pStyle w:val="16"/>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株洲市石峰区信访局</w:t>
      </w:r>
    </w:p>
    <w:p w14:paraId="0B800F2F">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5E43685">
      <w:pPr>
        <w:pStyle w:val="16"/>
        <w:jc w:val="both"/>
        <w:rPr>
          <w:rFonts w:ascii="Times New Roman" w:hAnsi="Times New Roman" w:cs="Times New Roman"/>
          <w:sz w:val="32"/>
          <w:szCs w:val="32"/>
        </w:rPr>
      </w:pPr>
    </w:p>
    <w:p w14:paraId="2E4C1717">
      <w:pPr>
        <w:pStyle w:val="16"/>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center"/>
        <w:textAlignment w:val="auto"/>
        <w:rPr>
          <w:rFonts w:ascii="Times New Roman" w:hAnsi="Times New Roman" w:cs="Times New Roman"/>
          <w:sz w:val="44"/>
          <w:szCs w:val="44"/>
        </w:rPr>
      </w:pPr>
      <w:r>
        <w:rPr>
          <w:rFonts w:ascii="Times New Roman" w:hAnsi="Times New Roman" w:cs="Times New Roman"/>
          <w:sz w:val="32"/>
          <w:szCs w:val="32"/>
        </w:rPr>
        <w:br w:type="page"/>
      </w:r>
      <w:r>
        <w:rPr>
          <w:rFonts w:ascii="Times New Roman" w:hAnsi="Times New Roman" w:cs="Times New Roman"/>
          <w:sz w:val="44"/>
          <w:szCs w:val="44"/>
        </w:rPr>
        <w:t>目录</w:t>
      </w:r>
    </w:p>
    <w:p w14:paraId="31B0F666">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cs="Times New Roman"/>
          <w:sz w:val="32"/>
          <w:szCs w:val="32"/>
        </w:rPr>
      </w:pPr>
    </w:p>
    <w:p w14:paraId="666CBD22">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株洲市石峰区信访局</w:t>
      </w:r>
      <w:r>
        <w:rPr>
          <w:rFonts w:ascii="Times New Roman" w:hAnsi="Times New Roman" w:cs="Times New Roman"/>
          <w:sz w:val="32"/>
          <w:szCs w:val="32"/>
        </w:rPr>
        <w:t>概况</w:t>
      </w:r>
    </w:p>
    <w:p w14:paraId="724C8B15">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8D812D8">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487711E3">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76986C70">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8DF7E72">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4139FA5">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14B6E64">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7A89BB0">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7E397F6">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75E54DE">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5056776D">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34096DCB">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513291B0">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64ED2BA8">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73C1E59">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9576B04">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90CA586">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27E056E">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5A86195">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4E1CA8A">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5ADEB5E2">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21150F1">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1B1EFA9A">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46056026">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2A064F7E">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1E90F7F2">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69D2634">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4D5F8B0A">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7BC80AB0">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第四部分  名词解释</w:t>
      </w:r>
    </w:p>
    <w:p w14:paraId="37C3A540">
      <w:pPr>
        <w:pStyle w:val="16"/>
        <w:keepNext w:val="0"/>
        <w:keepLines w:val="0"/>
        <w:pageBreakBefore w:val="0"/>
        <w:widowControl w:val="0"/>
        <w:kinsoku/>
        <w:wordWrap/>
        <w:overflowPunct/>
        <w:topLinePunct w:val="0"/>
        <w:bidi w:val="0"/>
        <w:snapToGrid/>
        <w:spacing w:line="44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第五部分  附件</w:t>
      </w:r>
    </w:p>
    <w:p w14:paraId="72471629">
      <w:pPr>
        <w:pStyle w:val="16"/>
        <w:keepNext w:val="0"/>
        <w:keepLines w:val="0"/>
        <w:pageBreakBefore w:val="0"/>
        <w:widowControl w:val="0"/>
        <w:kinsoku/>
        <w:wordWrap/>
        <w:overflowPunct/>
        <w:topLinePunct w:val="0"/>
        <w:bidi w:val="0"/>
        <w:snapToGrid/>
        <w:spacing w:line="440" w:lineRule="exact"/>
        <w:jc w:val="both"/>
        <w:textAlignment w:val="auto"/>
        <w:rPr>
          <w:rFonts w:ascii="Times New Roman" w:hAnsi="Times New Roman" w:cs="Times New Roman"/>
          <w:sz w:val="84"/>
          <w:szCs w:val="84"/>
        </w:rPr>
      </w:pPr>
      <w:r>
        <w:rPr>
          <w:rFonts w:ascii="Times New Roman" w:hAnsi="Times New Roman" w:cs="Times New Roman"/>
          <w:sz w:val="84"/>
          <w:szCs w:val="84"/>
        </w:rPr>
        <w:br w:type="page"/>
      </w:r>
    </w:p>
    <w:p w14:paraId="7452A335">
      <w:pPr>
        <w:pStyle w:val="16"/>
        <w:jc w:val="both"/>
        <w:rPr>
          <w:rFonts w:ascii="Times New Roman" w:hAnsi="Times New Roman" w:cs="Times New Roman"/>
          <w:sz w:val="84"/>
          <w:szCs w:val="84"/>
        </w:rPr>
      </w:pPr>
    </w:p>
    <w:p w14:paraId="4A82AAAC">
      <w:pPr>
        <w:pStyle w:val="16"/>
        <w:jc w:val="both"/>
        <w:rPr>
          <w:rFonts w:ascii="Times New Roman" w:hAnsi="Times New Roman" w:cs="Times New Roman"/>
          <w:sz w:val="84"/>
          <w:szCs w:val="84"/>
        </w:rPr>
      </w:pPr>
    </w:p>
    <w:p w14:paraId="24D85CD4">
      <w:pPr>
        <w:pStyle w:val="16"/>
        <w:jc w:val="center"/>
        <w:rPr>
          <w:rFonts w:ascii="Times New Roman" w:hAnsi="Times New Roman" w:eastAsia="方正小标宋简体" w:cs="Times New Roman"/>
          <w:w w:val="90"/>
          <w:sz w:val="76"/>
          <w:szCs w:val="76"/>
        </w:rPr>
      </w:pPr>
    </w:p>
    <w:p w14:paraId="5C2C8D8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3FB24AC5">
      <w:pPr>
        <w:pStyle w:val="16"/>
        <w:jc w:val="center"/>
        <w:rPr>
          <w:rFonts w:ascii="Times New Roman" w:hAnsi="Times New Roman" w:eastAsia="方正小标宋简体" w:cs="Times New Roman"/>
          <w:sz w:val="76"/>
          <w:szCs w:val="76"/>
        </w:rPr>
      </w:pPr>
    </w:p>
    <w:p w14:paraId="4EF1C8A4">
      <w:pPr>
        <w:pStyle w:val="16"/>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6"/>
          <w:szCs w:val="76"/>
          <w:lang w:eastAsia="zh-CN"/>
        </w:rPr>
        <w:t>株洲市石峰区信访局</w:t>
      </w:r>
    </w:p>
    <w:p w14:paraId="5D02395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51EF5A12">
      <w:pPr>
        <w:pStyle w:val="17"/>
        <w:keepNext w:val="0"/>
        <w:keepLines w:val="0"/>
        <w:pageBreakBefore w:val="0"/>
        <w:widowControl w:val="0"/>
        <w:numPr>
          <w:ilvl w:val="0"/>
          <w:numId w:val="1"/>
        </w:numPr>
        <w:kinsoku/>
        <w:wordWrap/>
        <w:overflowPunct/>
        <w:topLinePunct w:val="0"/>
        <w:autoSpaceDE/>
        <w:autoSpaceDN/>
        <w:bidi w:val="0"/>
        <w:snapToGrid/>
        <w:spacing w:beforeAutospacing="0" w:line="520" w:lineRule="exact"/>
        <w:ind w:left="0" w:leftChars="0" w:right="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3DB7DFAA">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株洲市石峰区信访局的主要职责是：</w:t>
      </w:r>
    </w:p>
    <w:p w14:paraId="7EB406FB">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（一）负责处理人民群众给区委、区政府的来信、来电，接待群众来访， 及时、准确地向区委、区政府领导反映来信来访中提出的重要建议、意见和问题;综合分析信访信息，开展调查研究，提出制定有关政策规定的建议。</w:t>
      </w:r>
    </w:p>
    <w:p w14:paraId="771A55F5">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（二）承办上级领导机关及其信访部门和区委、区政府交办、转办的信访事项，督促检查领导批示件的落实情况;根据领导意见，向有关单位交办、转办相关信访事项，督促检查重要信访事项的处理和落实。</w:t>
      </w:r>
    </w:p>
    <w:p w14:paraId="338F9287">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（三）协调处理跨地区、跨部门的重要信访问题;应急协调处理群众赴京去省到市上访和异常、突发信访事件;督促检查信访老户问题和重要信访案件的调查处理。</w:t>
      </w:r>
    </w:p>
    <w:p w14:paraId="1F51A25F">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（四）检查、指导、协调各街道和区直机关各部门、各单位的信访工作; 参与研究、起草本区有关信访工作的政策规定;负责组织实施对全区信访工作的目标管理;总结推广信访工作的经验，提出改进和加强信访工作的意见和建议。</w:t>
      </w:r>
    </w:p>
    <w:p w14:paraId="2E8EA89D">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（五）负责征集人民群众的建议，筛选重要建议，提供给区委、区政府参考;对带有全局性的或涉及面较大的重要信访问题开展调查研究，提出解决问题的方案或建议。</w:t>
      </w:r>
    </w:p>
    <w:p w14:paraId="2CE28680">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（六）了解全区信访工作队伍建设情况，组织信访干部的培训;指导全区信访部门办公自动化建设。</w:t>
      </w:r>
    </w:p>
    <w:p w14:paraId="0F982BEF">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（七）负责信访工作的宣传和信息发布。</w:t>
      </w:r>
    </w:p>
    <w:p w14:paraId="18CDA016">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（八）负责信访工作联席会议办公室具体工作，督查落实处理信访工作联席会议决定的事项。</w:t>
      </w:r>
    </w:p>
    <w:p w14:paraId="334322F2">
      <w:pPr>
        <w:pStyle w:val="17"/>
        <w:keepNext w:val="0"/>
        <w:keepLines w:val="0"/>
        <w:pageBreakBefore w:val="0"/>
        <w:widowControl w:val="0"/>
        <w:kinsoku/>
        <w:wordWrap/>
        <w:overflowPunct/>
        <w:topLinePunct w:val="0"/>
        <w:autoSpaceDE/>
        <w:autoSpaceDN/>
        <w:bidi w:val="0"/>
        <w:adjustRightInd/>
        <w:snapToGrid/>
        <w:spacing w:beforeAutospacing="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（九）承办区委、区政府交办的其他任务。</w:t>
      </w:r>
    </w:p>
    <w:p w14:paraId="2A8E2CDE">
      <w:pPr>
        <w:keepNext w:val="0"/>
        <w:keepLines w:val="0"/>
        <w:pageBreakBefore w:val="0"/>
        <w:widowControl w:val="0"/>
        <w:numPr>
          <w:ilvl w:val="0"/>
          <w:numId w:val="1"/>
        </w:numPr>
        <w:kinsoku/>
        <w:wordWrap/>
        <w:overflowPunct/>
        <w:topLinePunct w:val="0"/>
        <w:autoSpaceDE/>
        <w:autoSpaceDN/>
        <w:bidi w:val="0"/>
        <w:snapToGrid/>
        <w:spacing w:beforeAutospacing="0" w:line="520" w:lineRule="exact"/>
        <w:ind w:left="0" w:leftChars="0" w:right="0" w:firstLine="640" w:firstLineChars="200"/>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7F6BB24D">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（一）内设机构设置。株洲市石峰区信访局内设机构包括：区信访接访服务中心。</w:t>
      </w:r>
    </w:p>
    <w:p w14:paraId="41541E48">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我单位属于一级单位，石峰区一级预算单位，现有预算单位 1 个。本部门共有行政编制 4 名；事业编 4 名；工勤人员编制0名。实有人数7人，其中：在职人员 7人，离休 0 人，退休6人。我局下属事业单位 1 个，为区信访接访服务中心。纳入本年部门决算编制范围。</w:t>
      </w:r>
    </w:p>
    <w:p w14:paraId="67452F0C">
      <w:pPr>
        <w:keepNext w:val="0"/>
        <w:keepLines w:val="0"/>
        <w:pageBreakBefore w:val="0"/>
        <w:widowControl w:val="0"/>
        <w:numPr>
          <w:ilvl w:val="0"/>
          <w:numId w:val="2"/>
        </w:numPr>
        <w:kinsoku/>
        <w:wordWrap/>
        <w:overflowPunct/>
        <w:topLinePunct w:val="0"/>
        <w:autoSpaceDE/>
        <w:autoSpaceDN/>
        <w:bidi w:val="0"/>
        <w:adjustRightInd/>
        <w:snapToGrid/>
        <w:spacing w:beforeAutospacing="0" w:line="520" w:lineRule="exact"/>
        <w:ind w:left="0" w:leftChars="0" w:right="0" w:firstLine="640" w:firstLineChars="200"/>
        <w:textAlignment w:val="auto"/>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14:paraId="3AB47717">
      <w:pPr>
        <w:pStyle w:val="16"/>
        <w:keepNext w:val="0"/>
        <w:keepLines w:val="0"/>
        <w:pageBreakBefore w:val="0"/>
        <w:widowControl w:val="0"/>
        <w:kinsoku/>
        <w:wordWrap/>
        <w:overflowPunct/>
        <w:topLinePunct w:val="0"/>
        <w:autoSpaceDE/>
        <w:autoSpaceDN/>
        <w:bidi w:val="0"/>
        <w:snapToGrid/>
        <w:spacing w:beforeAutospacing="0" w:line="520" w:lineRule="exact"/>
        <w:ind w:left="0" w:leftChars="0" w:right="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sectPr>
          <w:pgSz w:w="11900" w:h="16820"/>
          <w:pgMar w:top="1984" w:right="1531" w:bottom="1701" w:left="1531" w:header="720" w:footer="720" w:gutter="0"/>
          <w:cols w:space="720" w:num="1"/>
        </w:sectPr>
      </w:pPr>
      <w:r>
        <w:rPr>
          <w:rFonts w:hint="eastAsia" w:ascii="Times New Roman" w:hAnsi="Times New Roman" w:eastAsia="仿宋_GB2312" w:cs="仿宋_GB2312"/>
          <w:color w:val="000000"/>
          <w:kern w:val="0"/>
          <w:sz w:val="32"/>
          <w:szCs w:val="32"/>
          <w:lang w:val="en-US" w:eastAsia="zh-CN" w:bidi="ar-SA"/>
        </w:rPr>
        <w:t>株洲市石峰区信访局2023年部门决算汇总公开单位构成包括：株洲市石峰区信访局本级，我单位没有其他二级决算单位。</w:t>
      </w:r>
    </w:p>
    <w:p w14:paraId="01E1B01E">
      <w:pPr>
        <w:pStyle w:val="16"/>
        <w:jc w:val="both"/>
        <w:rPr>
          <w:rFonts w:ascii="Times New Roman" w:hAnsi="Times New Roman" w:cs="Times New Roman"/>
          <w:sz w:val="84"/>
          <w:szCs w:val="84"/>
        </w:rPr>
      </w:pPr>
    </w:p>
    <w:p w14:paraId="104F1127">
      <w:pPr>
        <w:pStyle w:val="16"/>
        <w:jc w:val="both"/>
        <w:rPr>
          <w:rFonts w:ascii="Times New Roman" w:hAnsi="Times New Roman" w:cs="Times New Roman"/>
          <w:sz w:val="84"/>
          <w:szCs w:val="84"/>
        </w:rPr>
      </w:pPr>
    </w:p>
    <w:p w14:paraId="5BD33C6D">
      <w:pPr>
        <w:pStyle w:val="16"/>
        <w:jc w:val="both"/>
        <w:rPr>
          <w:rFonts w:ascii="Times New Roman" w:hAnsi="Times New Roman" w:cs="Times New Roman"/>
          <w:sz w:val="84"/>
          <w:szCs w:val="84"/>
        </w:rPr>
      </w:pPr>
    </w:p>
    <w:p w14:paraId="3EB39BD8">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7649AF8C">
      <w:pPr>
        <w:pStyle w:val="16"/>
        <w:jc w:val="center"/>
        <w:rPr>
          <w:rFonts w:ascii="Times New Roman" w:hAnsi="Times New Roman" w:eastAsia="方正小标宋简体" w:cs="Times New Roman"/>
          <w:sz w:val="76"/>
          <w:szCs w:val="76"/>
        </w:rPr>
      </w:pPr>
    </w:p>
    <w:p w14:paraId="78EE0DC9">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579EE307">
      <w:pPr>
        <w:rPr>
          <w:rFonts w:ascii="Times New Roman" w:hAnsi="Times New Roman" w:eastAsia="仿宋_GB2312" w:cs="Times New Roman"/>
          <w:sz w:val="72"/>
          <w:szCs w:val="72"/>
        </w:rPr>
      </w:pPr>
    </w:p>
    <w:p w14:paraId="13B5C701">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7CFC6DC5">
      <w:pPr>
        <w:pStyle w:val="16"/>
        <w:jc w:val="both"/>
        <w:rPr>
          <w:rFonts w:ascii="Times New Roman" w:hAnsi="Times New Roman" w:cs="Times New Roman"/>
          <w:sz w:val="84"/>
          <w:szCs w:val="84"/>
        </w:rPr>
      </w:pPr>
    </w:p>
    <w:p w14:paraId="1A790B8E">
      <w:pPr>
        <w:pStyle w:val="16"/>
        <w:jc w:val="both"/>
        <w:rPr>
          <w:rFonts w:ascii="Times New Roman" w:hAnsi="Times New Roman" w:cs="Times New Roman"/>
          <w:sz w:val="84"/>
          <w:szCs w:val="84"/>
        </w:rPr>
      </w:pPr>
    </w:p>
    <w:p w14:paraId="0A34FA97">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5F65C822">
      <w:pPr>
        <w:pStyle w:val="16"/>
        <w:jc w:val="center"/>
        <w:rPr>
          <w:rFonts w:ascii="Times New Roman" w:hAnsi="Times New Roman" w:eastAsia="方正小标宋简体" w:cs="Times New Roman"/>
          <w:sz w:val="76"/>
          <w:szCs w:val="76"/>
        </w:rPr>
      </w:pPr>
    </w:p>
    <w:p w14:paraId="368C87D3">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136C51AB">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71FFFA8E">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2023年度收、支总计342.41万元。与上年相比，增加92.09万元，增加26.89%，主要是因为项目、人员增加，经费增加。</w:t>
      </w:r>
    </w:p>
    <w:p w14:paraId="79AA6697">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570" w:lineRule="exact"/>
        <w:ind w:left="0" w:leftChars="0"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收入决算情况说明</w:t>
      </w:r>
    </w:p>
    <w:p w14:paraId="4EAAD6D5">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2023年度收入合计342.41万元，其中：财政拨款收入301.81万元，占88.14%；上级补助收入0万元，占0%；事业收入0万元，占0%；经营收入0万元，占0%；附属单位上缴收入0万元，占0%；其他收入40.60万元，占11.86%。</w:t>
      </w:r>
    </w:p>
    <w:p w14:paraId="2F638AB6">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570" w:lineRule="exact"/>
        <w:ind w:left="0" w:leftChars="0"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支出决算情况说明</w:t>
      </w:r>
    </w:p>
    <w:p w14:paraId="681FD8AA">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2023年度支出合计342.41万元，其中：基本支出201.65万元，占58.89%；项目支出140.76万元，占41.11%。</w:t>
      </w:r>
    </w:p>
    <w:p w14:paraId="75034643">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570" w:lineRule="exact"/>
        <w:ind w:left="0" w:leftChars="0"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7978CEDD">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2023年度财政拨款收、支总计301.81万元，与上年相比，增加120.38万元,增加66.35%，主要是因为项目经费增加，人员增加。</w:t>
      </w:r>
    </w:p>
    <w:p w14:paraId="48E9FCAA">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245093DB">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16FB26AB">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2023年度财政拨款支出301.81万元，占本年支出合计的88.14%，与上年相比，财政拨款支出增加120.38万元，增加66.35%，主要是因为项目经费增加，人员增加。</w:t>
      </w:r>
    </w:p>
    <w:p w14:paraId="4A3EC486">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hint="eastAsia" w:ascii="Times New Roman" w:hAnsi="Times New Roman" w:eastAsia="楷体_GB2312" w:cs="Times New Roman"/>
          <w:b/>
          <w:color w:val="000000"/>
          <w:kern w:val="0"/>
          <w:sz w:val="32"/>
          <w:szCs w:val="32"/>
          <w:lang w:eastAsia="zh-CN"/>
        </w:rPr>
        <w:t>（二）</w:t>
      </w:r>
      <w:r>
        <w:rPr>
          <w:rFonts w:ascii="Times New Roman" w:hAnsi="Times New Roman" w:eastAsia="楷体_GB2312" w:cs="Times New Roman"/>
          <w:b/>
          <w:color w:val="000000"/>
          <w:kern w:val="0"/>
          <w:sz w:val="32"/>
          <w:szCs w:val="32"/>
        </w:rPr>
        <w:t>财政拨款支出决算结构情况</w:t>
      </w:r>
    </w:p>
    <w:p w14:paraId="066833DC">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2023年度财政拨款支出301.81万元，主要用于以下方面：一般公共服务（类）支出301.81万元，占100%。</w:t>
      </w:r>
    </w:p>
    <w:p w14:paraId="448F279E">
      <w:pPr>
        <w:pStyle w:val="7"/>
        <w:keepNext w:val="0"/>
        <w:keepLines w:val="0"/>
        <w:pageBreakBefore w:val="0"/>
        <w:widowControl w:val="0"/>
        <w:numPr>
          <w:ilvl w:val="0"/>
          <w:numId w:val="4"/>
        </w:numPr>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0E506752">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2023年度财政拨款支出年初预算数为184.37万元，支出决算数为301.81万元，完成年初预算的163.70%，其中：</w:t>
      </w:r>
    </w:p>
    <w:p w14:paraId="7CD5593C">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1、一般公共服务支出（类）政府办公厅（室）及相关机构事务（款）行政运行（项）。</w:t>
      </w:r>
    </w:p>
    <w:p w14:paraId="2E82B9E0">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年初预算为0万元，支出决算为161.05万元，完成年初预算的100%，决算数大于年初预算数的主要原因是：对支出项目进行了调整。</w:t>
      </w:r>
    </w:p>
    <w:p w14:paraId="2F05C2B2">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2、一般公共服务支出（类）政府办公厅（室）及相关机构事务（款）信访事务（项）。</w:t>
      </w:r>
    </w:p>
    <w:p w14:paraId="0F485BD9">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年初预算为184.37万元，支出决算为140.60万元，完成年初预算的76.26%，决算数小于年初预算数的主要原因是：对支出项目进行了调整。</w:t>
      </w:r>
    </w:p>
    <w:p w14:paraId="0624CF94">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3、一般公共服务支出（类）政府办公厅（室）及相关机构事务（款）其他政府办公厅（室）及相关机构事务支出（项）。</w:t>
      </w:r>
    </w:p>
    <w:p w14:paraId="79BDBE29">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年初预算为0万元，支出决算为0.16万元，完成年初预算的100%，决算数大于年初预算数的主要原因是：对支出项目进行了调整。</w:t>
      </w:r>
    </w:p>
    <w:p w14:paraId="11A0DAA3">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441810F7">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基本支出161.05万元，其中：人员经费144.56万元，占基本支出的89.76%,主要包括基本工资、津贴补贴、奖金、伙食补助费、机关事业单位基本养老保险缴费、职业年金缴费等；公用经费16.49万元，占基本支出的10.24%，主要包括办公费、印刷费、邮电费、培训费、专用材料费、劳务费等。</w:t>
      </w:r>
    </w:p>
    <w:p w14:paraId="42D28EB9">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33B3FB7F">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5A6BD60F">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2023年度“三公”经费财政拨款支出预算为0万元，支出决算为0万元，决算数等于预算数,其中：</w:t>
      </w:r>
    </w:p>
    <w:p w14:paraId="1C03D9BC">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因公出国（境）费支出预算为0万元，支出决算为0万元，0决算数等于预算数0。</w:t>
      </w:r>
    </w:p>
    <w:p w14:paraId="25DFD783">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公务接待费支出预算为0万元，支出决算为0万元，决算数等于预算数。</w:t>
      </w:r>
    </w:p>
    <w:p w14:paraId="43986DA1">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公务用车购置费支出预算为0万元，支出决算为0万元，决算数等于预算数。</w:t>
      </w:r>
    </w:p>
    <w:p w14:paraId="0BFFA11D">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公务用车运行维护费支出预算为0万元，支出决算为0万元，决算数等于预算数。</w:t>
      </w:r>
    </w:p>
    <w:p w14:paraId="2697C1B9">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8BE8B85">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2023年度“三公”经费财政拨款支出决算中，公务接待费支出决算0万元，占0%,因公出国（境）费支出决算0万元，占0%,公务用车购置费及运行维护费支出决算0万元，占0%。其中：</w:t>
      </w:r>
    </w:p>
    <w:p w14:paraId="49AD49A1">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 xml:space="preserve">1、因公出国（境）费支出决算为0万元，全年安排因公出国（境）团组0个，累计0人次。    </w:t>
      </w:r>
    </w:p>
    <w:p w14:paraId="7D0CB73E">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2、公务接待费支出决算为0万元，全年共接待来访团组0个、来宾0人次。</w:t>
      </w:r>
    </w:p>
    <w:p w14:paraId="1CA96702">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3、公务用车购置费及运行维护费支出决算为0万元，其中：公务用车购置费0万元，购置公务用车0辆。公务用车运行维护费0万元，截止2023年12月31日，我单位开支财政拨款的公务用车保有量为0辆。</w:t>
      </w:r>
    </w:p>
    <w:p w14:paraId="065B52DF">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34F59F6F">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2023年度政府性基金预算财政拨款收入0万元；年初结转和结余0万元；支出0万元，其中基本支出0万元，项目支出0万元；年末结转和结余0万元。</w:t>
      </w:r>
    </w:p>
    <w:p w14:paraId="3AB7E679">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4348629B">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2023年度本单位没有使用国有资本经营预算安排的支出。</w:t>
      </w:r>
    </w:p>
    <w:p w14:paraId="37DD543F">
      <w:pPr>
        <w:pStyle w:val="7"/>
        <w:keepNext w:val="0"/>
        <w:keepLines w:val="0"/>
        <w:pageBreakBefore w:val="0"/>
        <w:widowControl w:val="0"/>
        <w:numPr>
          <w:ilvl w:val="0"/>
          <w:numId w:val="5"/>
        </w:numPr>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37901356">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本部门2023年度机关运行经费支出16.49万元，比上年决算数增加4.49万元，增加37.42%。主要原因是人员增加，经费增加。</w:t>
      </w:r>
    </w:p>
    <w:p w14:paraId="5FF0EDFB">
      <w:pPr>
        <w:pStyle w:val="7"/>
        <w:keepNext w:val="0"/>
        <w:keepLines w:val="0"/>
        <w:pageBreakBefore w:val="0"/>
        <w:widowControl w:val="0"/>
        <w:numPr>
          <w:ilvl w:val="0"/>
          <w:numId w:val="5"/>
        </w:numPr>
        <w:kinsoku/>
        <w:wordWrap/>
        <w:overflowPunct/>
        <w:topLinePunct w:val="0"/>
        <w:autoSpaceDE w:val="0"/>
        <w:autoSpaceDN w:val="0"/>
        <w:bidi w:val="0"/>
        <w:adjustRightInd w:val="0"/>
        <w:snapToGrid/>
        <w:spacing w:line="570" w:lineRule="exact"/>
        <w:ind w:left="0" w:leftChars="0" w:firstLine="640" w:firstLineChars="200"/>
        <w:jc w:val="both"/>
        <w:textAlignment w:val="auto"/>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3919DBE4">
      <w:pPr>
        <w:pStyle w:val="16"/>
        <w:keepNext w:val="0"/>
        <w:keepLines w:val="0"/>
        <w:pageBreakBefore w:val="0"/>
        <w:widowControl w:val="0"/>
        <w:kinsoku/>
        <w:wordWrap/>
        <w:overflowPunct/>
        <w:topLinePunct w:val="0"/>
        <w:autoSpaceDE w:val="0"/>
        <w:autoSpaceDN w:val="0"/>
        <w:bidi w:val="0"/>
        <w:adjustRightInd w:val="0"/>
        <w:snapToGrid/>
        <w:ind w:leftChars="0" w:firstLine="640" w:firstLineChars="200"/>
        <w:jc w:val="both"/>
        <w:textAlignment w:val="auto"/>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2023年本部门开支会议费0万元；开支培训费0万元。</w:t>
      </w:r>
    </w:p>
    <w:p w14:paraId="3EA10D81">
      <w:pPr>
        <w:pStyle w:val="7"/>
        <w:keepNext w:val="0"/>
        <w:keepLines w:val="0"/>
        <w:pageBreakBefore w:val="0"/>
        <w:widowControl w:val="0"/>
        <w:numPr>
          <w:ilvl w:val="0"/>
          <w:numId w:val="5"/>
        </w:numPr>
        <w:kinsoku/>
        <w:wordWrap/>
        <w:overflowPunct/>
        <w:topLinePunct w:val="0"/>
        <w:autoSpaceDE w:val="0"/>
        <w:autoSpaceDN w:val="0"/>
        <w:bidi w:val="0"/>
        <w:adjustRightInd w:val="0"/>
        <w:snapToGrid/>
        <w:spacing w:line="570" w:lineRule="exact"/>
        <w:ind w:left="0" w:leftChars="0" w:firstLine="640" w:firstLineChars="200"/>
        <w:jc w:val="both"/>
        <w:textAlignment w:val="auto"/>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1C076180">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本部门2023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68B2CF6B">
      <w:pPr>
        <w:pStyle w:val="16"/>
        <w:keepNext w:val="0"/>
        <w:keepLines w:val="0"/>
        <w:pageBreakBefore w:val="0"/>
        <w:widowControl w:val="0"/>
        <w:numPr>
          <w:ilvl w:val="0"/>
          <w:numId w:val="5"/>
        </w:numPr>
        <w:kinsoku/>
        <w:wordWrap/>
        <w:overflowPunct/>
        <w:topLinePunct w:val="0"/>
        <w:autoSpaceDE w:val="0"/>
        <w:autoSpaceDN w:val="0"/>
        <w:bidi w:val="0"/>
        <w:adjustRightInd w:val="0"/>
        <w:snapToGrid/>
        <w:ind w:left="0" w:leftChars="0" w:firstLine="640" w:firstLineChars="200"/>
        <w:jc w:val="both"/>
        <w:textAlignment w:val="auto"/>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287AE528">
      <w:pPr>
        <w:pStyle w:val="16"/>
        <w:keepNext w:val="0"/>
        <w:keepLines w:val="0"/>
        <w:pageBreakBefore w:val="0"/>
        <w:widowControl w:val="0"/>
        <w:numPr>
          <w:ilvl w:val="0"/>
          <w:numId w:val="0"/>
        </w:numPr>
        <w:kinsoku/>
        <w:wordWrap/>
        <w:overflowPunct/>
        <w:topLinePunct w:val="0"/>
        <w:autoSpaceDE w:val="0"/>
        <w:autoSpaceDN w:val="0"/>
        <w:bidi w:val="0"/>
        <w:adjustRightInd w:val="0"/>
        <w:snapToGrid/>
        <w:ind w:leftChars="0" w:firstLine="640" w:firstLineChars="200"/>
        <w:jc w:val="both"/>
        <w:textAlignment w:val="auto"/>
        <w:rPr>
          <w:rFonts w:ascii="Times New Roman" w:hAnsi="Times New Roman" w:cs="Times New Roman"/>
          <w:sz w:val="32"/>
          <w:szCs w:val="32"/>
        </w:rPr>
      </w:pPr>
      <w:r>
        <w:rPr>
          <w:rFonts w:hint="eastAsia" w:ascii="Times New Roman" w:hAnsi="Times New Roman" w:eastAsia="仿宋_GB2312" w:cs="仿宋_GB2312"/>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172CA78D">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079EBEB7">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115956F7">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hint="eastAsia" w:ascii="仿宋_GB2312" w:hAnsi="仿宋_GB2312" w:eastAsia="仿宋_GB2312" w:cs="仿宋_GB2312"/>
          <w:b w:val="0"/>
          <w:bCs/>
          <w:color w:val="auto"/>
          <w:kern w:val="0"/>
          <w:sz w:val="32"/>
          <w:szCs w:val="32"/>
        </w:rPr>
        <w:t>根据预算绩效管理要求，我部门组织对202</w:t>
      </w: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年度一般公共预算项目支出全面开展绩效自评，共涉及资金</w:t>
      </w:r>
      <w:r>
        <w:rPr>
          <w:rFonts w:hint="eastAsia" w:ascii="仿宋_GB2312" w:hAnsi="仿宋_GB2312" w:eastAsia="仿宋_GB2312" w:cs="仿宋_GB2312"/>
          <w:b w:val="0"/>
          <w:bCs/>
          <w:color w:val="auto"/>
          <w:kern w:val="0"/>
          <w:sz w:val="32"/>
          <w:szCs w:val="32"/>
          <w:lang w:val="en-US" w:eastAsia="zh-CN"/>
        </w:rPr>
        <w:t>140.76</w:t>
      </w:r>
      <w:r>
        <w:rPr>
          <w:rFonts w:hint="eastAsia" w:ascii="仿宋_GB2312" w:hAnsi="仿宋_GB2312" w:eastAsia="仿宋_GB2312" w:cs="仿宋_GB2312"/>
          <w:b w:val="0"/>
          <w:bCs/>
          <w:color w:val="auto"/>
          <w:kern w:val="0"/>
          <w:sz w:val="32"/>
          <w:szCs w:val="32"/>
        </w:rPr>
        <w:t>万元，从评价情况来看，有关项目立项程序完整、规范，绩效目标</w:t>
      </w:r>
      <w:r>
        <w:rPr>
          <w:rFonts w:hint="eastAsia" w:ascii="仿宋_GB2312" w:hAnsi="仿宋_GB2312" w:eastAsia="仿宋_GB2312" w:cs="仿宋_GB2312"/>
          <w:b w:val="0"/>
          <w:bCs/>
          <w:color w:val="auto"/>
          <w:kern w:val="0"/>
          <w:sz w:val="32"/>
          <w:szCs w:val="32"/>
          <w:lang w:eastAsia="zh-CN"/>
        </w:rPr>
        <w:t>基本</w:t>
      </w:r>
      <w:r>
        <w:rPr>
          <w:rFonts w:hint="eastAsia" w:ascii="仿宋_GB2312" w:hAnsi="仿宋_GB2312" w:eastAsia="仿宋_GB2312" w:cs="仿宋_GB2312"/>
          <w:b w:val="0"/>
          <w:bCs/>
          <w:color w:val="auto"/>
          <w:kern w:val="0"/>
          <w:sz w:val="32"/>
          <w:szCs w:val="32"/>
        </w:rPr>
        <w:t>实现，绩效管理水平不断提高，绩效指标体系建设逐渐丰富和完善。</w:t>
      </w:r>
    </w:p>
    <w:p w14:paraId="439294D0">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w:t>
      </w:r>
      <w:r>
        <w:rPr>
          <w:rFonts w:hint="eastAsia" w:ascii="Times New Roman" w:hAnsi="Times New Roman" w:eastAsia="楷体_GB2312" w:cs="Times New Roman"/>
          <w:b/>
          <w:color w:val="000000"/>
          <w:kern w:val="0"/>
          <w:sz w:val="32"/>
          <w:szCs w:val="32"/>
          <w:lang w:eastAsia="zh-CN"/>
        </w:rPr>
        <w:t>二</w:t>
      </w:r>
      <w:r>
        <w:rPr>
          <w:rFonts w:ascii="Times New Roman" w:hAnsi="Times New Roman" w:eastAsia="楷体_GB2312" w:cs="Times New Roman"/>
          <w:b/>
          <w:color w:val="000000"/>
          <w:kern w:val="0"/>
          <w:sz w:val="32"/>
          <w:szCs w:val="32"/>
        </w:rPr>
        <w:t>）部门评价项目绩效评价结果。</w:t>
      </w:r>
    </w:p>
    <w:p w14:paraId="2FC2CECA">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信访维稳项目绩效自评综述：项目全年预算数为</w:t>
      </w:r>
      <w:r>
        <w:rPr>
          <w:rFonts w:hint="eastAsia" w:ascii="仿宋_GB2312" w:hAnsi="仿宋_GB2312" w:eastAsia="仿宋_GB2312" w:cs="仿宋_GB2312"/>
          <w:b w:val="0"/>
          <w:bCs/>
          <w:color w:val="auto"/>
          <w:kern w:val="0"/>
          <w:sz w:val="32"/>
          <w:szCs w:val="32"/>
          <w:lang w:val="en-US" w:eastAsia="zh-CN"/>
        </w:rPr>
        <w:t>39.69</w:t>
      </w:r>
      <w:r>
        <w:rPr>
          <w:rFonts w:hint="eastAsia" w:ascii="仿宋_GB2312" w:hAnsi="仿宋_GB2312" w:eastAsia="仿宋_GB2312" w:cs="仿宋_GB2312"/>
          <w:b w:val="0"/>
          <w:bCs/>
          <w:color w:val="auto"/>
          <w:kern w:val="0"/>
          <w:sz w:val="32"/>
          <w:szCs w:val="32"/>
        </w:rPr>
        <w:t>万元，执行数为</w:t>
      </w:r>
      <w:r>
        <w:rPr>
          <w:rFonts w:hint="eastAsia" w:ascii="仿宋_GB2312" w:hAnsi="仿宋_GB2312" w:eastAsia="仿宋_GB2312" w:cs="仿宋_GB2312"/>
          <w:b w:val="0"/>
          <w:bCs/>
          <w:color w:val="auto"/>
          <w:kern w:val="0"/>
          <w:sz w:val="32"/>
          <w:szCs w:val="32"/>
          <w:lang w:val="en-US" w:eastAsia="zh-CN"/>
        </w:rPr>
        <w:t>140.76</w:t>
      </w:r>
      <w:r>
        <w:rPr>
          <w:rFonts w:hint="eastAsia" w:ascii="仿宋_GB2312" w:hAnsi="仿宋_GB2312" w:eastAsia="仿宋_GB2312" w:cs="仿宋_GB2312"/>
          <w:b w:val="0"/>
          <w:bCs/>
          <w:color w:val="auto"/>
          <w:kern w:val="0"/>
          <w:sz w:val="32"/>
          <w:szCs w:val="32"/>
        </w:rPr>
        <w:t>万元，完成预算的</w:t>
      </w:r>
      <w:r>
        <w:rPr>
          <w:rFonts w:hint="eastAsia" w:ascii="仿宋_GB2312" w:hAnsi="仿宋_GB2312" w:eastAsia="仿宋_GB2312" w:cs="仿宋_GB2312"/>
          <w:b w:val="0"/>
          <w:bCs/>
          <w:color w:val="auto"/>
          <w:kern w:val="0"/>
          <w:sz w:val="32"/>
          <w:szCs w:val="32"/>
          <w:lang w:val="en-US" w:eastAsia="zh-CN"/>
        </w:rPr>
        <w:t>354.65</w:t>
      </w:r>
      <w:r>
        <w:rPr>
          <w:rFonts w:hint="eastAsia" w:ascii="仿宋_GB2312" w:hAnsi="仿宋_GB2312" w:eastAsia="仿宋_GB2312" w:cs="仿宋_GB2312"/>
          <w:b w:val="0"/>
          <w:bCs/>
          <w:color w:val="auto"/>
          <w:kern w:val="0"/>
          <w:sz w:val="32"/>
          <w:szCs w:val="32"/>
        </w:rPr>
        <w:t>%。项目绩效目标完成情况：做好重点群体、人员的稳控工作，维护石峰社会大局稳定。</w:t>
      </w:r>
    </w:p>
    <w:p w14:paraId="7CD1B320">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社区（村）治安巡逻防控项目绩效自评综述：项目全年预算数为35.99万元，执行数为</w:t>
      </w:r>
      <w:r>
        <w:rPr>
          <w:rFonts w:hint="eastAsia" w:ascii="仿宋_GB2312" w:hAnsi="仿宋_GB2312" w:eastAsia="仿宋_GB2312" w:cs="仿宋_GB2312"/>
          <w:b w:val="0"/>
          <w:bCs/>
          <w:color w:val="auto"/>
          <w:kern w:val="0"/>
          <w:sz w:val="32"/>
          <w:szCs w:val="32"/>
          <w:lang w:val="en-US" w:eastAsia="zh-CN"/>
        </w:rPr>
        <w:t>51.41</w:t>
      </w:r>
      <w:r>
        <w:rPr>
          <w:rFonts w:hint="eastAsia" w:ascii="仿宋_GB2312" w:hAnsi="仿宋_GB2312" w:eastAsia="仿宋_GB2312" w:cs="仿宋_GB2312"/>
          <w:b w:val="0"/>
          <w:bCs/>
          <w:color w:val="auto"/>
          <w:kern w:val="0"/>
          <w:sz w:val="32"/>
          <w:szCs w:val="32"/>
        </w:rPr>
        <w:t>万元，完成预算的</w:t>
      </w:r>
      <w:r>
        <w:rPr>
          <w:rFonts w:hint="eastAsia" w:ascii="仿宋_GB2312" w:hAnsi="仿宋_GB2312" w:eastAsia="仿宋_GB2312" w:cs="仿宋_GB2312"/>
          <w:b w:val="0"/>
          <w:bCs/>
          <w:color w:val="auto"/>
          <w:kern w:val="0"/>
          <w:sz w:val="32"/>
          <w:szCs w:val="32"/>
          <w:lang w:val="en-US" w:eastAsia="zh-CN"/>
        </w:rPr>
        <w:t>142.85</w:t>
      </w:r>
      <w:r>
        <w:rPr>
          <w:rFonts w:hint="eastAsia" w:ascii="仿宋_GB2312" w:hAnsi="仿宋_GB2312" w:eastAsia="仿宋_GB2312" w:cs="仿宋_GB2312"/>
          <w:b w:val="0"/>
          <w:bCs/>
          <w:color w:val="auto"/>
          <w:kern w:val="0"/>
          <w:sz w:val="32"/>
          <w:szCs w:val="32"/>
        </w:rPr>
        <w:t>%。项目绩效目标完成情况：做好“7.9”农村籍老兵的稳控工作，发动群众积极参与群防群治，创新工作理念，克服治安巡逻工作中面临的各种困难，果断杜绝了困难面前绕着走、巡逻不认真的做法。</w:t>
      </w:r>
    </w:p>
    <w:p w14:paraId="5326E758">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楷体_GB2312" w:cs="Times New Roman"/>
          <w:b/>
          <w:color w:val="000000"/>
          <w:kern w:val="0"/>
          <w:sz w:val="32"/>
          <w:szCs w:val="32"/>
        </w:rPr>
      </w:pPr>
      <w:r>
        <w:rPr>
          <w:rFonts w:hint="eastAsia" w:ascii="仿宋_GB2312" w:hAnsi="仿宋_GB2312" w:eastAsia="仿宋_GB2312" w:cs="仿宋_GB2312"/>
          <w:b w:val="0"/>
          <w:bCs/>
          <w:color w:val="auto"/>
          <w:kern w:val="0"/>
          <w:sz w:val="32"/>
          <w:szCs w:val="32"/>
        </w:rPr>
        <w:t>信访</w:t>
      </w:r>
      <w:r>
        <w:rPr>
          <w:rFonts w:hint="eastAsia" w:ascii="仿宋_GB2312" w:hAnsi="仿宋_GB2312" w:eastAsia="仿宋_GB2312" w:cs="仿宋_GB2312"/>
          <w:b w:val="0"/>
          <w:bCs/>
          <w:color w:val="auto"/>
          <w:kern w:val="0"/>
          <w:sz w:val="32"/>
          <w:szCs w:val="32"/>
          <w:lang w:eastAsia="zh-CN"/>
        </w:rPr>
        <w:t>维稳</w:t>
      </w:r>
      <w:r>
        <w:rPr>
          <w:rFonts w:hint="eastAsia" w:ascii="仿宋_GB2312" w:hAnsi="仿宋_GB2312" w:eastAsia="仿宋_GB2312" w:cs="仿宋_GB2312"/>
          <w:b w:val="0"/>
          <w:bCs/>
          <w:color w:val="auto"/>
          <w:kern w:val="0"/>
          <w:sz w:val="32"/>
          <w:szCs w:val="32"/>
        </w:rPr>
        <w:t>项目绩效自评综述：项目全年预算数为</w:t>
      </w:r>
      <w:r>
        <w:rPr>
          <w:rFonts w:hint="eastAsia" w:ascii="仿宋_GB2312" w:hAnsi="仿宋_GB2312" w:eastAsia="仿宋_GB2312" w:cs="仿宋_GB2312"/>
          <w:b w:val="0"/>
          <w:bCs/>
          <w:color w:val="auto"/>
          <w:kern w:val="0"/>
          <w:sz w:val="32"/>
          <w:szCs w:val="32"/>
          <w:lang w:val="en-US" w:eastAsia="zh-CN"/>
        </w:rPr>
        <w:t>3.7</w:t>
      </w:r>
      <w:r>
        <w:rPr>
          <w:rFonts w:hint="eastAsia" w:ascii="仿宋_GB2312" w:hAnsi="仿宋_GB2312" w:eastAsia="仿宋_GB2312" w:cs="仿宋_GB2312"/>
          <w:b w:val="0"/>
          <w:bCs/>
          <w:color w:val="auto"/>
          <w:kern w:val="0"/>
          <w:sz w:val="32"/>
          <w:szCs w:val="32"/>
        </w:rPr>
        <w:t>万元，执行数为</w:t>
      </w:r>
      <w:r>
        <w:rPr>
          <w:rFonts w:hint="eastAsia" w:ascii="仿宋_GB2312" w:hAnsi="仿宋_GB2312" w:eastAsia="仿宋_GB2312" w:cs="仿宋_GB2312"/>
          <w:b w:val="0"/>
          <w:bCs/>
          <w:color w:val="auto"/>
          <w:kern w:val="0"/>
          <w:sz w:val="32"/>
          <w:szCs w:val="32"/>
          <w:lang w:val="en-US" w:eastAsia="zh-CN"/>
        </w:rPr>
        <w:t>89.35</w:t>
      </w:r>
      <w:r>
        <w:rPr>
          <w:rFonts w:hint="eastAsia" w:ascii="仿宋_GB2312" w:hAnsi="仿宋_GB2312" w:eastAsia="仿宋_GB2312" w:cs="仿宋_GB2312"/>
          <w:b w:val="0"/>
          <w:bCs/>
          <w:color w:val="auto"/>
          <w:kern w:val="0"/>
          <w:sz w:val="32"/>
          <w:szCs w:val="32"/>
        </w:rPr>
        <w:t>万元，完成预算的</w:t>
      </w:r>
      <w:r>
        <w:rPr>
          <w:rFonts w:hint="eastAsia" w:ascii="仿宋_GB2312" w:hAnsi="仿宋_GB2312" w:eastAsia="仿宋_GB2312" w:cs="仿宋_GB2312"/>
          <w:b w:val="0"/>
          <w:bCs/>
          <w:color w:val="auto"/>
          <w:kern w:val="0"/>
          <w:sz w:val="32"/>
          <w:szCs w:val="32"/>
          <w:lang w:val="en-US" w:eastAsia="zh-CN"/>
        </w:rPr>
        <w:t>24.15</w:t>
      </w:r>
      <w:r>
        <w:rPr>
          <w:rFonts w:hint="eastAsia" w:ascii="仿宋_GB2312" w:hAnsi="仿宋_GB2312" w:eastAsia="仿宋_GB2312" w:cs="仿宋_GB2312"/>
          <w:b w:val="0"/>
          <w:bCs/>
          <w:color w:val="auto"/>
          <w:kern w:val="0"/>
          <w:sz w:val="32"/>
          <w:szCs w:val="32"/>
        </w:rPr>
        <w:t>%。项目绩效目标完成情况：</w:t>
      </w:r>
      <w:r>
        <w:rPr>
          <w:rFonts w:hint="eastAsia" w:ascii="仿宋_GB2312" w:hAnsi="仿宋_GB2312" w:eastAsia="仿宋_GB2312" w:cs="仿宋_GB2312"/>
          <w:b w:val="0"/>
          <w:bCs/>
          <w:color w:val="auto"/>
          <w:kern w:val="0"/>
          <w:sz w:val="32"/>
          <w:szCs w:val="32"/>
          <w:lang w:eastAsia="zh-CN"/>
        </w:rPr>
        <w:t>做好了全区的信访维稳工作</w:t>
      </w:r>
      <w:r>
        <w:rPr>
          <w:rFonts w:hint="eastAsia" w:ascii="仿宋_GB2312" w:hAnsi="仿宋_GB2312" w:eastAsia="仿宋_GB2312" w:cs="仿宋_GB2312"/>
          <w:b w:val="0"/>
          <w:bCs/>
          <w:color w:val="auto"/>
          <w:kern w:val="0"/>
          <w:sz w:val="32"/>
          <w:szCs w:val="32"/>
        </w:rPr>
        <w:t>，确保各项信访工作顺利完成。</w:t>
      </w:r>
    </w:p>
    <w:p w14:paraId="62E0532C">
      <w:pPr>
        <w:pStyle w:val="7"/>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1E7220D8">
      <w:pPr>
        <w:keepNext w:val="0"/>
        <w:keepLines w:val="0"/>
        <w:pageBreakBefore w:val="0"/>
        <w:widowControl w:val="0"/>
        <w:kinsoku/>
        <w:wordWrap/>
        <w:overflowPunct/>
        <w:topLinePunct w:val="0"/>
        <w:autoSpaceDE w:val="0"/>
        <w:autoSpaceDN w:val="0"/>
        <w:bidi w:val="0"/>
        <w:adjustRightInd w:val="0"/>
        <w:snapToGrid/>
        <w:spacing w:line="570" w:lineRule="exact"/>
        <w:ind w:leftChars="0" w:firstLine="640"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1F22C334">
      <w:pPr>
        <w:pStyle w:val="16"/>
        <w:jc w:val="both"/>
        <w:rPr>
          <w:rFonts w:ascii="Times New Roman" w:hAnsi="Times New Roman" w:cs="Times New Roman"/>
          <w:sz w:val="84"/>
          <w:szCs w:val="84"/>
        </w:rPr>
      </w:pPr>
    </w:p>
    <w:p w14:paraId="003EDCFA">
      <w:pPr>
        <w:pStyle w:val="16"/>
        <w:jc w:val="both"/>
        <w:rPr>
          <w:rFonts w:ascii="Times New Roman" w:hAnsi="Times New Roman" w:cs="Times New Roman"/>
          <w:sz w:val="84"/>
          <w:szCs w:val="84"/>
        </w:rPr>
      </w:pPr>
    </w:p>
    <w:p w14:paraId="2D8647B5">
      <w:pPr>
        <w:pStyle w:val="16"/>
        <w:jc w:val="both"/>
        <w:rPr>
          <w:rFonts w:ascii="Times New Roman" w:hAnsi="Times New Roman" w:cs="Times New Roman"/>
          <w:sz w:val="84"/>
          <w:szCs w:val="84"/>
        </w:rPr>
      </w:pPr>
    </w:p>
    <w:p w14:paraId="1CF3B986">
      <w:pPr>
        <w:pStyle w:val="16"/>
        <w:jc w:val="both"/>
        <w:rPr>
          <w:rFonts w:ascii="Times New Roman" w:hAnsi="Times New Roman" w:cs="Times New Roman"/>
          <w:sz w:val="84"/>
          <w:szCs w:val="84"/>
        </w:rPr>
      </w:pPr>
    </w:p>
    <w:p w14:paraId="7DD850FB">
      <w:pPr>
        <w:pStyle w:val="16"/>
        <w:jc w:val="both"/>
        <w:rPr>
          <w:rFonts w:ascii="Times New Roman" w:hAnsi="Times New Roman" w:cs="Times New Roman"/>
          <w:sz w:val="84"/>
          <w:szCs w:val="84"/>
        </w:rPr>
      </w:pPr>
    </w:p>
    <w:p w14:paraId="5C8F4004">
      <w:pPr>
        <w:pStyle w:val="16"/>
        <w:jc w:val="both"/>
        <w:rPr>
          <w:rFonts w:ascii="Times New Roman" w:hAnsi="Times New Roman" w:cs="Times New Roman"/>
          <w:sz w:val="84"/>
          <w:szCs w:val="84"/>
        </w:rPr>
      </w:pPr>
    </w:p>
    <w:p w14:paraId="272A50F7">
      <w:pPr>
        <w:pStyle w:val="16"/>
        <w:jc w:val="both"/>
        <w:rPr>
          <w:rFonts w:ascii="Times New Roman" w:hAnsi="Times New Roman" w:cs="Times New Roman"/>
          <w:sz w:val="84"/>
          <w:szCs w:val="84"/>
        </w:rPr>
      </w:pPr>
    </w:p>
    <w:p w14:paraId="2E3DA952">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001A7E99">
      <w:pPr>
        <w:pStyle w:val="16"/>
        <w:jc w:val="center"/>
        <w:rPr>
          <w:rFonts w:ascii="Times New Roman" w:hAnsi="Times New Roman" w:eastAsia="方正小标宋简体" w:cs="Times New Roman"/>
          <w:sz w:val="76"/>
          <w:szCs w:val="76"/>
        </w:rPr>
      </w:pPr>
    </w:p>
    <w:p w14:paraId="2002A03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4E7F0E1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4979D90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437D3B9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7628A74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7A05EE3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067A9CE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74722BB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79EB501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0B5B5ECF">
      <w:pPr>
        <w:pStyle w:val="16"/>
        <w:jc w:val="both"/>
        <w:rPr>
          <w:rFonts w:hint="eastAsia" w:ascii="Times New Roman" w:hAnsi="Times New Roman" w:cs="Times New Roman"/>
          <w:sz w:val="72"/>
          <w:szCs w:val="72"/>
        </w:rPr>
      </w:pPr>
    </w:p>
    <w:p w14:paraId="4D40C3C2">
      <w:pPr>
        <w:pStyle w:val="16"/>
        <w:jc w:val="both"/>
        <w:rPr>
          <w:rFonts w:ascii="Times New Roman" w:hAnsi="Times New Roman" w:cs="Times New Roman"/>
          <w:sz w:val="84"/>
          <w:szCs w:val="84"/>
        </w:rPr>
      </w:pPr>
    </w:p>
    <w:p w14:paraId="45F247BD">
      <w:pPr>
        <w:pStyle w:val="16"/>
        <w:jc w:val="center"/>
        <w:rPr>
          <w:rFonts w:ascii="Times New Roman" w:hAnsi="Times New Roman" w:eastAsia="方正小标宋简体" w:cs="Times New Roman"/>
          <w:sz w:val="76"/>
          <w:szCs w:val="76"/>
        </w:rPr>
      </w:pPr>
    </w:p>
    <w:p w14:paraId="29C70211">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第五部分</w:t>
      </w:r>
    </w:p>
    <w:p w14:paraId="38F1CF00">
      <w:pPr>
        <w:pStyle w:val="16"/>
        <w:jc w:val="center"/>
        <w:rPr>
          <w:rFonts w:ascii="Times New Roman" w:hAnsi="Times New Roman" w:eastAsia="方正小标宋简体" w:cs="Times New Roman"/>
          <w:sz w:val="76"/>
          <w:szCs w:val="76"/>
        </w:rPr>
      </w:pPr>
    </w:p>
    <w:p w14:paraId="083BB710">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附  件</w:t>
      </w:r>
    </w:p>
    <w:p w14:paraId="285694EF">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145CEC44">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76581A3F">
      <w:pPr>
        <w:pStyle w:val="16"/>
        <w:spacing w:line="596" w:lineRule="exact"/>
        <w:jc w:val="center"/>
        <w:rPr>
          <w:rFonts w:hint="eastAsia" w:ascii="Times New Roman" w:hAnsi="Times New Roman" w:eastAsia="方正小标宋简体" w:cs="Times New Roman"/>
          <w:sz w:val="32"/>
          <w:szCs w:val="32"/>
          <w:lang w:eastAsia="zh-CN"/>
        </w:rPr>
      </w:pPr>
    </w:p>
    <w:p w14:paraId="162C5215">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4B3F">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1F4346">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91F4346">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33CB9"/>
    <w:multiLevelType w:val="singleLevel"/>
    <w:tmpl w:val="92333CB9"/>
    <w:lvl w:ilvl="0" w:tentative="0">
      <w:start w:val="10"/>
      <w:numFmt w:val="chineseCounting"/>
      <w:suff w:val="nothing"/>
      <w:lvlText w:val="%1、"/>
      <w:lvlJc w:val="left"/>
      <w:rPr>
        <w:rFonts w:hint="eastAsia"/>
      </w:rPr>
    </w:lvl>
  </w:abstractNum>
  <w:abstractNum w:abstractNumId="1">
    <w:nsid w:val="942E3A9F"/>
    <w:multiLevelType w:val="singleLevel"/>
    <w:tmpl w:val="942E3A9F"/>
    <w:lvl w:ilvl="0" w:tentative="0">
      <w:start w:val="2"/>
      <w:numFmt w:val="chineseCounting"/>
      <w:suff w:val="nothing"/>
      <w:lvlText w:val="（%1）"/>
      <w:lvlJc w:val="left"/>
      <w:rPr>
        <w:rFonts w:hint="eastAsia"/>
      </w:rPr>
    </w:lvl>
  </w:abstractNum>
  <w:abstractNum w:abstractNumId="2">
    <w:nsid w:val="F3DF95C2"/>
    <w:multiLevelType w:val="multilevel"/>
    <w:tmpl w:val="F3DF95C2"/>
    <w:lvl w:ilvl="0" w:tentative="0">
      <w:start w:val="1"/>
      <w:numFmt w:val="japaneseCounting"/>
      <w:suff w:val="space"/>
      <w:lvlText w:val="%1、"/>
      <w:lvlJc w:val="left"/>
      <w:pPr>
        <w:ind w:left="1360" w:hanging="72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
    <w:nsid w:val="24660F26"/>
    <w:multiLevelType w:val="singleLevel"/>
    <w:tmpl w:val="24660F26"/>
    <w:lvl w:ilvl="0" w:tentative="0">
      <w:start w:val="3"/>
      <w:numFmt w:val="chineseCounting"/>
      <w:suff w:val="nothing"/>
      <w:lvlText w:val="（%1）"/>
      <w:lvlJc w:val="left"/>
      <w:rPr>
        <w:rFonts w:hint="eastAsia"/>
      </w:rPr>
    </w:lvl>
  </w:abstractNum>
  <w:abstractNum w:abstractNumId="4">
    <w:nsid w:val="488680D5"/>
    <w:multiLevelType w:val="singleLevel"/>
    <w:tmpl w:val="488680D5"/>
    <w:lvl w:ilvl="0" w:tentative="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B6B70FF"/>
    <w:rsid w:val="0C7C6B53"/>
    <w:rsid w:val="0D3F15F5"/>
    <w:rsid w:val="0EF6245F"/>
    <w:rsid w:val="11E43B98"/>
    <w:rsid w:val="13692089"/>
    <w:rsid w:val="18985D2F"/>
    <w:rsid w:val="18A81188"/>
    <w:rsid w:val="18FA38C9"/>
    <w:rsid w:val="1B323160"/>
    <w:rsid w:val="1B465D7B"/>
    <w:rsid w:val="1B631266"/>
    <w:rsid w:val="1B714E5F"/>
    <w:rsid w:val="1C7A0F71"/>
    <w:rsid w:val="1DE35B36"/>
    <w:rsid w:val="1E532BCB"/>
    <w:rsid w:val="1EBE63A2"/>
    <w:rsid w:val="1F041D62"/>
    <w:rsid w:val="1F6317DE"/>
    <w:rsid w:val="1F745786"/>
    <w:rsid w:val="21B1218A"/>
    <w:rsid w:val="22A27C3A"/>
    <w:rsid w:val="23056717"/>
    <w:rsid w:val="238B2E7B"/>
    <w:rsid w:val="25C30391"/>
    <w:rsid w:val="2AD95BF4"/>
    <w:rsid w:val="2F101369"/>
    <w:rsid w:val="321612FC"/>
    <w:rsid w:val="32B56379"/>
    <w:rsid w:val="36A616FA"/>
    <w:rsid w:val="38090922"/>
    <w:rsid w:val="38D75D21"/>
    <w:rsid w:val="393137AA"/>
    <w:rsid w:val="395219B1"/>
    <w:rsid w:val="39B73AEC"/>
    <w:rsid w:val="3A6B6748"/>
    <w:rsid w:val="3BCF4379"/>
    <w:rsid w:val="3FBC08C4"/>
    <w:rsid w:val="42EC611A"/>
    <w:rsid w:val="43C0333E"/>
    <w:rsid w:val="46BE0A2A"/>
    <w:rsid w:val="472236C4"/>
    <w:rsid w:val="4774141D"/>
    <w:rsid w:val="47866853"/>
    <w:rsid w:val="47867568"/>
    <w:rsid w:val="47C05439"/>
    <w:rsid w:val="47F267A9"/>
    <w:rsid w:val="4B1C68ED"/>
    <w:rsid w:val="4B8003CD"/>
    <w:rsid w:val="4F976C0B"/>
    <w:rsid w:val="523F5138"/>
    <w:rsid w:val="538D47D7"/>
    <w:rsid w:val="538E105C"/>
    <w:rsid w:val="53BF69FD"/>
    <w:rsid w:val="591A5257"/>
    <w:rsid w:val="5D2E7409"/>
    <w:rsid w:val="5E811E7A"/>
    <w:rsid w:val="5E94698F"/>
    <w:rsid w:val="60841B7E"/>
    <w:rsid w:val="635D15B9"/>
    <w:rsid w:val="64714AD2"/>
    <w:rsid w:val="64857E64"/>
    <w:rsid w:val="65965345"/>
    <w:rsid w:val="65F04BE5"/>
    <w:rsid w:val="6A484E25"/>
    <w:rsid w:val="6E0F6D2F"/>
    <w:rsid w:val="6EAE4254"/>
    <w:rsid w:val="74205B29"/>
    <w:rsid w:val="75F714AD"/>
    <w:rsid w:val="77703087"/>
    <w:rsid w:val="78081C98"/>
    <w:rsid w:val="78C56BE8"/>
    <w:rsid w:val="79012587"/>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4297</Words>
  <Characters>4630</Characters>
  <Lines>56</Lines>
  <Paragraphs>15</Paragraphs>
  <TotalTime>36</TotalTime>
  <ScaleCrop>false</ScaleCrop>
  <LinksUpToDate>false</LinksUpToDate>
  <CharactersWithSpaces>4659</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2024-10-21T03:04:43Z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2C5E381B2C834132A105654D3137351C_13</vt:lpwstr>
  </property>
</Properties>
</file>