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1FD9A">
      <w:pPr>
        <w:pStyle w:val="17"/>
        <w:jc w:val="both"/>
        <w:rPr>
          <w:rFonts w:ascii="Times New Roman" w:hAnsi="Times New Roman" w:cs="Times New Roman"/>
          <w:sz w:val="56"/>
          <w:szCs w:val="56"/>
        </w:rPr>
      </w:pPr>
    </w:p>
    <w:p w14:paraId="067E2B28">
      <w:pPr>
        <w:pStyle w:val="17"/>
        <w:jc w:val="both"/>
        <w:rPr>
          <w:rFonts w:ascii="Times New Roman" w:hAnsi="Times New Roman" w:cs="Times New Roman"/>
          <w:sz w:val="56"/>
          <w:szCs w:val="56"/>
        </w:rPr>
      </w:pPr>
    </w:p>
    <w:p w14:paraId="62D49935">
      <w:pPr>
        <w:pStyle w:val="17"/>
        <w:jc w:val="both"/>
        <w:rPr>
          <w:rFonts w:ascii="Times New Roman" w:hAnsi="Times New Roman" w:cs="Times New Roman"/>
          <w:sz w:val="84"/>
          <w:szCs w:val="84"/>
        </w:rPr>
      </w:pPr>
    </w:p>
    <w:p w14:paraId="04175D51">
      <w:pPr>
        <w:pStyle w:val="17"/>
        <w:jc w:val="center"/>
        <w:rPr>
          <w:rFonts w:ascii="Times New Roman" w:hAnsi="Times New Roman" w:eastAsia="方正小标宋简体" w:cs="Times New Roman"/>
          <w:sz w:val="76"/>
          <w:szCs w:val="76"/>
        </w:rPr>
      </w:pPr>
    </w:p>
    <w:p w14:paraId="6456BEB0">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4248A868">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株洲市石峰区行政审批服务局</w:t>
      </w:r>
    </w:p>
    <w:p w14:paraId="51CC3829">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56AF716F">
      <w:pPr>
        <w:pStyle w:val="17"/>
        <w:jc w:val="both"/>
        <w:rPr>
          <w:rFonts w:ascii="Times New Roman" w:hAnsi="Times New Roman" w:cs="Times New Roman"/>
          <w:sz w:val="32"/>
          <w:szCs w:val="32"/>
        </w:rPr>
      </w:pPr>
    </w:p>
    <w:p w14:paraId="10123B7B">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34C63087">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株洲市石峰区行政审批服务局</w:t>
      </w:r>
      <w:r>
        <w:rPr>
          <w:rFonts w:ascii="Times New Roman" w:hAnsi="Times New Roman" w:cs="Times New Roman"/>
          <w:sz w:val="32"/>
          <w:szCs w:val="32"/>
        </w:rPr>
        <w:t>概况</w:t>
      </w:r>
    </w:p>
    <w:p w14:paraId="3B5B385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FD5A5B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EE8C446">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2BD106E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C6F894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A81EA1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2DDABF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D438A5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9EA61B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268C47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78249AF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6A25796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092C2F3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7F1FDC6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67DEE2D">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63EF47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226682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0FFA7E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2E024C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D68738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CC7D45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57EE08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2C50A9E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1CE8D23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59C92F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6D9C7E7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529F44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28C3644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2160B609">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5DAE21D5">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37BD96CC">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01DA449B">
      <w:pPr>
        <w:pStyle w:val="17"/>
        <w:jc w:val="both"/>
        <w:rPr>
          <w:rFonts w:ascii="Times New Roman" w:hAnsi="Times New Roman" w:cs="Times New Roman"/>
          <w:sz w:val="84"/>
          <w:szCs w:val="84"/>
        </w:rPr>
      </w:pPr>
    </w:p>
    <w:p w14:paraId="24A02B48">
      <w:pPr>
        <w:pStyle w:val="17"/>
        <w:jc w:val="both"/>
        <w:rPr>
          <w:rFonts w:ascii="Times New Roman" w:hAnsi="Times New Roman" w:cs="Times New Roman"/>
          <w:sz w:val="84"/>
          <w:szCs w:val="84"/>
        </w:rPr>
      </w:pPr>
    </w:p>
    <w:p w14:paraId="4A71C312">
      <w:pPr>
        <w:pStyle w:val="17"/>
        <w:jc w:val="center"/>
        <w:rPr>
          <w:rFonts w:ascii="Times New Roman" w:hAnsi="Times New Roman" w:eastAsia="方正小标宋简体" w:cs="Times New Roman"/>
          <w:w w:val="90"/>
          <w:sz w:val="76"/>
          <w:szCs w:val="76"/>
        </w:rPr>
      </w:pPr>
    </w:p>
    <w:p w14:paraId="7E33F0C5">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0F4A175A">
      <w:pPr>
        <w:pStyle w:val="17"/>
        <w:jc w:val="center"/>
        <w:rPr>
          <w:rFonts w:ascii="Times New Roman" w:hAnsi="Times New Roman" w:eastAsia="方正小标宋简体" w:cs="Times New Roman"/>
          <w:sz w:val="76"/>
          <w:szCs w:val="76"/>
        </w:rPr>
      </w:pPr>
    </w:p>
    <w:p w14:paraId="1ACA3A54">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株洲市石峰区行政审批服务局</w:t>
      </w:r>
    </w:p>
    <w:p w14:paraId="27122769">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概况</w:t>
      </w:r>
    </w:p>
    <w:p w14:paraId="78037630">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6DCB28A5">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（一）负责指导、协调、推进全区行政审批制度改革工作。</w:t>
      </w:r>
    </w:p>
    <w:p w14:paraId="08F6AC26">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（二）统筹协调、监督评估全区政府系统电子政务信息化建设工作和全区政府数据资源管理工作。</w:t>
      </w:r>
    </w:p>
    <w:p w14:paraId="2B8AD561">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（三）协调推进全区“放管服”改革工作。</w:t>
      </w:r>
    </w:p>
    <w:p w14:paraId="344F38B1">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（四）承担区本级行政审批、公共服务事项目录和实施清单的梳理、审核、发布工作。</w:t>
      </w:r>
    </w:p>
    <w:p w14:paraId="2398508A">
      <w:pPr>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（五）完成区委、区政府交办的其他任务。</w:t>
      </w:r>
    </w:p>
    <w:p w14:paraId="0F18B8D6">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518E3706">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（一）内设机构设置。株洲市石峰区行政审批服务局属于石峰区一级预算单位，现有预算单位1个。本部门共有行政编制3名；事业编0名；机关工勤人员编制0名。实有人数</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人，其中：在职人员</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人，离休0人，退休0人。我单位内设科室0个。</w:t>
      </w:r>
    </w:p>
    <w:p w14:paraId="7C208A2C">
      <w:pPr>
        <w:pStyle w:val="18"/>
        <w:spacing w:line="600" w:lineRule="exact"/>
        <w:ind w:left="0" w:leftChars="0"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（二）决算单位构成。从决算单位构成看，株洲市石峰区行政审批服务局202</w:t>
      </w:r>
      <w:r>
        <w:rPr>
          <w:rFonts w:hint="eastAsia"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年部门决算汇总公开单位构成包括：株洲市石峰区行政审批服务局本级，本单位没有其他二级决算单位。</w:t>
      </w:r>
    </w:p>
    <w:p w14:paraId="5AF14EE5">
      <w:pPr>
        <w:pStyle w:val="17"/>
        <w:jc w:val="both"/>
        <w:rPr>
          <w:rFonts w:ascii="Times New Roman" w:hAnsi="Times New Roman" w:cs="Times New Roman"/>
          <w:sz w:val="84"/>
          <w:szCs w:val="84"/>
        </w:rPr>
      </w:pPr>
    </w:p>
    <w:p w14:paraId="25ED2F3C">
      <w:pPr>
        <w:pStyle w:val="17"/>
        <w:jc w:val="both"/>
        <w:rPr>
          <w:rFonts w:ascii="Times New Roman" w:hAnsi="Times New Roman" w:cs="Times New Roman"/>
          <w:sz w:val="84"/>
          <w:szCs w:val="84"/>
        </w:rPr>
      </w:pPr>
    </w:p>
    <w:p w14:paraId="04319D6C">
      <w:pPr>
        <w:pStyle w:val="17"/>
        <w:jc w:val="both"/>
        <w:rPr>
          <w:rFonts w:ascii="Times New Roman" w:hAnsi="Times New Roman" w:cs="Times New Roman"/>
          <w:sz w:val="84"/>
          <w:szCs w:val="84"/>
        </w:rPr>
      </w:pPr>
    </w:p>
    <w:p w14:paraId="29970BD3">
      <w:pPr>
        <w:pStyle w:val="17"/>
        <w:jc w:val="both"/>
        <w:rPr>
          <w:rFonts w:ascii="Times New Roman" w:hAnsi="Times New Roman" w:cs="Times New Roman"/>
          <w:sz w:val="84"/>
          <w:szCs w:val="84"/>
        </w:rPr>
      </w:pPr>
    </w:p>
    <w:p w14:paraId="5EA6B59E">
      <w:pPr>
        <w:pStyle w:val="17"/>
        <w:jc w:val="both"/>
        <w:rPr>
          <w:rFonts w:ascii="Times New Roman" w:hAnsi="Times New Roman" w:cs="Times New Roman"/>
          <w:sz w:val="84"/>
          <w:szCs w:val="84"/>
        </w:rPr>
      </w:pPr>
    </w:p>
    <w:p w14:paraId="54596361">
      <w:pPr>
        <w:pStyle w:val="17"/>
        <w:jc w:val="both"/>
        <w:rPr>
          <w:rFonts w:ascii="Times New Roman" w:hAnsi="Times New Roman" w:cs="Times New Roman"/>
          <w:sz w:val="84"/>
          <w:szCs w:val="84"/>
        </w:rPr>
      </w:pPr>
    </w:p>
    <w:p w14:paraId="22B6E6E0">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97E709C">
      <w:pPr>
        <w:pStyle w:val="17"/>
        <w:jc w:val="center"/>
        <w:rPr>
          <w:rFonts w:ascii="Times New Roman" w:hAnsi="Times New Roman" w:eastAsia="方正小标宋简体" w:cs="Times New Roman"/>
          <w:sz w:val="76"/>
          <w:szCs w:val="76"/>
        </w:rPr>
      </w:pPr>
    </w:p>
    <w:p w14:paraId="6F49010B">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55889179">
      <w:pPr>
        <w:rPr>
          <w:rFonts w:ascii="Times New Roman" w:hAnsi="Times New Roman" w:eastAsia="仿宋_GB2312" w:cs="Times New Roman"/>
          <w:sz w:val="72"/>
          <w:szCs w:val="72"/>
        </w:rPr>
      </w:pPr>
    </w:p>
    <w:p w14:paraId="1960A6C8">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3354708D">
      <w:pPr>
        <w:pStyle w:val="17"/>
        <w:jc w:val="both"/>
        <w:rPr>
          <w:rFonts w:ascii="Times New Roman" w:hAnsi="Times New Roman" w:cs="Times New Roman"/>
          <w:sz w:val="84"/>
          <w:szCs w:val="84"/>
        </w:rPr>
      </w:pPr>
    </w:p>
    <w:p w14:paraId="663D4BAB">
      <w:pPr>
        <w:pStyle w:val="17"/>
        <w:jc w:val="both"/>
        <w:rPr>
          <w:rFonts w:ascii="Times New Roman" w:hAnsi="Times New Roman" w:cs="Times New Roman"/>
          <w:sz w:val="84"/>
          <w:szCs w:val="84"/>
        </w:rPr>
      </w:pPr>
    </w:p>
    <w:p w14:paraId="7828EEA6">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68C28DF3">
      <w:pPr>
        <w:pStyle w:val="17"/>
        <w:jc w:val="center"/>
        <w:rPr>
          <w:rFonts w:ascii="Times New Roman" w:hAnsi="Times New Roman" w:eastAsia="方正小标宋简体" w:cs="Times New Roman"/>
          <w:sz w:val="76"/>
          <w:szCs w:val="76"/>
        </w:rPr>
      </w:pPr>
    </w:p>
    <w:p w14:paraId="7B7E3982">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36CDCBEF">
      <w:pPr>
        <w:pStyle w:val="17"/>
        <w:keepNext w:val="0"/>
        <w:keepLines w:val="0"/>
        <w:pageBreakBefore w:val="0"/>
        <w:widowControl w:val="0"/>
        <w:kinsoku/>
        <w:wordWrap/>
        <w:overflowPunct/>
        <w:topLinePunct w:val="0"/>
        <w:bidi w:val="0"/>
        <w:spacing w:line="58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14:paraId="6BA39D8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年度收、支总计</w:t>
      </w:r>
      <w:r>
        <w:rPr>
          <w:rFonts w:hint="eastAsia" w:ascii="Times New Roman" w:hAnsi="Times New Roman" w:eastAsia="仿宋_GB2312" w:cs="Times New Roman"/>
          <w:sz w:val="32"/>
          <w:szCs w:val="32"/>
          <w:highlight w:val="none"/>
          <w:lang w:val="en-US" w:eastAsia="zh-CN"/>
        </w:rPr>
        <w:t>117.55</w:t>
      </w:r>
      <w:r>
        <w:rPr>
          <w:rFonts w:hint="default" w:ascii="Times New Roman" w:hAnsi="Times New Roman" w:eastAsia="仿宋_GB2312" w:cs="Times New Roman"/>
          <w:sz w:val="32"/>
          <w:szCs w:val="32"/>
          <w:highlight w:val="none"/>
        </w:rPr>
        <w:t>万元。与上年相比</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19.69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20.12</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单位新增在编人员</w:t>
      </w:r>
      <w:r>
        <w:rPr>
          <w:rFonts w:hint="default" w:ascii="Times New Roman" w:hAnsi="Times New Roman" w:eastAsia="仿宋_GB2312" w:cs="Times New Roman"/>
          <w:sz w:val="32"/>
          <w:szCs w:val="32"/>
          <w:highlight w:val="none"/>
          <w:lang w:val="en-US" w:eastAsia="zh-CN"/>
        </w:rPr>
        <w:t>1名、</w:t>
      </w:r>
      <w:r>
        <w:rPr>
          <w:rFonts w:hint="default" w:ascii="Times New Roman" w:hAnsi="Times New Roman" w:eastAsia="仿宋_GB2312" w:cs="Times New Roman"/>
          <w:sz w:val="32"/>
          <w:szCs w:val="32"/>
          <w:highlight w:val="none"/>
          <w:lang w:eastAsia="zh-CN"/>
        </w:rPr>
        <w:t>新招聘劳务派遣人员</w:t>
      </w:r>
      <w:r>
        <w:rPr>
          <w:rFonts w:hint="default" w:ascii="Times New Roman" w:hAnsi="Times New Roman" w:eastAsia="仿宋_GB2312" w:cs="Times New Roman"/>
          <w:sz w:val="32"/>
          <w:szCs w:val="32"/>
          <w:highlight w:val="none"/>
          <w:lang w:val="en-US" w:eastAsia="zh-CN"/>
        </w:rPr>
        <w:t>8名，工资福利支出增加。</w:t>
      </w:r>
    </w:p>
    <w:p w14:paraId="4AA0012E">
      <w:pPr>
        <w:pStyle w:val="17"/>
        <w:keepNext w:val="0"/>
        <w:keepLines w:val="0"/>
        <w:pageBreakBefore w:val="0"/>
        <w:widowControl w:val="0"/>
        <w:kinsoku/>
        <w:wordWrap/>
        <w:overflowPunct/>
        <w:topLinePunct w:val="0"/>
        <w:bidi w:val="0"/>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14:paraId="415B2648">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年度收入合计</w:t>
      </w:r>
      <w:r>
        <w:rPr>
          <w:rFonts w:hint="eastAsia" w:ascii="Times New Roman" w:hAnsi="Times New Roman" w:eastAsia="仿宋_GB2312" w:cs="Times New Roman"/>
          <w:sz w:val="32"/>
          <w:szCs w:val="32"/>
          <w:highlight w:val="none"/>
          <w:lang w:val="en-US" w:eastAsia="zh-CN"/>
        </w:rPr>
        <w:t>117.55</w:t>
      </w:r>
      <w:r>
        <w:rPr>
          <w:rFonts w:hint="default" w:ascii="Times New Roman" w:hAnsi="Times New Roman" w:eastAsia="仿宋_GB2312" w:cs="Times New Roman"/>
          <w:sz w:val="32"/>
          <w:szCs w:val="32"/>
          <w:highlight w:val="none"/>
        </w:rPr>
        <w:t>万元，其中：财政拨款收入</w:t>
      </w:r>
      <w:r>
        <w:rPr>
          <w:rFonts w:hint="eastAsia" w:ascii="Times New Roman" w:hAnsi="Times New Roman" w:eastAsia="仿宋_GB2312" w:cs="Times New Roman"/>
          <w:sz w:val="32"/>
          <w:szCs w:val="32"/>
          <w:highlight w:val="none"/>
          <w:lang w:val="en-US" w:eastAsia="zh-CN"/>
        </w:rPr>
        <w:t>111.05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94.47</w:t>
      </w:r>
      <w:r>
        <w:rPr>
          <w:rFonts w:hint="default" w:ascii="Times New Roman" w:hAnsi="Times New Roman" w:eastAsia="仿宋_GB2312" w:cs="Times New Roman"/>
          <w:sz w:val="32"/>
          <w:szCs w:val="32"/>
          <w:highlight w:val="none"/>
        </w:rPr>
        <w:t>%；上级补助收入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%；事业收入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%；经营收入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%；附属单位上缴收入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%；其他收入</w:t>
      </w:r>
      <w:r>
        <w:rPr>
          <w:rFonts w:hint="eastAsia" w:ascii="Times New Roman" w:hAnsi="Times New Roman" w:eastAsia="仿宋_GB2312" w:cs="Times New Roman"/>
          <w:sz w:val="32"/>
          <w:szCs w:val="32"/>
          <w:highlight w:val="none"/>
          <w:lang w:val="en-US" w:eastAsia="zh-CN"/>
        </w:rPr>
        <w:t>6.50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5.53</w:t>
      </w:r>
      <w:r>
        <w:rPr>
          <w:rFonts w:hint="default" w:ascii="Times New Roman" w:hAnsi="Times New Roman" w:eastAsia="仿宋_GB2312" w:cs="Times New Roman"/>
          <w:sz w:val="32"/>
          <w:szCs w:val="32"/>
          <w:highlight w:val="none"/>
        </w:rPr>
        <w:t>%。</w:t>
      </w:r>
    </w:p>
    <w:p w14:paraId="62420B28">
      <w:pPr>
        <w:pStyle w:val="17"/>
        <w:keepNext w:val="0"/>
        <w:keepLines w:val="0"/>
        <w:pageBreakBefore w:val="0"/>
        <w:widowControl w:val="0"/>
        <w:kinsoku/>
        <w:wordWrap/>
        <w:overflowPunct/>
        <w:topLinePunct w:val="0"/>
        <w:bidi w:val="0"/>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14:paraId="2D449C7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年度支出合计</w:t>
      </w:r>
      <w:r>
        <w:rPr>
          <w:rFonts w:hint="eastAsia" w:ascii="Times New Roman" w:hAnsi="Times New Roman" w:eastAsia="仿宋_GB2312" w:cs="Times New Roman"/>
          <w:sz w:val="32"/>
          <w:szCs w:val="32"/>
          <w:highlight w:val="none"/>
          <w:lang w:val="en-US" w:eastAsia="zh-CN"/>
        </w:rPr>
        <w:t>117.55</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110.30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93.83</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7.25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6.17</w:t>
      </w:r>
      <w:r>
        <w:rPr>
          <w:rFonts w:hint="default" w:ascii="Times New Roman" w:hAnsi="Times New Roman" w:eastAsia="仿宋_GB2312" w:cs="Times New Roman"/>
          <w:sz w:val="32"/>
          <w:szCs w:val="32"/>
          <w:highlight w:val="none"/>
        </w:rPr>
        <w:t>%；上缴上级支出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%；经营支出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%；对附属单位补助支出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14:paraId="4EEC442A">
      <w:pPr>
        <w:pStyle w:val="17"/>
        <w:keepNext w:val="0"/>
        <w:keepLines w:val="0"/>
        <w:pageBreakBefore w:val="0"/>
        <w:widowControl w:val="0"/>
        <w:kinsoku/>
        <w:wordWrap/>
        <w:overflowPunct/>
        <w:topLinePunct w:val="0"/>
        <w:bidi w:val="0"/>
        <w:spacing w:line="58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14:paraId="119CDFCB">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黑体" w:cs="Times New Roman"/>
          <w:color w:val="000000"/>
          <w:kern w:val="0"/>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年度财政拨款收、支总计</w:t>
      </w:r>
      <w:r>
        <w:rPr>
          <w:rFonts w:hint="eastAsia" w:ascii="Times New Roman" w:hAnsi="Times New Roman" w:eastAsia="仿宋_GB2312" w:cs="Times New Roman"/>
          <w:sz w:val="32"/>
          <w:szCs w:val="32"/>
          <w:highlight w:val="none"/>
          <w:lang w:val="en-US" w:eastAsia="zh-CN"/>
        </w:rPr>
        <w:t>111.05</w:t>
      </w:r>
      <w:r>
        <w:rPr>
          <w:rFonts w:hint="default" w:ascii="Times New Roman" w:hAnsi="Times New Roman" w:eastAsia="仿宋_GB2312" w:cs="Times New Roman"/>
          <w:sz w:val="32"/>
          <w:szCs w:val="32"/>
          <w:highlight w:val="none"/>
        </w:rPr>
        <w:t>万元，与上年相比</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13.19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13.48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主要是因为单位新增在编人员</w:t>
      </w:r>
      <w:r>
        <w:rPr>
          <w:rFonts w:hint="default" w:ascii="Times New Roman" w:hAnsi="Times New Roman" w:eastAsia="仿宋_GB2312" w:cs="Times New Roman"/>
          <w:sz w:val="32"/>
          <w:szCs w:val="32"/>
          <w:highlight w:val="none"/>
          <w:lang w:val="en-US" w:eastAsia="zh-CN"/>
        </w:rPr>
        <w:t>1名、</w:t>
      </w:r>
      <w:r>
        <w:rPr>
          <w:rFonts w:hint="default" w:ascii="Times New Roman" w:hAnsi="Times New Roman" w:eastAsia="仿宋_GB2312" w:cs="Times New Roman"/>
          <w:sz w:val="32"/>
          <w:szCs w:val="32"/>
          <w:highlight w:val="none"/>
          <w:lang w:eastAsia="zh-CN"/>
        </w:rPr>
        <w:t>新招聘劳务派遣人员</w:t>
      </w:r>
      <w:r>
        <w:rPr>
          <w:rFonts w:hint="default" w:ascii="Times New Roman" w:hAnsi="Times New Roman" w:eastAsia="仿宋_GB2312" w:cs="Times New Roman"/>
          <w:sz w:val="32"/>
          <w:szCs w:val="32"/>
          <w:highlight w:val="none"/>
          <w:lang w:val="en-US" w:eastAsia="zh-CN"/>
        </w:rPr>
        <w:t>8名，工资福利支出增加。</w:t>
      </w:r>
    </w:p>
    <w:p w14:paraId="6070B33C">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3CA9F6A2">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14:paraId="4C75AF6F">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楷体_GB2312" w:cs="Times New Roman"/>
          <w:b/>
          <w:color w:val="000000"/>
          <w:kern w:val="0"/>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年度财政拨款支出</w:t>
      </w:r>
      <w:r>
        <w:rPr>
          <w:rFonts w:hint="eastAsia" w:ascii="Times New Roman" w:hAnsi="Times New Roman" w:eastAsia="仿宋_GB2312" w:cs="Times New Roman"/>
          <w:sz w:val="32"/>
          <w:szCs w:val="32"/>
          <w:highlight w:val="none"/>
          <w:lang w:val="en-US" w:eastAsia="zh-CN"/>
        </w:rPr>
        <w:t>111.05</w:t>
      </w:r>
      <w:r>
        <w:rPr>
          <w:rFonts w:hint="default" w:ascii="Times New Roman" w:hAnsi="Times New Roman" w:eastAsia="仿宋_GB2312" w:cs="Times New Roman"/>
          <w:sz w:val="32"/>
          <w:szCs w:val="32"/>
          <w:highlight w:val="none"/>
        </w:rPr>
        <w:t>万元，占本年支出合计的</w:t>
      </w:r>
      <w:r>
        <w:rPr>
          <w:rFonts w:hint="eastAsia" w:ascii="Times New Roman" w:hAnsi="Times New Roman" w:eastAsia="仿宋_GB2312" w:cs="Times New Roman"/>
          <w:sz w:val="32"/>
          <w:szCs w:val="32"/>
          <w:highlight w:val="none"/>
          <w:lang w:val="en-US" w:eastAsia="zh-CN"/>
        </w:rPr>
        <w:t>94.47</w:t>
      </w:r>
      <w:r>
        <w:rPr>
          <w:rFonts w:hint="default" w:ascii="Times New Roman" w:hAnsi="Times New Roman" w:eastAsia="仿宋_GB2312" w:cs="Times New Roman"/>
          <w:sz w:val="32"/>
          <w:szCs w:val="32"/>
          <w:highlight w:val="none"/>
        </w:rPr>
        <w:t>%，与上年相比，财政拨款支出</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13.19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13.48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主要是因为单位新增在编人员</w:t>
      </w:r>
      <w:r>
        <w:rPr>
          <w:rFonts w:hint="default" w:ascii="Times New Roman" w:hAnsi="Times New Roman" w:eastAsia="仿宋_GB2312" w:cs="Times New Roman"/>
          <w:sz w:val="32"/>
          <w:szCs w:val="32"/>
          <w:highlight w:val="none"/>
          <w:lang w:val="en-US" w:eastAsia="zh-CN"/>
        </w:rPr>
        <w:t>1名、</w:t>
      </w:r>
      <w:r>
        <w:rPr>
          <w:rFonts w:hint="default" w:ascii="Times New Roman" w:hAnsi="Times New Roman" w:eastAsia="仿宋_GB2312" w:cs="Times New Roman"/>
          <w:sz w:val="32"/>
          <w:szCs w:val="32"/>
          <w:highlight w:val="none"/>
          <w:lang w:eastAsia="zh-CN"/>
        </w:rPr>
        <w:t>新招聘劳务派遣人员</w:t>
      </w:r>
      <w:r>
        <w:rPr>
          <w:rFonts w:hint="default" w:ascii="Times New Roman" w:hAnsi="Times New Roman" w:eastAsia="仿宋_GB2312" w:cs="Times New Roman"/>
          <w:sz w:val="32"/>
          <w:szCs w:val="32"/>
          <w:highlight w:val="none"/>
          <w:lang w:val="en-US" w:eastAsia="zh-CN"/>
        </w:rPr>
        <w:t>8名，工资福利支出增加。</w:t>
      </w:r>
    </w:p>
    <w:p w14:paraId="2603BC3C">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14:paraId="7BC325A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b/>
          <w:color w:val="000000"/>
          <w:kern w:val="0"/>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年度财政拨款支出</w:t>
      </w:r>
      <w:r>
        <w:rPr>
          <w:rFonts w:hint="eastAsia" w:ascii="Times New Roman" w:hAnsi="Times New Roman" w:eastAsia="仿宋_GB2312" w:cs="Times New Roman"/>
          <w:sz w:val="32"/>
          <w:szCs w:val="32"/>
          <w:highlight w:val="none"/>
          <w:lang w:val="en-US" w:eastAsia="zh-CN"/>
        </w:rPr>
        <w:t>117.55</w:t>
      </w:r>
      <w:r>
        <w:rPr>
          <w:rFonts w:hint="default" w:ascii="Times New Roman" w:hAnsi="Times New Roman" w:eastAsia="仿宋_GB2312" w:cs="Times New Roman"/>
          <w:sz w:val="32"/>
          <w:szCs w:val="32"/>
          <w:highlight w:val="none"/>
        </w:rPr>
        <w:t>万元，主要用于以下方面：一般公共服务（类）支出</w:t>
      </w:r>
      <w:r>
        <w:rPr>
          <w:rFonts w:hint="eastAsia" w:ascii="Times New Roman" w:hAnsi="Times New Roman" w:eastAsia="仿宋_GB2312" w:cs="Times New Roman"/>
          <w:sz w:val="32"/>
          <w:szCs w:val="32"/>
          <w:highlight w:val="none"/>
          <w:lang w:val="en-US" w:eastAsia="zh-CN"/>
        </w:rPr>
        <w:t>111.05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94.47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；其他支出</w:t>
      </w:r>
      <w:r>
        <w:rPr>
          <w:rFonts w:hint="eastAsia" w:ascii="Times New Roman" w:hAnsi="Times New Roman" w:eastAsia="仿宋_GB2312" w:cs="Times New Roman"/>
          <w:sz w:val="32"/>
          <w:szCs w:val="32"/>
          <w:highlight w:val="none"/>
          <w:lang w:val="en-US" w:eastAsia="zh-CN"/>
        </w:rPr>
        <w:t>6.50万元，占5.53%。</w:t>
      </w:r>
    </w:p>
    <w:p w14:paraId="4AAE6172">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14:paraId="64A4E3A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年度支出合计</w:t>
      </w:r>
      <w:r>
        <w:rPr>
          <w:rFonts w:hint="eastAsia" w:ascii="Times New Roman" w:hAnsi="Times New Roman" w:eastAsia="仿宋_GB2312" w:cs="Times New Roman"/>
          <w:sz w:val="32"/>
          <w:szCs w:val="32"/>
          <w:lang w:val="en-US" w:eastAsia="zh-CN"/>
        </w:rPr>
        <w:t>117.55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110.30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93.83</w:t>
      </w: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7.25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6.17</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439B1EBC">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0D70AE6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111.05</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55.08</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49.60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、机关事业单位基本养老保险缴费、职工基本医疗保险缴费、公务员医疗补助缴费、住房公积金、医疗费、其他工资福利支出、对个人和家庭的补助、奖励金、其他对个人和家庭的补助等</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48.72</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43.87</w:t>
      </w:r>
      <w:r>
        <w:rPr>
          <w:rFonts w:hint="default" w:ascii="Times New Roman" w:hAnsi="Times New Roman" w:eastAsia="仿宋_GB2312" w:cs="Times New Roman"/>
          <w:sz w:val="32"/>
          <w:szCs w:val="32"/>
        </w:rPr>
        <w:t>%，主要包括办公费、印刷费、</w:t>
      </w:r>
      <w:r>
        <w:rPr>
          <w:rFonts w:hint="default" w:ascii="Times New Roman" w:hAnsi="Times New Roman" w:eastAsia="仿宋_GB2312" w:cs="Times New Roman"/>
          <w:sz w:val="32"/>
          <w:szCs w:val="32"/>
          <w:lang w:eastAsia="zh-CN"/>
        </w:rPr>
        <w:t>邮电费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差旅费、劳务费、委托业务费、</w:t>
      </w:r>
      <w:r>
        <w:rPr>
          <w:rFonts w:hint="default" w:ascii="Times New Roman" w:hAnsi="Times New Roman" w:eastAsia="仿宋_GB2312" w:cs="Times New Roman"/>
          <w:sz w:val="32"/>
          <w:szCs w:val="32"/>
          <w:lang w:eastAsia="zh-CN"/>
        </w:rPr>
        <w:t>福利费、其他交通费用、其他商品和服务支出等。</w:t>
      </w:r>
    </w:p>
    <w:p w14:paraId="15C506B0">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10A6D193">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39B193A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2023年度“三公”经费财政拨款支出预算为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决算数等于预算数，</w:t>
      </w:r>
      <w:r>
        <w:rPr>
          <w:rFonts w:hint="default" w:ascii="Times New Roman" w:hAnsi="Times New Roman" w:eastAsia="仿宋_GB2312" w:cs="Times New Roman"/>
          <w:sz w:val="32"/>
          <w:szCs w:val="32"/>
        </w:rPr>
        <w:t>其中：</w:t>
      </w:r>
    </w:p>
    <w:p w14:paraId="3D98E40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决算数等于预算数。</w:t>
      </w:r>
    </w:p>
    <w:p w14:paraId="78B4C725">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支出决算为</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决算数等于预算数</w:t>
      </w:r>
      <w:r>
        <w:rPr>
          <w:rFonts w:hint="eastAsia" w:ascii="Times New Roman" w:hAnsi="Times New Roman" w:eastAsia="仿宋_GB2312" w:cs="Times New Roman"/>
          <w:sz w:val="32"/>
          <w:szCs w:val="32"/>
          <w:lang w:eastAsia="zh-CN"/>
        </w:rPr>
        <w:t>。</w:t>
      </w:r>
    </w:p>
    <w:p w14:paraId="48B271B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公务用车购置费支出预算为0万元，</w:t>
      </w:r>
      <w:r>
        <w:rPr>
          <w:rFonts w:hint="eastAsia" w:ascii="Times New Roman" w:hAnsi="Times New Roman" w:eastAsia="仿宋_GB2312" w:cs="Times New Roman"/>
          <w:sz w:val="32"/>
          <w:szCs w:val="32"/>
          <w:lang w:eastAsia="zh-CN"/>
        </w:rPr>
        <w:t>支出决算为</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决算数等于预算数</w:t>
      </w:r>
      <w:r>
        <w:rPr>
          <w:rFonts w:hint="eastAsia" w:ascii="Times New Roman" w:hAnsi="Times New Roman" w:eastAsia="仿宋_GB2312" w:cs="Times New Roman"/>
          <w:sz w:val="32"/>
          <w:szCs w:val="32"/>
          <w:lang w:eastAsia="zh-CN"/>
        </w:rPr>
        <w:t>。</w:t>
      </w:r>
    </w:p>
    <w:p w14:paraId="45461E0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万元，决算数等于预算数</w:t>
      </w:r>
      <w:r>
        <w:rPr>
          <w:rFonts w:hint="eastAsia" w:ascii="Times New Roman" w:hAnsi="Times New Roman" w:eastAsia="仿宋_GB2312" w:cs="Times New Roman"/>
          <w:sz w:val="32"/>
          <w:szCs w:val="32"/>
          <w:lang w:eastAsia="zh-CN"/>
        </w:rPr>
        <w:t>。</w:t>
      </w:r>
    </w:p>
    <w:p w14:paraId="62B380EB">
      <w:pPr>
        <w:pStyle w:val="17"/>
        <w:keepNext w:val="0"/>
        <w:keepLines w:val="0"/>
        <w:pageBreakBefore w:val="0"/>
        <w:widowControl w:val="0"/>
        <w:kinsoku/>
        <w:wordWrap/>
        <w:overflowPunct/>
        <w:topLinePunct w:val="0"/>
        <w:bidi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DA09E0A">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2023年度“三公”经费财政拨款支出决算中，公务接待费支出决算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%,因公出国（境）费支出决算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%。其中：</w:t>
      </w:r>
    </w:p>
    <w:p w14:paraId="7E934D4C">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1、因公出国（境）费支出决算为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万元，全年安排因公出国（境）团组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人次。    </w:t>
      </w:r>
    </w:p>
    <w:p w14:paraId="375C9003">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w:t>
      </w:r>
    </w:p>
    <w:p w14:paraId="05418B91">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3、公务用车购置费及运行维护费支出决算为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万元，购置公务用车</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万元，截止2023年12月31日，我单位开支财政拨款的公务用车保有量为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14:paraId="3361BB1B">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14:paraId="70970D19">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万元；年初结转和结余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万元；年末结转和结余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万元。本单位无政府性基金收支。</w:t>
      </w:r>
    </w:p>
    <w:p w14:paraId="6AA81083">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1635D487">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23F59F8B">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14:paraId="6AE9EFA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年度机关运行经费支出</w:t>
      </w:r>
      <w:r>
        <w:rPr>
          <w:rFonts w:hint="eastAsia" w:ascii="Times New Roman" w:hAnsi="Times New Roman" w:eastAsia="仿宋_GB2312" w:cs="Times New Roman"/>
          <w:sz w:val="32"/>
          <w:szCs w:val="32"/>
          <w:lang w:val="en-US" w:eastAsia="zh-CN"/>
        </w:rPr>
        <w:t>48.72</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上年决算</w:t>
      </w:r>
      <w:r>
        <w:rPr>
          <w:rFonts w:hint="default" w:ascii="Times New Roman" w:hAnsi="Times New Roman" w:eastAsia="仿宋_GB2312" w:cs="Times New Roman"/>
          <w:sz w:val="32"/>
          <w:szCs w:val="32"/>
        </w:rPr>
        <w:t>数</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12.09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33.01</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单位新增在编人员</w:t>
      </w:r>
      <w:r>
        <w:rPr>
          <w:rFonts w:hint="default" w:ascii="Times New Roman" w:hAnsi="Times New Roman" w:eastAsia="仿宋_GB2312" w:cs="Times New Roman"/>
          <w:sz w:val="32"/>
          <w:szCs w:val="32"/>
          <w:lang w:val="en-US" w:eastAsia="zh-CN"/>
        </w:rPr>
        <w:t>1名、</w:t>
      </w:r>
      <w:r>
        <w:rPr>
          <w:rFonts w:hint="default" w:ascii="Times New Roman" w:hAnsi="Times New Roman" w:eastAsia="仿宋_GB2312" w:cs="Times New Roman"/>
          <w:sz w:val="32"/>
          <w:szCs w:val="32"/>
          <w:lang w:eastAsia="zh-CN"/>
        </w:rPr>
        <w:t>新招聘劳务派遣人员</w:t>
      </w:r>
      <w:r>
        <w:rPr>
          <w:rFonts w:hint="default" w:ascii="Times New Roman" w:hAnsi="Times New Roman" w:eastAsia="仿宋_GB2312" w:cs="Times New Roman"/>
          <w:sz w:val="32"/>
          <w:szCs w:val="32"/>
          <w:lang w:val="en-US" w:eastAsia="zh-CN"/>
        </w:rPr>
        <w:t>8名，工资福利支出增加。</w:t>
      </w:r>
    </w:p>
    <w:p w14:paraId="1D3DE360">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4606117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年本部门开支会议费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万元，开支培训费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7AAD0439">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1404833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万元，占授予中小企业合同金额的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%；货物采购授予中小企业合同金额占货物支出金额的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%，工程采购授予中小企业合同金额占工程支出金额的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%，服务采购授予中小企业合同金额占服务支出金额的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7BC0DF60">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160363B2">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年12月31日，部门（单位）共有车辆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辆、执法执勤用车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辆、特种专业技术用车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0辆</w:t>
      </w:r>
      <w:r>
        <w:rPr>
          <w:rFonts w:hint="default" w:ascii="Times New Roman" w:hAnsi="Times New Roman" w:eastAsia="仿宋_GB2312" w:cs="Times New Roman"/>
          <w:sz w:val="32"/>
          <w:szCs w:val="32"/>
        </w:rPr>
        <w:t>；单位价值50万元以上通用设备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台（套）；单位价值100万元以上专用设备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14:paraId="45AE00A0">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4D59BE07">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14:paraId="42D8DBD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根据预算绩效管理要求，我部门组织对202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年度一般公共预算项目支出全面开展绩效自评，其中，一级项目</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个，二级项目</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highlight w:val="none"/>
        </w:rPr>
        <w:t>共涉及资金</w:t>
      </w:r>
      <w:r>
        <w:rPr>
          <w:rFonts w:hint="eastAsia" w:ascii="Times New Roman" w:hAnsi="Times New Roman" w:eastAsia="仿宋_GB2312" w:cs="Times New Roman"/>
          <w:sz w:val="32"/>
          <w:szCs w:val="32"/>
          <w:highlight w:val="none"/>
          <w:lang w:val="en-US" w:eastAsia="zh-CN"/>
        </w:rPr>
        <w:t>117.55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，占一般公共预算项目支出总额的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%。组织对202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个政府性基金预算项目支出开展绩效自评，共涉及资金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万元，占政府性基金预算项目支出总额的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%。组织对202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个国有资本经营预算项目支出开展绩效自评，共涉及资金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万元，占国有资本经营预算项目支出总额的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%。从评价情况来看，</w:t>
      </w:r>
      <w:r>
        <w:rPr>
          <w:rFonts w:hint="default" w:ascii="Times New Roman" w:hAnsi="Times New Roman" w:eastAsia="仿宋_GB2312" w:cs="Times New Roman"/>
          <w:sz w:val="32"/>
          <w:szCs w:val="32"/>
          <w:lang w:eastAsia="zh-CN"/>
        </w:rPr>
        <w:t>预算执行及时、有效，绩效目标得到较好实现，绩效管理水平不断提高。</w:t>
      </w:r>
    </w:p>
    <w:p w14:paraId="502B3E30">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楷体_GB2312" w:cs="Times New Roman"/>
          <w:b/>
          <w:color w:val="000000"/>
          <w:kern w:val="0"/>
          <w:sz w:val="32"/>
          <w:szCs w:val="32"/>
        </w:rPr>
      </w:pPr>
      <w:r>
        <w:rPr>
          <w:rFonts w:hint="default" w:ascii="Times New Roman" w:hAnsi="Times New Roman" w:eastAsia="仿宋_GB2312" w:cs="Times New Roman"/>
          <w:sz w:val="32"/>
          <w:szCs w:val="32"/>
        </w:rPr>
        <w:t>组织对</w:t>
      </w:r>
      <w:r>
        <w:rPr>
          <w:rFonts w:hint="default" w:ascii="Times New Roman" w:hAnsi="Times New Roman" w:eastAsia="仿宋_GB2312" w:cs="Times New Roman"/>
          <w:sz w:val="32"/>
          <w:szCs w:val="32"/>
          <w:lang w:eastAsia="zh-CN"/>
        </w:rPr>
        <w:t>株洲市石峰区行政审批服务局</w:t>
      </w:r>
      <w:r>
        <w:rPr>
          <w:rFonts w:hint="default" w:ascii="Times New Roman" w:hAnsi="Times New Roman" w:eastAsia="仿宋_GB2312" w:cs="Times New Roman"/>
          <w:sz w:val="32"/>
          <w:szCs w:val="32"/>
        </w:rPr>
        <w:t>开展整体支出绩效评价，涉及一般公共预算支出</w:t>
      </w:r>
      <w:r>
        <w:rPr>
          <w:rFonts w:hint="eastAsia" w:ascii="Times New Roman" w:hAnsi="Times New Roman" w:eastAsia="仿宋_GB2312" w:cs="Times New Roman"/>
          <w:sz w:val="32"/>
          <w:szCs w:val="32"/>
          <w:lang w:val="en-US" w:eastAsia="zh-CN"/>
        </w:rPr>
        <w:t>117.55</w:t>
      </w:r>
      <w:r>
        <w:rPr>
          <w:rFonts w:hint="default" w:ascii="Times New Roman" w:hAnsi="Times New Roman" w:eastAsia="仿宋_GB2312" w:cs="Times New Roman"/>
          <w:sz w:val="32"/>
          <w:szCs w:val="32"/>
        </w:rPr>
        <w:t>万元，政府性基金预算支出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部门整体支出绩效评价报告详见第五部分。</w:t>
      </w:r>
    </w:p>
    <w:p w14:paraId="2B62D5ED">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14:paraId="14FB31F2">
      <w:pPr>
        <w:keepNext w:val="0"/>
        <w:keepLines w:val="0"/>
        <w:pageBreakBefore w:val="0"/>
        <w:widowControl w:val="0"/>
        <w:tabs>
          <w:tab w:val="left" w:pos="7560"/>
        </w:tabs>
        <w:kinsoku/>
        <w:wordWrap/>
        <w:overflowPunct/>
        <w:topLinePunct w:val="0"/>
        <w:bidi w:val="0"/>
        <w:adjustRightInd w:val="0"/>
        <w:snapToGrid w:val="0"/>
        <w:spacing w:line="580" w:lineRule="exact"/>
        <w:ind w:firstLine="640" w:firstLineChars="200"/>
        <w:jc w:val="left"/>
        <w:textAlignment w:val="auto"/>
        <w:rPr>
          <w:rFonts w:ascii="Times New Roman" w:hAnsi="Times New Roman" w:eastAsia="黑体" w:cs="Times New Roman"/>
          <w:color w:val="000000"/>
          <w:kern w:val="0"/>
          <w:sz w:val="32"/>
          <w:szCs w:val="32"/>
        </w:rPr>
      </w:pPr>
      <w:r>
        <w:rPr>
          <w:rFonts w:hint="default" w:ascii="Times New Roman" w:hAnsi="Times New Roman" w:eastAsia="仿宋_GB2312" w:cs="Times New Roman"/>
          <w:color w:val="auto"/>
          <w:sz w:val="32"/>
          <w:szCs w:val="32"/>
          <w:lang w:eastAsia="zh-CN"/>
        </w:rPr>
        <w:t>业务性专项经费自评综述：</w:t>
      </w:r>
      <w:r>
        <w:rPr>
          <w:rFonts w:hint="default" w:ascii="Times New Roman" w:hAnsi="Times New Roman" w:eastAsia="仿宋_GB2312" w:cs="Times New Roman"/>
          <w:color w:val="000000"/>
          <w:kern w:val="0"/>
          <w:sz w:val="32"/>
          <w:szCs w:val="32"/>
        </w:rPr>
        <w:t>根据年初设定的绩效目标，项目绩效自评得分为</w:t>
      </w:r>
      <w:r>
        <w:rPr>
          <w:rFonts w:hint="default" w:ascii="Times New Roman" w:hAnsi="Times New Roman" w:eastAsia="仿宋_GB2312" w:cs="Times New Roman"/>
          <w:color w:val="000000"/>
          <w:kern w:val="0"/>
          <w:sz w:val="32"/>
          <w:szCs w:val="32"/>
          <w:lang w:val="en-US" w:eastAsia="zh-CN"/>
        </w:rPr>
        <w:t>100</w:t>
      </w:r>
      <w:r>
        <w:rPr>
          <w:rFonts w:hint="default" w:ascii="Times New Roman" w:hAnsi="Times New Roman" w:eastAsia="仿宋_GB2312" w:cs="Times New Roman"/>
          <w:color w:val="000000"/>
          <w:kern w:val="0"/>
          <w:sz w:val="32"/>
          <w:szCs w:val="32"/>
        </w:rPr>
        <w:t>分。</w:t>
      </w:r>
      <w:r>
        <w:rPr>
          <w:rFonts w:hint="default" w:ascii="Times New Roman" w:hAnsi="Times New Roman" w:eastAsia="仿宋_GB2312" w:cs="Times New Roman"/>
          <w:color w:val="000000"/>
          <w:kern w:val="0"/>
          <w:sz w:val="32"/>
          <w:szCs w:val="32"/>
          <w:lang w:eastAsia="zh-CN"/>
        </w:rPr>
        <w:t>该项目</w:t>
      </w:r>
      <w:r>
        <w:rPr>
          <w:rFonts w:hint="default" w:ascii="Times New Roman" w:hAnsi="Times New Roman" w:eastAsia="仿宋_GB2312" w:cs="Times New Roman"/>
          <w:color w:val="auto"/>
          <w:sz w:val="32"/>
          <w:szCs w:val="32"/>
        </w:rPr>
        <w:t>年初预算金额</w:t>
      </w:r>
      <w:r>
        <w:rPr>
          <w:rFonts w:hint="default" w:ascii="Times New Roman" w:hAnsi="Times New Roman" w:eastAsia="仿宋_GB2312" w:cs="Times New Roman"/>
          <w:color w:val="auto"/>
          <w:sz w:val="32"/>
          <w:szCs w:val="32"/>
          <w:lang w:val="en-US" w:eastAsia="zh-CN"/>
        </w:rPr>
        <w:t>6.30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上级转移支付</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default" w:ascii="Times New Roman" w:hAnsi="Times New Roman" w:eastAsia="仿宋_GB2312" w:cs="Times New Roman"/>
          <w:color w:val="auto"/>
          <w:sz w:val="32"/>
          <w:szCs w:val="32"/>
          <w:lang w:val="en-US" w:eastAsia="zh-CN"/>
        </w:rPr>
        <w:t>0.95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追加</w:t>
      </w:r>
      <w:r>
        <w:rPr>
          <w:rFonts w:hint="default" w:ascii="Times New Roman" w:hAnsi="Times New Roman" w:eastAsia="仿宋_GB2312" w:cs="Times New Roman"/>
          <w:color w:val="auto"/>
          <w:sz w:val="32"/>
          <w:szCs w:val="32"/>
          <w:lang w:val="en-US" w:eastAsia="zh-CN"/>
        </w:rPr>
        <w:t>0.95万元，</w:t>
      </w:r>
      <w:r>
        <w:rPr>
          <w:rFonts w:hint="default" w:ascii="Times New Roman" w:hAnsi="Times New Roman" w:eastAsia="仿宋_GB2312" w:cs="Times New Roman"/>
          <w:color w:val="auto"/>
          <w:sz w:val="32"/>
          <w:szCs w:val="32"/>
        </w:rPr>
        <w:t>实际支出</w:t>
      </w:r>
      <w:r>
        <w:rPr>
          <w:rFonts w:hint="default" w:ascii="Times New Roman" w:hAnsi="Times New Roman" w:eastAsia="仿宋_GB2312" w:cs="Times New Roman"/>
          <w:color w:val="auto"/>
          <w:sz w:val="32"/>
          <w:szCs w:val="32"/>
          <w:lang w:val="en-US" w:eastAsia="zh-CN"/>
        </w:rPr>
        <w:t>7.25</w:t>
      </w:r>
      <w:r>
        <w:rPr>
          <w:rFonts w:hint="default" w:ascii="Times New Roman" w:hAnsi="Times New Roman" w:eastAsia="仿宋_GB2312" w:cs="Times New Roman"/>
          <w:color w:val="auto"/>
          <w:sz w:val="32"/>
          <w:szCs w:val="32"/>
        </w:rPr>
        <w:t>万元，结余结转</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000000"/>
          <w:kern w:val="0"/>
          <w:sz w:val="32"/>
          <w:szCs w:val="32"/>
        </w:rPr>
        <w:t>，完成预算的</w:t>
      </w:r>
      <w:r>
        <w:rPr>
          <w:rFonts w:hint="default" w:ascii="Times New Roman" w:hAnsi="Times New Roman" w:eastAsia="仿宋_GB2312" w:cs="Times New Roman"/>
          <w:color w:val="000000"/>
          <w:kern w:val="0"/>
          <w:sz w:val="32"/>
          <w:szCs w:val="32"/>
          <w:lang w:val="en-US" w:eastAsia="zh-CN"/>
        </w:rPr>
        <w:t>115.08</w:t>
      </w:r>
      <w:r>
        <w:rPr>
          <w:rFonts w:hint="default" w:ascii="Times New Roman" w:hAnsi="Times New Roman" w:eastAsia="仿宋_GB2312" w:cs="Times New Roman"/>
          <w:color w:val="000000"/>
          <w:kern w:val="0"/>
          <w:sz w:val="32"/>
          <w:szCs w:val="32"/>
        </w:rPr>
        <w:t>%。项目绩效目标完成情况：</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i w:val="0"/>
          <w:color w:val="000000"/>
          <w:kern w:val="0"/>
          <w:sz w:val="32"/>
          <w:szCs w:val="32"/>
          <w:u w:val="none"/>
          <w:lang w:val="en-US" w:eastAsia="zh-CN" w:bidi="ar"/>
        </w:rPr>
        <w:t>落实中央和省、市深化“放管服”改革工作要求，持续深化“一件事一次办”改革、</w:t>
      </w:r>
      <w:r>
        <w:rPr>
          <w:rFonts w:hint="default" w:ascii="Times New Roman" w:hAnsi="Times New Roman" w:eastAsia="仿宋_GB2312" w:cs="Times New Roman"/>
          <w:b w:val="0"/>
          <w:bCs w:val="0"/>
          <w:color w:val="000000"/>
          <w:kern w:val="0"/>
          <w:sz w:val="32"/>
          <w:szCs w:val="32"/>
        </w:rPr>
        <w:t>持续深化网格帮代办特色</w:t>
      </w:r>
      <w:r>
        <w:rPr>
          <w:rFonts w:hint="default" w:ascii="Times New Roman" w:hAnsi="Times New Roman" w:eastAsia="仿宋_GB2312" w:cs="Times New Roman"/>
          <w:b w:val="0"/>
          <w:bCs w:val="0"/>
          <w:color w:val="000000"/>
          <w:kern w:val="0"/>
          <w:sz w:val="32"/>
          <w:szCs w:val="32"/>
          <w:lang w:eastAsia="zh-CN"/>
        </w:rPr>
        <w:t>、抓实抓细</w:t>
      </w:r>
      <w:r>
        <w:rPr>
          <w:rFonts w:hint="default" w:ascii="Times New Roman" w:hAnsi="Times New Roman" w:eastAsia="仿宋_GB2312" w:cs="Times New Roman"/>
          <w:i w:val="0"/>
          <w:color w:val="000000"/>
          <w:kern w:val="0"/>
          <w:sz w:val="32"/>
          <w:szCs w:val="32"/>
          <w:u w:val="none"/>
          <w:lang w:val="en-US" w:eastAsia="zh-CN" w:bidi="ar"/>
        </w:rPr>
        <w:t>基层公共服务（一门式）全覆盖、推进“跨域通办”和政务服务优化行动等。</w:t>
      </w:r>
      <w:r>
        <w:rPr>
          <w:rFonts w:hint="eastAsia" w:ascii="仿宋_GB2312" w:hAnsi="仿宋_GB2312" w:eastAsia="仿宋_GB2312" w:cs="仿宋_GB2312"/>
          <w:color w:val="000000"/>
          <w:kern w:val="0"/>
          <w:sz w:val="32"/>
          <w:szCs w:val="32"/>
        </w:rPr>
        <w:t>发现的主要问题及原因：</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w:t>
      </w:r>
    </w:p>
    <w:p w14:paraId="70B5B7B2">
      <w:pPr>
        <w:pStyle w:val="8"/>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BA8EEF0">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0B3E1C4B">
      <w:pPr>
        <w:pStyle w:val="17"/>
        <w:jc w:val="both"/>
        <w:rPr>
          <w:rFonts w:ascii="Times New Roman" w:hAnsi="Times New Roman" w:cs="Times New Roman"/>
          <w:sz w:val="84"/>
          <w:szCs w:val="84"/>
        </w:rPr>
      </w:pPr>
    </w:p>
    <w:p w14:paraId="27799AD6">
      <w:pPr>
        <w:pStyle w:val="17"/>
        <w:jc w:val="both"/>
        <w:rPr>
          <w:rFonts w:ascii="Times New Roman" w:hAnsi="Times New Roman" w:cs="Times New Roman"/>
          <w:sz w:val="84"/>
          <w:szCs w:val="84"/>
        </w:rPr>
      </w:pPr>
    </w:p>
    <w:p w14:paraId="68082660">
      <w:pPr>
        <w:pStyle w:val="17"/>
        <w:jc w:val="both"/>
        <w:rPr>
          <w:rFonts w:ascii="Times New Roman" w:hAnsi="Times New Roman" w:cs="Times New Roman"/>
          <w:sz w:val="84"/>
          <w:szCs w:val="84"/>
        </w:rPr>
      </w:pPr>
    </w:p>
    <w:p w14:paraId="7E306915">
      <w:pPr>
        <w:pStyle w:val="17"/>
        <w:jc w:val="both"/>
        <w:rPr>
          <w:rFonts w:ascii="Times New Roman" w:hAnsi="Times New Roman" w:cs="Times New Roman"/>
          <w:sz w:val="84"/>
          <w:szCs w:val="84"/>
        </w:rPr>
      </w:pPr>
    </w:p>
    <w:p w14:paraId="461E3893">
      <w:pPr>
        <w:pStyle w:val="17"/>
        <w:jc w:val="both"/>
        <w:rPr>
          <w:rFonts w:ascii="Times New Roman" w:hAnsi="Times New Roman" w:cs="Times New Roman"/>
          <w:sz w:val="84"/>
          <w:szCs w:val="84"/>
        </w:rPr>
      </w:pPr>
    </w:p>
    <w:p w14:paraId="36CCFFCB">
      <w:pPr>
        <w:pStyle w:val="17"/>
        <w:jc w:val="both"/>
        <w:rPr>
          <w:rFonts w:ascii="Times New Roman" w:hAnsi="Times New Roman" w:cs="Times New Roman"/>
          <w:sz w:val="84"/>
          <w:szCs w:val="84"/>
        </w:rPr>
      </w:pPr>
    </w:p>
    <w:p w14:paraId="006EE691">
      <w:pPr>
        <w:pStyle w:val="17"/>
        <w:jc w:val="both"/>
        <w:rPr>
          <w:rFonts w:ascii="Times New Roman" w:hAnsi="Times New Roman" w:cs="Times New Roman"/>
          <w:sz w:val="84"/>
          <w:szCs w:val="84"/>
        </w:rPr>
      </w:pPr>
    </w:p>
    <w:p w14:paraId="3D6BE93F">
      <w:pPr>
        <w:pStyle w:val="17"/>
        <w:jc w:val="both"/>
        <w:rPr>
          <w:rFonts w:ascii="Times New Roman" w:hAnsi="Times New Roman" w:cs="Times New Roman"/>
          <w:sz w:val="84"/>
          <w:szCs w:val="84"/>
        </w:rPr>
      </w:pPr>
    </w:p>
    <w:p w14:paraId="4674B004">
      <w:pPr>
        <w:pStyle w:val="17"/>
        <w:jc w:val="both"/>
        <w:rPr>
          <w:rFonts w:ascii="Times New Roman" w:hAnsi="Times New Roman" w:cs="Times New Roman"/>
          <w:sz w:val="84"/>
          <w:szCs w:val="84"/>
        </w:rPr>
      </w:pPr>
    </w:p>
    <w:p w14:paraId="054AD96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032BDE7E">
      <w:pPr>
        <w:pStyle w:val="17"/>
        <w:jc w:val="center"/>
        <w:rPr>
          <w:rFonts w:ascii="Times New Roman" w:hAnsi="Times New Roman" w:eastAsia="方正小标宋简体" w:cs="Times New Roman"/>
          <w:sz w:val="76"/>
          <w:szCs w:val="76"/>
        </w:rPr>
      </w:pPr>
    </w:p>
    <w:p w14:paraId="59C5AAEC">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AF35DC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F778B4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3E71189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1B90AC9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0BF74BD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5471B2B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838CF2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21AC7B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8E3269C">
      <w:pPr>
        <w:pStyle w:val="17"/>
        <w:jc w:val="both"/>
        <w:rPr>
          <w:rFonts w:hint="eastAsia" w:ascii="Times New Roman" w:hAnsi="Times New Roman" w:cs="Times New Roman"/>
          <w:sz w:val="72"/>
          <w:szCs w:val="72"/>
        </w:rPr>
      </w:pPr>
    </w:p>
    <w:p w14:paraId="41266E1F">
      <w:pPr>
        <w:pStyle w:val="17"/>
        <w:jc w:val="both"/>
        <w:rPr>
          <w:rFonts w:ascii="Times New Roman" w:hAnsi="Times New Roman" w:cs="Times New Roman"/>
          <w:sz w:val="84"/>
          <w:szCs w:val="84"/>
        </w:rPr>
      </w:pPr>
    </w:p>
    <w:p w14:paraId="744E67E7">
      <w:pPr>
        <w:pStyle w:val="17"/>
        <w:jc w:val="both"/>
        <w:rPr>
          <w:rFonts w:ascii="Times New Roman" w:hAnsi="Times New Roman" w:cs="Times New Roman"/>
          <w:sz w:val="84"/>
          <w:szCs w:val="84"/>
        </w:rPr>
      </w:pPr>
    </w:p>
    <w:p w14:paraId="33F32DBD">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4FC7A321">
      <w:pPr>
        <w:pStyle w:val="17"/>
        <w:jc w:val="center"/>
        <w:rPr>
          <w:rFonts w:ascii="Times New Roman" w:hAnsi="Times New Roman" w:eastAsia="方正小标宋简体" w:cs="Times New Roman"/>
          <w:sz w:val="56"/>
          <w:szCs w:val="56"/>
        </w:rPr>
      </w:pPr>
    </w:p>
    <w:p w14:paraId="1BDDC1BB">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44196414">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3DF710A2">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33F41205">
      <w:pPr>
        <w:pStyle w:val="17"/>
        <w:spacing w:line="596" w:lineRule="exact"/>
        <w:jc w:val="center"/>
        <w:rPr>
          <w:rFonts w:hint="eastAsia" w:ascii="Times New Roman" w:hAnsi="Times New Roman" w:eastAsia="方正小标宋简体" w:cs="Times New Roman"/>
          <w:sz w:val="32"/>
          <w:szCs w:val="32"/>
          <w:lang w:eastAsia="zh-CN"/>
        </w:rPr>
      </w:pPr>
    </w:p>
    <w:p w14:paraId="332F8D86">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FA1E">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FBC0F1">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DFBC0F1">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3AD6745"/>
    <w:rsid w:val="06915006"/>
    <w:rsid w:val="0751274D"/>
    <w:rsid w:val="07634BF4"/>
    <w:rsid w:val="07A77932"/>
    <w:rsid w:val="08F14AE1"/>
    <w:rsid w:val="0B567F72"/>
    <w:rsid w:val="0C7C6B53"/>
    <w:rsid w:val="0D3F15F5"/>
    <w:rsid w:val="0EF6245F"/>
    <w:rsid w:val="0F5F2145"/>
    <w:rsid w:val="11E43B98"/>
    <w:rsid w:val="13692089"/>
    <w:rsid w:val="1752258F"/>
    <w:rsid w:val="17D64F6F"/>
    <w:rsid w:val="18985D2F"/>
    <w:rsid w:val="18FA38C9"/>
    <w:rsid w:val="19031D93"/>
    <w:rsid w:val="1B323160"/>
    <w:rsid w:val="1B714E5F"/>
    <w:rsid w:val="1C422BD3"/>
    <w:rsid w:val="1E532BCB"/>
    <w:rsid w:val="1EBE63A2"/>
    <w:rsid w:val="1F041D62"/>
    <w:rsid w:val="1F6317DE"/>
    <w:rsid w:val="1F745786"/>
    <w:rsid w:val="218F436F"/>
    <w:rsid w:val="21B1218A"/>
    <w:rsid w:val="21B300CF"/>
    <w:rsid w:val="22C541CF"/>
    <w:rsid w:val="238B2E7B"/>
    <w:rsid w:val="296C2FC8"/>
    <w:rsid w:val="2AD95BF4"/>
    <w:rsid w:val="2F101369"/>
    <w:rsid w:val="30B023A9"/>
    <w:rsid w:val="321612FC"/>
    <w:rsid w:val="32B56379"/>
    <w:rsid w:val="38090922"/>
    <w:rsid w:val="38D75D21"/>
    <w:rsid w:val="395219B1"/>
    <w:rsid w:val="3C855524"/>
    <w:rsid w:val="3E7D0843"/>
    <w:rsid w:val="40D53766"/>
    <w:rsid w:val="43BE0491"/>
    <w:rsid w:val="45717F01"/>
    <w:rsid w:val="46BE0A2A"/>
    <w:rsid w:val="472236C4"/>
    <w:rsid w:val="47867568"/>
    <w:rsid w:val="47C05439"/>
    <w:rsid w:val="49D5105C"/>
    <w:rsid w:val="4B1C68ED"/>
    <w:rsid w:val="4B8003CD"/>
    <w:rsid w:val="4D8A4135"/>
    <w:rsid w:val="4F976C0B"/>
    <w:rsid w:val="519503D4"/>
    <w:rsid w:val="5201655B"/>
    <w:rsid w:val="523F5138"/>
    <w:rsid w:val="536F17F8"/>
    <w:rsid w:val="538D47D7"/>
    <w:rsid w:val="538E105C"/>
    <w:rsid w:val="53BF69FD"/>
    <w:rsid w:val="53E126F6"/>
    <w:rsid w:val="54106B37"/>
    <w:rsid w:val="573963A5"/>
    <w:rsid w:val="581D1822"/>
    <w:rsid w:val="591A5257"/>
    <w:rsid w:val="59AC10B0"/>
    <w:rsid w:val="59DE424E"/>
    <w:rsid w:val="5D2E7409"/>
    <w:rsid w:val="5DE004FC"/>
    <w:rsid w:val="5F622211"/>
    <w:rsid w:val="60841B7E"/>
    <w:rsid w:val="635D15B9"/>
    <w:rsid w:val="64714AD2"/>
    <w:rsid w:val="64857E64"/>
    <w:rsid w:val="65965345"/>
    <w:rsid w:val="65F04BE5"/>
    <w:rsid w:val="686404F6"/>
    <w:rsid w:val="6A484E25"/>
    <w:rsid w:val="6D793547"/>
    <w:rsid w:val="6E0F6D2F"/>
    <w:rsid w:val="6EAE4254"/>
    <w:rsid w:val="6F547DC8"/>
    <w:rsid w:val="72534367"/>
    <w:rsid w:val="74205B29"/>
    <w:rsid w:val="753F6E24"/>
    <w:rsid w:val="75F714AD"/>
    <w:rsid w:val="77AD4519"/>
    <w:rsid w:val="78081C98"/>
    <w:rsid w:val="78A12CF6"/>
    <w:rsid w:val="7B31720F"/>
    <w:rsid w:val="7DC2177C"/>
    <w:rsid w:val="7DFD5ACF"/>
    <w:rsid w:val="7EAA7C1A"/>
    <w:rsid w:val="7F912C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3968</Words>
  <Characters>4286</Characters>
  <Lines>56</Lines>
  <Paragraphs>15</Paragraphs>
  <TotalTime>24</TotalTime>
  <ScaleCrop>false</ScaleCrop>
  <LinksUpToDate>false</LinksUpToDate>
  <CharactersWithSpaces>4302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2024-10-21T03:29:49Z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8645F2A4DBDC4006AF648A598DE04812_13</vt:lpwstr>
  </property>
</Properties>
</file>