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92810">
      <w:pPr>
        <w:pStyle w:val="19"/>
        <w:jc w:val="both"/>
        <w:rPr>
          <w:rFonts w:ascii="Times New Roman" w:hAnsi="Times New Roman" w:cs="Times New Roman"/>
          <w:color w:val="auto"/>
          <w:sz w:val="56"/>
          <w:szCs w:val="56"/>
          <w:highlight w:val="none"/>
        </w:rPr>
      </w:pPr>
    </w:p>
    <w:p w14:paraId="7990BD27">
      <w:pPr>
        <w:pStyle w:val="19"/>
        <w:jc w:val="both"/>
        <w:rPr>
          <w:rFonts w:ascii="Times New Roman" w:hAnsi="Times New Roman" w:cs="Times New Roman"/>
          <w:color w:val="auto"/>
          <w:sz w:val="56"/>
          <w:szCs w:val="56"/>
          <w:highlight w:val="none"/>
        </w:rPr>
      </w:pPr>
    </w:p>
    <w:p w14:paraId="6620ABF1">
      <w:pPr>
        <w:pStyle w:val="19"/>
        <w:jc w:val="both"/>
        <w:rPr>
          <w:rFonts w:ascii="Times New Roman" w:hAnsi="Times New Roman" w:cs="Times New Roman"/>
          <w:color w:val="auto"/>
          <w:sz w:val="84"/>
          <w:szCs w:val="84"/>
          <w:highlight w:val="none"/>
        </w:rPr>
      </w:pPr>
    </w:p>
    <w:p w14:paraId="4E244DEA">
      <w:pPr>
        <w:pStyle w:val="19"/>
        <w:jc w:val="center"/>
        <w:rPr>
          <w:rFonts w:ascii="Times New Roman" w:hAnsi="Times New Roman" w:eastAsia="方正小标宋简体" w:cs="Times New Roman"/>
          <w:color w:val="auto"/>
          <w:sz w:val="76"/>
          <w:szCs w:val="76"/>
          <w:highlight w:val="none"/>
        </w:rPr>
      </w:pPr>
    </w:p>
    <w:p w14:paraId="0345098F">
      <w:pPr>
        <w:pStyle w:val="19"/>
        <w:jc w:val="center"/>
        <w:rPr>
          <w:rFonts w:ascii="Times New Roman" w:hAnsi="Times New Roman" w:eastAsia="方正小标宋简体" w:cs="Times New Roman"/>
          <w:color w:val="auto"/>
          <w:sz w:val="72"/>
          <w:szCs w:val="72"/>
          <w:highlight w:val="none"/>
        </w:rPr>
      </w:pPr>
      <w:r>
        <w:rPr>
          <w:rFonts w:ascii="Times New Roman" w:hAnsi="Times New Roman" w:eastAsia="方正小标宋简体" w:cs="Times New Roman"/>
          <w:color w:val="auto"/>
          <w:sz w:val="72"/>
          <w:szCs w:val="72"/>
          <w:highlight w:val="none"/>
        </w:rPr>
        <w:t>2023年度</w:t>
      </w:r>
    </w:p>
    <w:p w14:paraId="0DECE492">
      <w:pPr>
        <w:pStyle w:val="19"/>
        <w:jc w:val="center"/>
        <w:rPr>
          <w:rFonts w:hint="default" w:ascii="Times New Roman" w:hAnsi="Times New Roman" w:eastAsia="方正小标宋简体" w:cs="Times New Roman"/>
          <w:color w:val="auto"/>
          <w:sz w:val="72"/>
          <w:szCs w:val="72"/>
          <w:highlight w:val="none"/>
        </w:rPr>
      </w:pPr>
      <w:bookmarkStart w:id="0" w:name="_GoBack"/>
      <w:r>
        <w:rPr>
          <w:rFonts w:hint="eastAsia" w:ascii="Times New Roman" w:hAnsi="Times New Roman" w:eastAsia="方正小标宋简体" w:cs="Times New Roman"/>
          <w:color w:val="auto"/>
          <w:sz w:val="72"/>
          <w:szCs w:val="72"/>
          <w:highlight w:val="none"/>
          <w:lang w:eastAsia="zh-CN"/>
        </w:rPr>
        <w:t>株洲市</w:t>
      </w:r>
      <w:r>
        <w:rPr>
          <w:rFonts w:hint="default" w:ascii="Times New Roman" w:hAnsi="Times New Roman" w:eastAsia="方正小标宋简体" w:cs="Times New Roman"/>
          <w:color w:val="auto"/>
          <w:sz w:val="72"/>
          <w:szCs w:val="72"/>
          <w:highlight w:val="none"/>
          <w:lang w:eastAsia="zh-CN"/>
        </w:rPr>
        <w:t>石峰区人民政府办公室</w:t>
      </w:r>
      <w:bookmarkEnd w:id="0"/>
    </w:p>
    <w:p w14:paraId="0CA63B9C">
      <w:pPr>
        <w:pStyle w:val="19"/>
        <w:jc w:val="center"/>
        <w:rPr>
          <w:rFonts w:ascii="Times New Roman" w:hAnsi="Times New Roman" w:eastAsia="方正小标宋简体" w:cs="Times New Roman"/>
          <w:color w:val="auto"/>
          <w:sz w:val="72"/>
          <w:szCs w:val="72"/>
          <w:highlight w:val="none"/>
        </w:rPr>
      </w:pPr>
      <w:r>
        <w:rPr>
          <w:rFonts w:ascii="Times New Roman" w:hAnsi="Times New Roman" w:eastAsia="方正小标宋简体" w:cs="Times New Roman"/>
          <w:color w:val="auto"/>
          <w:sz w:val="72"/>
          <w:szCs w:val="72"/>
          <w:highlight w:val="none"/>
        </w:rPr>
        <w:t>部门决算</w:t>
      </w:r>
    </w:p>
    <w:p w14:paraId="2519169E">
      <w:pPr>
        <w:pStyle w:val="19"/>
        <w:jc w:val="both"/>
        <w:rPr>
          <w:rFonts w:ascii="Times New Roman" w:hAnsi="Times New Roman" w:cs="Times New Roman"/>
          <w:color w:val="auto"/>
          <w:sz w:val="32"/>
          <w:szCs w:val="32"/>
          <w:highlight w:val="none"/>
        </w:rPr>
      </w:pPr>
    </w:p>
    <w:p w14:paraId="1956B5BD">
      <w:pPr>
        <w:pStyle w:val="19"/>
        <w:spacing w:line="440" w:lineRule="exact"/>
        <w:ind w:firstLine="640" w:firstLineChars="200"/>
        <w:jc w:val="center"/>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br w:type="page"/>
      </w:r>
      <w:r>
        <w:rPr>
          <w:rFonts w:ascii="Times New Roman" w:hAnsi="Times New Roman" w:cs="Times New Roman"/>
          <w:color w:val="auto"/>
          <w:sz w:val="32"/>
          <w:szCs w:val="32"/>
          <w:highlight w:val="none"/>
        </w:rPr>
        <w:t>目录</w:t>
      </w:r>
    </w:p>
    <w:p w14:paraId="131AD569">
      <w:pPr>
        <w:pStyle w:val="19"/>
        <w:spacing w:line="440" w:lineRule="exact"/>
        <w:ind w:firstLine="640" w:firstLineChars="200"/>
        <w:jc w:val="both"/>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 xml:space="preserve">第一部分 </w:t>
      </w:r>
      <w:r>
        <w:rPr>
          <w:rFonts w:hint="eastAsia" w:ascii="Times New Roman" w:hAnsi="Times New Roman" w:cs="Times New Roman"/>
          <w:color w:val="auto"/>
          <w:sz w:val="32"/>
          <w:szCs w:val="32"/>
          <w:highlight w:val="none"/>
          <w:lang w:eastAsia="zh-CN"/>
        </w:rPr>
        <w:t>株洲市</w:t>
      </w:r>
      <w:r>
        <w:rPr>
          <w:rFonts w:hint="default" w:ascii="Times New Roman" w:hAnsi="Times New Roman" w:cs="Times New Roman"/>
          <w:color w:val="auto"/>
          <w:sz w:val="32"/>
          <w:szCs w:val="32"/>
          <w:highlight w:val="none"/>
          <w:lang w:eastAsia="zh-CN"/>
        </w:rPr>
        <w:t>石峰区人民政府办公室</w:t>
      </w:r>
      <w:r>
        <w:rPr>
          <w:rFonts w:ascii="Times New Roman" w:hAnsi="Times New Roman" w:cs="Times New Roman"/>
          <w:color w:val="auto"/>
          <w:sz w:val="32"/>
          <w:szCs w:val="32"/>
          <w:highlight w:val="none"/>
        </w:rPr>
        <w:t>概况</w:t>
      </w:r>
    </w:p>
    <w:p w14:paraId="19BF0A40">
      <w:pPr>
        <w:pStyle w:val="19"/>
        <w:spacing w:line="44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一、部门职责</w:t>
      </w:r>
    </w:p>
    <w:p w14:paraId="5EA6F82D">
      <w:pPr>
        <w:pStyle w:val="19"/>
        <w:spacing w:line="44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二、机构设置</w:t>
      </w:r>
    </w:p>
    <w:p w14:paraId="2946A084">
      <w:pPr>
        <w:pStyle w:val="19"/>
        <w:spacing w:line="440" w:lineRule="exact"/>
        <w:ind w:firstLine="640" w:firstLineChars="200"/>
        <w:jc w:val="both"/>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第二部分  2023年度部门决算表</w:t>
      </w:r>
    </w:p>
    <w:p w14:paraId="16B5EC96">
      <w:pPr>
        <w:pStyle w:val="19"/>
        <w:spacing w:line="44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一、收入支出决算总表</w:t>
      </w:r>
    </w:p>
    <w:p w14:paraId="711FC984">
      <w:pPr>
        <w:pStyle w:val="19"/>
        <w:spacing w:line="44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二、收入决算表</w:t>
      </w:r>
    </w:p>
    <w:p w14:paraId="41E7E199">
      <w:pPr>
        <w:pStyle w:val="19"/>
        <w:spacing w:line="44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三、支出决算表</w:t>
      </w:r>
    </w:p>
    <w:p w14:paraId="1AC9C3E5">
      <w:pPr>
        <w:pStyle w:val="19"/>
        <w:spacing w:line="44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四、财政拨款收入支出决算总表</w:t>
      </w:r>
    </w:p>
    <w:p w14:paraId="47E2404A">
      <w:pPr>
        <w:pStyle w:val="19"/>
        <w:spacing w:line="44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五、一般公共预算财政拨款支出决算表</w:t>
      </w:r>
    </w:p>
    <w:p w14:paraId="38483008">
      <w:pPr>
        <w:pStyle w:val="19"/>
        <w:spacing w:line="44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六、一般公共预算财政拨款基本支出决算明细表</w:t>
      </w:r>
    </w:p>
    <w:p w14:paraId="467FD672">
      <w:pPr>
        <w:pStyle w:val="19"/>
        <w:spacing w:line="44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七、一般公共预算财政拨款“三公”经费支出决算表</w:t>
      </w:r>
    </w:p>
    <w:p w14:paraId="5072B5F4">
      <w:pPr>
        <w:pStyle w:val="19"/>
        <w:spacing w:line="44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八、政府性基金预算财政拨款收入支出决算表</w:t>
      </w:r>
    </w:p>
    <w:p w14:paraId="181489EE">
      <w:pPr>
        <w:pStyle w:val="19"/>
        <w:spacing w:line="44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九、国有资本经营预算财政拨款支出决算表</w:t>
      </w:r>
    </w:p>
    <w:p w14:paraId="594D7246">
      <w:pPr>
        <w:pStyle w:val="19"/>
        <w:spacing w:line="440" w:lineRule="exact"/>
        <w:ind w:firstLine="640" w:firstLineChars="200"/>
        <w:jc w:val="both"/>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第三部分  2023年度部门决算情况说明</w:t>
      </w:r>
    </w:p>
    <w:p w14:paraId="31066E4E">
      <w:pPr>
        <w:pStyle w:val="19"/>
        <w:spacing w:line="44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一、收入支出决算总体情况说明</w:t>
      </w:r>
    </w:p>
    <w:p w14:paraId="27CE037E">
      <w:pPr>
        <w:spacing w:line="44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二、收入决算情况说明</w:t>
      </w:r>
    </w:p>
    <w:p w14:paraId="114B6938">
      <w:pPr>
        <w:autoSpaceDE w:val="0"/>
        <w:autoSpaceDN w:val="0"/>
        <w:adjustRightInd w:val="0"/>
        <w:spacing w:line="44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三、支出决算情况说明</w:t>
      </w:r>
    </w:p>
    <w:p w14:paraId="112AAF2C">
      <w:pPr>
        <w:autoSpaceDE w:val="0"/>
        <w:autoSpaceDN w:val="0"/>
        <w:adjustRightInd w:val="0"/>
        <w:spacing w:line="44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四、财政拨款收入支出决算总体情况说明</w:t>
      </w:r>
    </w:p>
    <w:p w14:paraId="094EB241">
      <w:pPr>
        <w:autoSpaceDE w:val="0"/>
        <w:autoSpaceDN w:val="0"/>
        <w:adjustRightInd w:val="0"/>
        <w:spacing w:line="44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五、一般公共预算财政拨款支出决算情况说明</w:t>
      </w:r>
    </w:p>
    <w:p w14:paraId="047A5830">
      <w:pPr>
        <w:autoSpaceDE w:val="0"/>
        <w:autoSpaceDN w:val="0"/>
        <w:adjustRightInd w:val="0"/>
        <w:spacing w:line="44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六、一般公共预算财政拨款基本支出决算情况说明</w:t>
      </w:r>
    </w:p>
    <w:p w14:paraId="47C32559">
      <w:pPr>
        <w:autoSpaceDE w:val="0"/>
        <w:autoSpaceDN w:val="0"/>
        <w:adjustRightInd w:val="0"/>
        <w:spacing w:line="44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七、一般公共预算财政拨款“三公”经费支出决算情况说明</w:t>
      </w:r>
    </w:p>
    <w:p w14:paraId="521EDFF5">
      <w:pPr>
        <w:autoSpaceDE w:val="0"/>
        <w:autoSpaceDN w:val="0"/>
        <w:adjustRightInd w:val="0"/>
        <w:spacing w:line="44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八、政府性基金预算收入支出决算情况</w:t>
      </w:r>
    </w:p>
    <w:p w14:paraId="32686AF4">
      <w:pPr>
        <w:autoSpaceDE w:val="0"/>
        <w:autoSpaceDN w:val="0"/>
        <w:adjustRightInd w:val="0"/>
        <w:spacing w:line="44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九、国有资本经营预算支出决算情况</w:t>
      </w:r>
    </w:p>
    <w:p w14:paraId="23640F82">
      <w:pPr>
        <w:autoSpaceDE w:val="0"/>
        <w:autoSpaceDN w:val="0"/>
        <w:adjustRightInd w:val="0"/>
        <w:spacing w:line="44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十、机关运行经费支出说明</w:t>
      </w:r>
    </w:p>
    <w:p w14:paraId="26FB1272">
      <w:pPr>
        <w:autoSpaceDE w:val="0"/>
        <w:autoSpaceDN w:val="0"/>
        <w:adjustRightInd w:val="0"/>
        <w:spacing w:line="44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十一、一般性支出情况说明</w:t>
      </w:r>
    </w:p>
    <w:p w14:paraId="1F6A0AC2">
      <w:pPr>
        <w:autoSpaceDE w:val="0"/>
        <w:autoSpaceDN w:val="0"/>
        <w:adjustRightInd w:val="0"/>
        <w:spacing w:line="44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十二、政府采购支出说明</w:t>
      </w:r>
    </w:p>
    <w:p w14:paraId="54A66EBA">
      <w:pPr>
        <w:pStyle w:val="19"/>
        <w:spacing w:line="44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十三、国有资产占用情况说明</w:t>
      </w:r>
    </w:p>
    <w:p w14:paraId="5C0AF9B5">
      <w:pPr>
        <w:pStyle w:val="19"/>
        <w:spacing w:line="44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十四、重点项目预算的绩效评价结果等情况说明</w:t>
      </w:r>
    </w:p>
    <w:p w14:paraId="6E442B11">
      <w:pPr>
        <w:pStyle w:val="19"/>
        <w:spacing w:line="44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十五、其他重要事项说明</w:t>
      </w:r>
    </w:p>
    <w:p w14:paraId="505E89E3">
      <w:pPr>
        <w:pStyle w:val="19"/>
        <w:spacing w:line="440" w:lineRule="exact"/>
        <w:ind w:firstLine="640" w:firstLineChars="200"/>
        <w:jc w:val="both"/>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第四部分  名词解释</w:t>
      </w:r>
    </w:p>
    <w:p w14:paraId="73D18F11">
      <w:pPr>
        <w:pStyle w:val="19"/>
        <w:spacing w:line="440" w:lineRule="exact"/>
        <w:ind w:firstLine="640" w:firstLineChars="200"/>
        <w:jc w:val="both"/>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第五部分  附件</w:t>
      </w:r>
    </w:p>
    <w:p w14:paraId="43A47615">
      <w:pPr>
        <w:pStyle w:val="19"/>
        <w:spacing w:line="440" w:lineRule="exact"/>
        <w:jc w:val="both"/>
        <w:rPr>
          <w:rFonts w:ascii="Times New Roman" w:hAnsi="Times New Roman" w:cs="Times New Roman"/>
          <w:color w:val="auto"/>
          <w:sz w:val="84"/>
          <w:szCs w:val="84"/>
          <w:highlight w:val="none"/>
        </w:rPr>
      </w:pPr>
      <w:r>
        <w:rPr>
          <w:rFonts w:ascii="Times New Roman" w:hAnsi="Times New Roman" w:cs="Times New Roman"/>
          <w:color w:val="auto"/>
          <w:sz w:val="84"/>
          <w:szCs w:val="84"/>
          <w:highlight w:val="none"/>
        </w:rPr>
        <w:br w:type="page"/>
      </w:r>
    </w:p>
    <w:p w14:paraId="68FC1640">
      <w:pPr>
        <w:pStyle w:val="19"/>
        <w:jc w:val="both"/>
        <w:rPr>
          <w:rFonts w:ascii="Times New Roman" w:hAnsi="Times New Roman" w:cs="Times New Roman"/>
          <w:color w:val="auto"/>
          <w:sz w:val="84"/>
          <w:szCs w:val="84"/>
          <w:highlight w:val="none"/>
        </w:rPr>
      </w:pPr>
    </w:p>
    <w:p w14:paraId="099DFBBC">
      <w:pPr>
        <w:pStyle w:val="19"/>
        <w:jc w:val="both"/>
        <w:rPr>
          <w:rFonts w:ascii="Times New Roman" w:hAnsi="Times New Roman" w:cs="Times New Roman"/>
          <w:color w:val="auto"/>
          <w:sz w:val="84"/>
          <w:szCs w:val="84"/>
          <w:highlight w:val="none"/>
        </w:rPr>
      </w:pPr>
    </w:p>
    <w:p w14:paraId="4C66972C">
      <w:pPr>
        <w:pStyle w:val="19"/>
        <w:jc w:val="center"/>
        <w:rPr>
          <w:rFonts w:ascii="Times New Roman" w:hAnsi="Times New Roman" w:eastAsia="方正小标宋简体" w:cs="Times New Roman"/>
          <w:color w:val="auto"/>
          <w:w w:val="90"/>
          <w:sz w:val="76"/>
          <w:szCs w:val="76"/>
          <w:highlight w:val="none"/>
        </w:rPr>
      </w:pPr>
    </w:p>
    <w:p w14:paraId="14FBE8F9">
      <w:pPr>
        <w:pStyle w:val="19"/>
        <w:jc w:val="center"/>
        <w:rPr>
          <w:rFonts w:ascii="Times New Roman" w:hAnsi="Times New Roman" w:eastAsia="方正小标宋简体" w:cs="Times New Roman"/>
          <w:color w:val="auto"/>
          <w:sz w:val="76"/>
          <w:szCs w:val="76"/>
          <w:highlight w:val="none"/>
        </w:rPr>
      </w:pPr>
      <w:r>
        <w:rPr>
          <w:rFonts w:ascii="Times New Roman" w:hAnsi="Times New Roman" w:eastAsia="方正小标宋简体" w:cs="Times New Roman"/>
          <w:color w:val="auto"/>
          <w:sz w:val="76"/>
          <w:szCs w:val="76"/>
          <w:highlight w:val="none"/>
        </w:rPr>
        <w:t>第一部分</w:t>
      </w:r>
    </w:p>
    <w:p w14:paraId="29D6D0FC">
      <w:pPr>
        <w:pStyle w:val="19"/>
        <w:jc w:val="center"/>
        <w:rPr>
          <w:rFonts w:hint="default" w:ascii="Times New Roman" w:hAnsi="Times New Roman" w:eastAsia="方正小标宋简体" w:cs="Times New Roman"/>
          <w:color w:val="auto"/>
          <w:sz w:val="72"/>
          <w:szCs w:val="72"/>
          <w:highlight w:val="none"/>
          <w:lang w:eastAsia="zh-CN"/>
        </w:rPr>
      </w:pPr>
      <w:r>
        <w:rPr>
          <w:rFonts w:hint="eastAsia" w:ascii="Times New Roman" w:hAnsi="Times New Roman" w:eastAsia="方正小标宋简体" w:cs="Times New Roman"/>
          <w:color w:val="auto"/>
          <w:sz w:val="72"/>
          <w:szCs w:val="72"/>
          <w:highlight w:val="none"/>
          <w:lang w:eastAsia="zh-CN"/>
        </w:rPr>
        <w:t>株洲市</w:t>
      </w:r>
      <w:r>
        <w:rPr>
          <w:rFonts w:hint="default" w:ascii="Times New Roman" w:hAnsi="Times New Roman" w:eastAsia="方正小标宋简体" w:cs="Times New Roman"/>
          <w:color w:val="auto"/>
          <w:sz w:val="72"/>
          <w:szCs w:val="72"/>
          <w:highlight w:val="none"/>
          <w:lang w:eastAsia="zh-CN"/>
        </w:rPr>
        <w:t>石峰区人民政府办公室</w:t>
      </w:r>
    </w:p>
    <w:p w14:paraId="317888C9">
      <w:pPr>
        <w:pStyle w:val="19"/>
        <w:jc w:val="center"/>
        <w:rPr>
          <w:rFonts w:ascii="Times New Roman" w:hAnsi="Times New Roman" w:eastAsia="方正小标宋简体" w:cs="Times New Roman"/>
          <w:color w:val="auto"/>
          <w:sz w:val="76"/>
          <w:szCs w:val="76"/>
          <w:highlight w:val="none"/>
        </w:rPr>
      </w:pPr>
      <w:r>
        <w:rPr>
          <w:rFonts w:ascii="Times New Roman" w:hAnsi="Times New Roman" w:eastAsia="方正小标宋简体" w:cs="Times New Roman"/>
          <w:color w:val="auto"/>
          <w:sz w:val="76"/>
          <w:szCs w:val="76"/>
          <w:highlight w:val="none"/>
        </w:rPr>
        <w:t>单位概况</w:t>
      </w:r>
    </w:p>
    <w:p w14:paraId="68FA52E3">
      <w:pPr>
        <w:pStyle w:val="20"/>
        <w:numPr>
          <w:ilvl w:val="0"/>
          <w:numId w:val="1"/>
        </w:numPr>
        <w:overflowPunct w:val="0"/>
        <w:spacing w:line="596" w:lineRule="exact"/>
        <w:ind w:firstLineChars="0"/>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br w:type="page"/>
      </w:r>
      <w:r>
        <w:rPr>
          <w:rFonts w:ascii="Times New Roman" w:hAnsi="Times New Roman" w:eastAsia="黑体" w:cs="Times New Roman"/>
          <w:color w:val="auto"/>
          <w:sz w:val="32"/>
          <w:szCs w:val="32"/>
          <w:highlight w:val="none"/>
        </w:rPr>
        <w:t>部门职责</w:t>
      </w:r>
    </w:p>
    <w:p w14:paraId="5EC2D36F">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lang w:val="en-US" w:eastAsia="zh-CN"/>
        </w:rPr>
        <w:t>株洲市石峰区人民政府办公室</w:t>
      </w:r>
      <w:r>
        <w:rPr>
          <w:rFonts w:hint="eastAsia" w:ascii="仿宋" w:hAnsi="仿宋" w:eastAsia="仿宋" w:cs="仿宋"/>
          <w:bCs/>
          <w:color w:val="auto"/>
          <w:kern w:val="0"/>
          <w:sz w:val="32"/>
          <w:szCs w:val="32"/>
          <w:highlight w:val="none"/>
        </w:rPr>
        <w:t>（以下简称</w:t>
      </w:r>
      <w:r>
        <w:rPr>
          <w:rFonts w:hint="eastAsia" w:ascii="仿宋" w:hAnsi="仿宋" w:eastAsia="仿宋" w:cs="仿宋"/>
          <w:bCs/>
          <w:color w:val="auto"/>
          <w:kern w:val="0"/>
          <w:sz w:val="32"/>
          <w:szCs w:val="32"/>
          <w:highlight w:val="none"/>
          <w:lang w:eastAsia="zh-CN"/>
        </w:rPr>
        <w:t>政府办</w:t>
      </w:r>
      <w:r>
        <w:rPr>
          <w:rFonts w:hint="eastAsia" w:ascii="仿宋" w:hAnsi="仿宋" w:eastAsia="仿宋" w:cs="仿宋"/>
          <w:bCs/>
          <w:color w:val="auto"/>
          <w:kern w:val="0"/>
          <w:sz w:val="32"/>
          <w:szCs w:val="32"/>
          <w:highlight w:val="none"/>
        </w:rPr>
        <w:t>）的主要职责是：</w:t>
      </w:r>
    </w:p>
    <w:p w14:paraId="1DB0D0C3">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（一）协助区政府领导组织起草和审核以区政府、区政府办公室名义发布的文件，起草区政府领导讲话材料。</w:t>
      </w:r>
    </w:p>
    <w:p w14:paraId="7F939400">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（二）受理承办政府工作部门和街道办事处对区政府的请示，提出初步意见，并按程序审批。</w:t>
      </w:r>
    </w:p>
    <w:p w14:paraId="70C38452">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（三）负责区政府会务工作，协助区政府领导组织实施会议决定的事项。</w:t>
      </w:r>
    </w:p>
    <w:p w14:paraId="52A4D4A5">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（四）根据区政府领导的指示或办理公文的需要，协调区政府有关部门的关系，对相关问题提出处理意见，报区政府有关领导，并按程序进行决定。</w:t>
      </w:r>
    </w:p>
    <w:p w14:paraId="74285457">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（五）负责对国务院、省、市、区政府重要决定、决策和区政府领导有关指示的执行落实情况进行督查并跟踪调研，及时向区政府领导报告。</w:t>
      </w:r>
    </w:p>
    <w:p w14:paraId="5CFB248A">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（六）根据区政府领导的指示和区政府的工作部署，对涉及全区经济建设、社会发展和改革开放等全局性工作的重大课题进行调查研究，及时反映情况，提出对策建议；指导、协调全区政府系统的调研工作。</w:t>
      </w:r>
    </w:p>
    <w:p w14:paraId="2D527CB3">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（七）负责收集、整理、传递、上报政务信息，为区政府领导决策和指导工作服务。</w:t>
      </w:r>
    </w:p>
    <w:p w14:paraId="645192C5">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（八）负责区政府值班工作，及时向区政府领导报告重要情况，协助处理政府工作部门和街道办事处向区政府反映的重要问题，传达和督促落实区政府领导指示。</w:t>
      </w:r>
    </w:p>
    <w:p w14:paraId="7E46D16C">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（九）负责全区优化经济发展环境工作有关职责。</w:t>
      </w:r>
    </w:p>
    <w:p w14:paraId="28553E49">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（十）负责推进、指导、协调、监督全区政府信息公开工作。</w:t>
      </w:r>
    </w:p>
    <w:p w14:paraId="71DBAF98">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承办区政府有关公务活动和公务接待工作。</w:t>
      </w:r>
    </w:p>
    <w:p w14:paraId="114043E3">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完成区委、区政府交办的其他事项。</w:t>
      </w:r>
    </w:p>
    <w:p w14:paraId="31EBB95F">
      <w:pPr>
        <w:numPr>
          <w:ilvl w:val="0"/>
          <w:numId w:val="1"/>
        </w:numPr>
        <w:overflowPunct w:val="0"/>
        <w:spacing w:line="596" w:lineRule="exact"/>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机构设置及决算单位构成</w:t>
      </w:r>
    </w:p>
    <w:p w14:paraId="39CFECCA">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
          <w:bCs w:val="0"/>
          <w:color w:val="auto"/>
          <w:kern w:val="0"/>
          <w:sz w:val="32"/>
          <w:szCs w:val="32"/>
          <w:highlight w:val="none"/>
        </w:rPr>
        <w:t>（一）内设机构设置。</w:t>
      </w:r>
      <w:r>
        <w:rPr>
          <w:rFonts w:hint="eastAsia" w:ascii="仿宋" w:hAnsi="仿宋" w:eastAsia="仿宋" w:cs="仿宋"/>
          <w:bCs/>
          <w:color w:val="auto"/>
          <w:kern w:val="0"/>
          <w:sz w:val="32"/>
          <w:szCs w:val="32"/>
          <w:highlight w:val="none"/>
          <w:lang w:val="en-US" w:eastAsia="zh-CN"/>
        </w:rPr>
        <w:t>株洲市石峰区人民政府办公室</w:t>
      </w:r>
      <w:r>
        <w:rPr>
          <w:rFonts w:hint="eastAsia" w:ascii="仿宋" w:hAnsi="仿宋" w:eastAsia="仿宋" w:cs="仿宋"/>
          <w:color w:val="auto"/>
          <w:kern w:val="0"/>
          <w:sz w:val="32"/>
          <w:szCs w:val="32"/>
          <w:highlight w:val="none"/>
          <w:lang w:val="en-US" w:eastAsia="zh-CN" w:bidi="ar-SA"/>
        </w:rPr>
        <w:t>属于石峰区一级预算单位，现有预算单位1个。</w:t>
      </w:r>
      <w:r>
        <w:rPr>
          <w:rFonts w:hint="eastAsia" w:ascii="仿宋" w:hAnsi="仿宋" w:eastAsia="仿宋" w:cs="仿宋"/>
          <w:color w:val="auto"/>
          <w:sz w:val="32"/>
          <w:szCs w:val="32"/>
          <w:highlight w:val="none"/>
        </w:rPr>
        <w:t>本部门共有编制人数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19个行政编、5个事业编、2个工勤编</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，实有人数</w:t>
      </w:r>
      <w:r>
        <w:rPr>
          <w:rFonts w:hint="eastAsia" w:ascii="仿宋" w:hAnsi="仿宋" w:eastAsia="仿宋" w:cs="仿宋"/>
          <w:color w:val="auto"/>
          <w:sz w:val="32"/>
          <w:szCs w:val="32"/>
          <w:highlight w:val="none"/>
          <w:lang w:val="en-US"/>
        </w:rPr>
        <w:t>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人。内设科室</w:t>
      </w:r>
      <w:r>
        <w:rPr>
          <w:rFonts w:hint="eastAsia" w:ascii="仿宋" w:hAnsi="仿宋" w:eastAsia="仿宋" w:cs="仿宋"/>
          <w:color w:val="auto"/>
          <w:sz w:val="32"/>
          <w:szCs w:val="32"/>
          <w:highlight w:val="none"/>
          <w:lang w:val="en-US"/>
        </w:rPr>
        <w:t>4</w:t>
      </w:r>
      <w:r>
        <w:rPr>
          <w:rFonts w:hint="eastAsia" w:ascii="仿宋" w:hAnsi="仿宋" w:eastAsia="仿宋" w:cs="仿宋"/>
          <w:color w:val="auto"/>
          <w:sz w:val="32"/>
          <w:szCs w:val="32"/>
          <w:highlight w:val="none"/>
        </w:rPr>
        <w:t>个</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分别为：综合室、调研室、督查室（对外称石峰区</w:t>
      </w:r>
      <w:r>
        <w:rPr>
          <w:rFonts w:hint="eastAsia" w:ascii="仿宋" w:hAnsi="仿宋" w:eastAsia="仿宋" w:cs="仿宋"/>
          <w:color w:val="auto"/>
          <w:sz w:val="32"/>
          <w:szCs w:val="32"/>
          <w:highlight w:val="none"/>
          <w:lang w:eastAsia="zh-CN"/>
        </w:rPr>
        <w:t>人民</w:t>
      </w:r>
      <w:r>
        <w:rPr>
          <w:rFonts w:hint="eastAsia" w:ascii="仿宋" w:hAnsi="仿宋" w:eastAsia="仿宋" w:cs="仿宋"/>
          <w:color w:val="auto"/>
          <w:sz w:val="32"/>
          <w:szCs w:val="32"/>
          <w:highlight w:val="none"/>
        </w:rPr>
        <w:t>政府督查室）、文电室</w:t>
      </w:r>
      <w:r>
        <w:rPr>
          <w:rFonts w:hint="eastAsia" w:ascii="仿宋" w:hAnsi="仿宋" w:eastAsia="仿宋" w:cs="仿宋"/>
          <w:color w:val="auto"/>
          <w:sz w:val="32"/>
          <w:szCs w:val="32"/>
          <w:highlight w:val="none"/>
          <w:lang w:eastAsia="zh-CN"/>
        </w:rPr>
        <w:t>。</w:t>
      </w:r>
      <w:r>
        <w:rPr>
          <w:rFonts w:hint="eastAsia" w:ascii="仿宋" w:hAnsi="仿宋" w:eastAsia="仿宋" w:cs="黑体"/>
          <w:color w:val="auto"/>
          <w:kern w:val="0"/>
          <w:sz w:val="32"/>
          <w:szCs w:val="32"/>
          <w:highlight w:val="none"/>
          <w:lang w:val="en-US" w:eastAsia="zh-CN" w:bidi="ar-SA"/>
        </w:rPr>
        <w:t>全部</w:t>
      </w:r>
      <w:r>
        <w:rPr>
          <w:rFonts w:hint="default" w:ascii="仿宋" w:hAnsi="仿宋" w:eastAsia="仿宋" w:cs="黑体"/>
          <w:color w:val="auto"/>
          <w:kern w:val="0"/>
          <w:sz w:val="32"/>
          <w:szCs w:val="32"/>
          <w:highlight w:val="none"/>
          <w:lang w:val="en-US" w:eastAsia="zh-CN" w:bidi="ar-SA"/>
        </w:rPr>
        <w:t>纳入本年部门决算编制范围。</w:t>
      </w:r>
    </w:p>
    <w:p w14:paraId="6D1C09E7">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
          <w:bCs w:val="0"/>
          <w:color w:val="auto"/>
          <w:kern w:val="0"/>
          <w:sz w:val="32"/>
          <w:szCs w:val="32"/>
          <w:highlight w:val="none"/>
        </w:rPr>
        <w:t>（二）决算单位构成。</w:t>
      </w:r>
      <w:r>
        <w:rPr>
          <w:rFonts w:hint="eastAsia" w:ascii="仿宋" w:hAnsi="仿宋" w:eastAsia="仿宋" w:cs="仿宋"/>
          <w:bCs/>
          <w:color w:val="auto"/>
          <w:kern w:val="0"/>
          <w:sz w:val="32"/>
          <w:szCs w:val="32"/>
          <w:highlight w:val="none"/>
          <w:lang w:val="en-US" w:eastAsia="zh-CN"/>
        </w:rPr>
        <w:t>株洲市石峰区人民政府办公室</w:t>
      </w:r>
      <w:r>
        <w:rPr>
          <w:rFonts w:hint="eastAsia" w:ascii="仿宋" w:hAnsi="仿宋" w:eastAsia="仿宋" w:cs="仿宋"/>
          <w:bCs/>
          <w:color w:val="auto"/>
          <w:kern w:val="0"/>
          <w:sz w:val="32"/>
          <w:szCs w:val="32"/>
          <w:highlight w:val="none"/>
        </w:rPr>
        <w:t>202</w:t>
      </w:r>
      <w:r>
        <w:rPr>
          <w:rFonts w:hint="eastAsia" w:ascii="仿宋" w:hAnsi="仿宋" w:eastAsia="仿宋" w:cs="仿宋"/>
          <w:bCs/>
          <w:color w:val="auto"/>
          <w:kern w:val="0"/>
          <w:sz w:val="32"/>
          <w:szCs w:val="32"/>
          <w:highlight w:val="none"/>
          <w:lang w:val="en-US" w:eastAsia="zh-CN"/>
        </w:rPr>
        <w:t>3</w:t>
      </w:r>
      <w:r>
        <w:rPr>
          <w:rFonts w:hint="eastAsia" w:ascii="仿宋" w:hAnsi="仿宋" w:eastAsia="仿宋" w:cs="仿宋"/>
          <w:bCs/>
          <w:color w:val="auto"/>
          <w:kern w:val="0"/>
          <w:sz w:val="32"/>
          <w:szCs w:val="32"/>
          <w:highlight w:val="none"/>
        </w:rPr>
        <w:t>年部门决算汇总公开单位构成包括</w:t>
      </w:r>
      <w:r>
        <w:rPr>
          <w:rFonts w:hint="eastAsia" w:ascii="仿宋" w:hAnsi="仿宋" w:eastAsia="仿宋" w:cs="仿宋"/>
          <w:bCs/>
          <w:color w:val="auto"/>
          <w:kern w:val="0"/>
          <w:sz w:val="32"/>
          <w:szCs w:val="32"/>
          <w:highlight w:val="none"/>
          <w:lang w:val="en-US" w:eastAsia="zh-CN"/>
        </w:rPr>
        <w:t>区政府办本级，我单位没有二级决算单位。</w:t>
      </w:r>
    </w:p>
    <w:p w14:paraId="254A17E1">
      <w:pPr>
        <w:pStyle w:val="19"/>
        <w:jc w:val="both"/>
        <w:rPr>
          <w:rFonts w:ascii="Times New Roman" w:hAnsi="Times New Roman" w:cs="Times New Roman"/>
          <w:color w:val="auto"/>
          <w:sz w:val="84"/>
          <w:szCs w:val="84"/>
          <w:highlight w:val="none"/>
        </w:rPr>
      </w:pPr>
    </w:p>
    <w:p w14:paraId="5B53EF77">
      <w:pPr>
        <w:pStyle w:val="19"/>
        <w:jc w:val="both"/>
        <w:rPr>
          <w:rFonts w:ascii="Times New Roman" w:hAnsi="Times New Roman" w:cs="Times New Roman"/>
          <w:color w:val="auto"/>
          <w:sz w:val="84"/>
          <w:szCs w:val="84"/>
          <w:highlight w:val="none"/>
        </w:rPr>
      </w:pPr>
    </w:p>
    <w:p w14:paraId="474C85EE">
      <w:pPr>
        <w:pStyle w:val="19"/>
        <w:jc w:val="both"/>
        <w:rPr>
          <w:rFonts w:ascii="Times New Roman" w:hAnsi="Times New Roman" w:cs="Times New Roman"/>
          <w:color w:val="auto"/>
          <w:sz w:val="84"/>
          <w:szCs w:val="84"/>
          <w:highlight w:val="none"/>
        </w:rPr>
      </w:pPr>
    </w:p>
    <w:p w14:paraId="66D32E1C">
      <w:pPr>
        <w:pStyle w:val="19"/>
        <w:jc w:val="both"/>
        <w:rPr>
          <w:rFonts w:ascii="Times New Roman" w:hAnsi="Times New Roman" w:cs="Times New Roman"/>
          <w:color w:val="auto"/>
          <w:sz w:val="84"/>
          <w:szCs w:val="84"/>
          <w:highlight w:val="none"/>
        </w:rPr>
      </w:pPr>
    </w:p>
    <w:p w14:paraId="13786877">
      <w:pPr>
        <w:pStyle w:val="19"/>
        <w:jc w:val="both"/>
        <w:rPr>
          <w:rFonts w:ascii="Times New Roman" w:hAnsi="Times New Roman" w:cs="Times New Roman"/>
          <w:color w:val="auto"/>
          <w:sz w:val="84"/>
          <w:szCs w:val="84"/>
          <w:highlight w:val="none"/>
        </w:rPr>
      </w:pPr>
    </w:p>
    <w:p w14:paraId="4CABD923">
      <w:pPr>
        <w:pStyle w:val="19"/>
        <w:jc w:val="both"/>
        <w:rPr>
          <w:rFonts w:ascii="Times New Roman" w:hAnsi="Times New Roman" w:cs="Times New Roman"/>
          <w:color w:val="auto"/>
          <w:sz w:val="84"/>
          <w:szCs w:val="84"/>
          <w:highlight w:val="none"/>
        </w:rPr>
      </w:pPr>
    </w:p>
    <w:p w14:paraId="4412B182">
      <w:pPr>
        <w:pStyle w:val="19"/>
        <w:jc w:val="both"/>
        <w:rPr>
          <w:rFonts w:ascii="Times New Roman" w:hAnsi="Times New Roman" w:cs="Times New Roman"/>
          <w:color w:val="auto"/>
          <w:sz w:val="84"/>
          <w:szCs w:val="84"/>
          <w:highlight w:val="none"/>
        </w:rPr>
      </w:pPr>
    </w:p>
    <w:p w14:paraId="78E45A61">
      <w:pPr>
        <w:pStyle w:val="19"/>
        <w:jc w:val="both"/>
        <w:rPr>
          <w:rFonts w:ascii="Times New Roman" w:hAnsi="Times New Roman" w:cs="Times New Roman"/>
          <w:color w:val="auto"/>
          <w:sz w:val="84"/>
          <w:szCs w:val="84"/>
          <w:highlight w:val="none"/>
        </w:rPr>
      </w:pPr>
    </w:p>
    <w:p w14:paraId="7F215CBF">
      <w:pPr>
        <w:pStyle w:val="19"/>
        <w:jc w:val="both"/>
        <w:rPr>
          <w:rFonts w:ascii="Times New Roman" w:hAnsi="Times New Roman" w:cs="Times New Roman"/>
          <w:color w:val="auto"/>
          <w:sz w:val="84"/>
          <w:szCs w:val="84"/>
          <w:highlight w:val="none"/>
        </w:rPr>
      </w:pPr>
    </w:p>
    <w:p w14:paraId="65E9A977">
      <w:pPr>
        <w:pStyle w:val="19"/>
        <w:jc w:val="both"/>
        <w:rPr>
          <w:rFonts w:ascii="Times New Roman" w:hAnsi="Times New Roman" w:cs="Times New Roman"/>
          <w:color w:val="auto"/>
          <w:sz w:val="84"/>
          <w:szCs w:val="84"/>
          <w:highlight w:val="none"/>
        </w:rPr>
      </w:pPr>
    </w:p>
    <w:p w14:paraId="342A1517">
      <w:pPr>
        <w:pStyle w:val="19"/>
        <w:jc w:val="both"/>
        <w:rPr>
          <w:rFonts w:ascii="Times New Roman" w:hAnsi="Times New Roman" w:cs="Times New Roman"/>
          <w:color w:val="auto"/>
          <w:sz w:val="84"/>
          <w:szCs w:val="84"/>
          <w:highlight w:val="none"/>
        </w:rPr>
      </w:pPr>
    </w:p>
    <w:p w14:paraId="0B9BAF89">
      <w:pPr>
        <w:pStyle w:val="19"/>
        <w:jc w:val="both"/>
        <w:rPr>
          <w:rFonts w:ascii="Times New Roman" w:hAnsi="Times New Roman" w:cs="Times New Roman"/>
          <w:color w:val="auto"/>
          <w:sz w:val="84"/>
          <w:szCs w:val="84"/>
          <w:highlight w:val="none"/>
        </w:rPr>
      </w:pPr>
    </w:p>
    <w:p w14:paraId="6BCF0333">
      <w:pPr>
        <w:pStyle w:val="19"/>
        <w:jc w:val="both"/>
        <w:rPr>
          <w:rFonts w:ascii="Times New Roman" w:hAnsi="Times New Roman" w:cs="Times New Roman"/>
          <w:color w:val="auto"/>
          <w:sz w:val="84"/>
          <w:szCs w:val="84"/>
          <w:highlight w:val="none"/>
        </w:rPr>
      </w:pPr>
    </w:p>
    <w:p w14:paraId="2578A7A8">
      <w:pPr>
        <w:pStyle w:val="19"/>
        <w:jc w:val="both"/>
        <w:rPr>
          <w:rFonts w:ascii="Times New Roman" w:hAnsi="Times New Roman" w:cs="Times New Roman"/>
          <w:color w:val="auto"/>
          <w:sz w:val="84"/>
          <w:szCs w:val="84"/>
          <w:highlight w:val="none"/>
        </w:rPr>
      </w:pPr>
    </w:p>
    <w:p w14:paraId="6852FA47">
      <w:pPr>
        <w:pStyle w:val="19"/>
        <w:jc w:val="center"/>
        <w:rPr>
          <w:rFonts w:ascii="Times New Roman" w:hAnsi="Times New Roman" w:eastAsia="方正小标宋简体" w:cs="Times New Roman"/>
          <w:color w:val="auto"/>
          <w:sz w:val="76"/>
          <w:szCs w:val="76"/>
          <w:highlight w:val="none"/>
        </w:rPr>
      </w:pPr>
      <w:r>
        <w:rPr>
          <w:rFonts w:ascii="Times New Roman" w:hAnsi="Times New Roman" w:eastAsia="方正小标宋简体" w:cs="Times New Roman"/>
          <w:color w:val="auto"/>
          <w:sz w:val="76"/>
          <w:szCs w:val="76"/>
          <w:highlight w:val="none"/>
        </w:rPr>
        <w:t>第二部分</w:t>
      </w:r>
    </w:p>
    <w:p w14:paraId="6AD821A1">
      <w:pPr>
        <w:pStyle w:val="19"/>
        <w:jc w:val="center"/>
        <w:rPr>
          <w:rFonts w:ascii="Times New Roman" w:hAnsi="Times New Roman" w:eastAsia="方正小标宋简体" w:cs="Times New Roman"/>
          <w:color w:val="auto"/>
          <w:sz w:val="76"/>
          <w:szCs w:val="76"/>
          <w:highlight w:val="none"/>
        </w:rPr>
      </w:pPr>
    </w:p>
    <w:p w14:paraId="2677BDFB">
      <w:pPr>
        <w:pStyle w:val="19"/>
        <w:jc w:val="center"/>
        <w:rPr>
          <w:rFonts w:ascii="Times New Roman" w:hAnsi="Times New Roman" w:eastAsia="方正小标宋简体" w:cs="Times New Roman"/>
          <w:color w:val="auto"/>
          <w:w w:val="90"/>
          <w:sz w:val="76"/>
          <w:szCs w:val="76"/>
          <w:highlight w:val="none"/>
        </w:rPr>
      </w:pPr>
      <w:r>
        <w:rPr>
          <w:rFonts w:ascii="Times New Roman" w:hAnsi="Times New Roman" w:eastAsia="方正小标宋简体" w:cs="Times New Roman"/>
          <w:color w:val="auto"/>
          <w:sz w:val="76"/>
          <w:szCs w:val="76"/>
          <w:highlight w:val="none"/>
        </w:rPr>
        <w:t>部门决算表</w:t>
      </w:r>
    </w:p>
    <w:p w14:paraId="19310314">
      <w:pPr>
        <w:rPr>
          <w:rFonts w:ascii="Times New Roman" w:hAnsi="Times New Roman" w:eastAsia="仿宋_GB2312" w:cs="Times New Roman"/>
          <w:color w:val="auto"/>
          <w:sz w:val="72"/>
          <w:szCs w:val="72"/>
          <w:highlight w:val="none"/>
        </w:rPr>
      </w:pPr>
    </w:p>
    <w:p w14:paraId="34B97BE0">
      <w:pPr>
        <w:jc w:val="center"/>
        <w:rPr>
          <w:rFonts w:hint="eastAsia" w:ascii="Times New Roman" w:hAnsi="Times New Roman" w:eastAsia="宋体" w:cs="Times New Roman"/>
          <w:color w:val="auto"/>
          <w:sz w:val="32"/>
          <w:szCs w:val="32"/>
          <w:highlight w:val="none"/>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color w:val="auto"/>
          <w:sz w:val="32"/>
          <w:szCs w:val="32"/>
          <w:highlight w:val="none"/>
          <w:lang w:eastAsia="zh-CN"/>
        </w:rPr>
        <w:t>（见附件</w:t>
      </w:r>
      <w:r>
        <w:rPr>
          <w:rFonts w:hint="eastAsia" w:ascii="Times New Roman" w:hAnsi="Times New Roman"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eastAsia="zh-CN"/>
        </w:rPr>
        <w:t>）</w:t>
      </w:r>
    </w:p>
    <w:p w14:paraId="2B7A2D7F">
      <w:pPr>
        <w:pStyle w:val="19"/>
        <w:jc w:val="both"/>
        <w:rPr>
          <w:rFonts w:ascii="Times New Roman" w:hAnsi="Times New Roman" w:cs="Times New Roman"/>
          <w:color w:val="auto"/>
          <w:sz w:val="84"/>
          <w:szCs w:val="84"/>
          <w:highlight w:val="none"/>
        </w:rPr>
      </w:pPr>
    </w:p>
    <w:p w14:paraId="2BC8616B">
      <w:pPr>
        <w:pStyle w:val="19"/>
        <w:jc w:val="both"/>
        <w:rPr>
          <w:rFonts w:ascii="Times New Roman" w:hAnsi="Times New Roman" w:cs="Times New Roman"/>
          <w:color w:val="auto"/>
          <w:sz w:val="84"/>
          <w:szCs w:val="84"/>
          <w:highlight w:val="none"/>
        </w:rPr>
      </w:pPr>
    </w:p>
    <w:p w14:paraId="3E889C61">
      <w:pPr>
        <w:pStyle w:val="19"/>
        <w:jc w:val="center"/>
        <w:rPr>
          <w:rFonts w:ascii="Times New Roman" w:hAnsi="Times New Roman" w:eastAsia="方正小标宋简体" w:cs="Times New Roman"/>
          <w:color w:val="auto"/>
          <w:sz w:val="76"/>
          <w:szCs w:val="76"/>
          <w:highlight w:val="none"/>
        </w:rPr>
      </w:pPr>
      <w:r>
        <w:rPr>
          <w:rFonts w:ascii="Times New Roman" w:hAnsi="Times New Roman" w:eastAsia="方正小标宋简体" w:cs="Times New Roman"/>
          <w:color w:val="auto"/>
          <w:sz w:val="72"/>
          <w:szCs w:val="72"/>
          <w:highlight w:val="none"/>
        </w:rPr>
        <w:t>第三部分</w:t>
      </w:r>
    </w:p>
    <w:p w14:paraId="3EDE7C45">
      <w:pPr>
        <w:pStyle w:val="19"/>
        <w:jc w:val="center"/>
        <w:rPr>
          <w:rFonts w:ascii="Times New Roman" w:hAnsi="Times New Roman" w:eastAsia="方正小标宋简体" w:cs="Times New Roman"/>
          <w:color w:val="auto"/>
          <w:sz w:val="76"/>
          <w:szCs w:val="76"/>
          <w:highlight w:val="none"/>
        </w:rPr>
      </w:pPr>
    </w:p>
    <w:p w14:paraId="4536FEDD">
      <w:pPr>
        <w:pStyle w:val="19"/>
        <w:jc w:val="center"/>
        <w:rPr>
          <w:rFonts w:ascii="Times New Roman" w:hAnsi="Times New Roman" w:eastAsia="仿宋_GB2312" w:cs="Times New Roman"/>
          <w:color w:val="auto"/>
          <w:sz w:val="28"/>
          <w:szCs w:val="28"/>
          <w:highlight w:val="none"/>
        </w:rPr>
      </w:pPr>
      <w:r>
        <w:rPr>
          <w:rFonts w:ascii="Times New Roman" w:hAnsi="Times New Roman" w:eastAsia="方正小标宋简体" w:cs="Times New Roman"/>
          <w:color w:val="auto"/>
          <w:sz w:val="72"/>
          <w:szCs w:val="72"/>
          <w:highlight w:val="none"/>
        </w:rPr>
        <w:t>2023年度部门决算情况说明</w:t>
      </w:r>
    </w:p>
    <w:p w14:paraId="7144B37B">
      <w:pPr>
        <w:pStyle w:val="19"/>
        <w:numPr>
          <w:ilvl w:val="0"/>
          <w:numId w:val="2"/>
        </w:numPr>
        <w:spacing w:line="570" w:lineRule="exact"/>
        <w:ind w:firstLine="640" w:firstLineChars="200"/>
        <w:jc w:val="both"/>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br w:type="page"/>
      </w:r>
      <w:r>
        <w:rPr>
          <w:rFonts w:ascii="Times New Roman" w:hAnsi="Times New Roman" w:cs="Times New Roman"/>
          <w:color w:val="auto"/>
          <w:sz w:val="32"/>
          <w:szCs w:val="32"/>
          <w:highlight w:val="none"/>
        </w:rPr>
        <w:t>收入支出决算总体情况说明</w:t>
      </w:r>
    </w:p>
    <w:p w14:paraId="2206AA0D">
      <w:pPr>
        <w:pStyle w:val="19"/>
        <w:ind w:firstLine="640" w:firstLineChars="200"/>
        <w:rPr>
          <w:rFonts w:hint="default" w:ascii="Times New Roman" w:hAnsi="Times New Roman" w:eastAsia="黑体" w:cs="Times New Roman"/>
          <w:color w:val="auto"/>
          <w:sz w:val="32"/>
          <w:szCs w:val="32"/>
          <w:highlight w:val="none"/>
          <w:lang w:val="en-US" w:eastAsia="zh-CN"/>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857.14</w:t>
      </w:r>
      <w:r>
        <w:rPr>
          <w:rFonts w:hint="eastAsia" w:ascii="仿宋" w:hAnsi="仿宋" w:eastAsia="仿宋"/>
          <w:color w:val="auto"/>
          <w:sz w:val="32"/>
          <w:szCs w:val="32"/>
          <w:highlight w:val="none"/>
        </w:rPr>
        <w:t>万元。与上年相比</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219.7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25.63</w:t>
      </w:r>
      <w:r>
        <w:rPr>
          <w:rFonts w:hint="eastAsia" w:ascii="仿宋" w:hAnsi="仿宋" w:eastAsia="仿宋"/>
          <w:color w:val="auto"/>
          <w:sz w:val="32"/>
          <w:szCs w:val="32"/>
          <w:highlight w:val="none"/>
        </w:rPr>
        <w:t>%，主要是因为</w:t>
      </w:r>
      <w:r>
        <w:rPr>
          <w:rFonts w:hint="eastAsia" w:ascii="仿宋" w:hAnsi="仿宋" w:eastAsia="仿宋"/>
          <w:color w:val="auto"/>
          <w:sz w:val="32"/>
          <w:szCs w:val="32"/>
          <w:highlight w:val="none"/>
          <w:lang w:eastAsia="zh-CN"/>
        </w:rPr>
        <w:t>新增人员经费及项目经费。</w:t>
      </w:r>
    </w:p>
    <w:p w14:paraId="6FE038FA">
      <w:pPr>
        <w:pStyle w:val="19"/>
        <w:numPr>
          <w:ilvl w:val="0"/>
          <w:numId w:val="2"/>
        </w:numPr>
        <w:spacing w:line="570" w:lineRule="exact"/>
        <w:ind w:left="0" w:leftChars="0" w:firstLine="640" w:firstLineChars="200"/>
        <w:jc w:val="both"/>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收入决算情况说明</w:t>
      </w:r>
    </w:p>
    <w:p w14:paraId="136A6F78">
      <w:pPr>
        <w:pStyle w:val="19"/>
        <w:ind w:firstLine="640" w:firstLineChars="200"/>
        <w:rPr>
          <w:rFonts w:hint="eastAsia" w:ascii="Times New Roman" w:hAnsi="Times New Roman" w:eastAsia="黑体" w:cs="Times New Roman"/>
          <w:color w:val="auto"/>
          <w:sz w:val="32"/>
          <w:szCs w:val="32"/>
          <w:highlight w:val="none"/>
          <w:lang w:val="en-US" w:eastAsia="zh-CN"/>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年度收入合计</w:t>
      </w:r>
      <w:r>
        <w:rPr>
          <w:rFonts w:hint="eastAsia" w:ascii="仿宋" w:hAnsi="仿宋" w:eastAsia="仿宋"/>
          <w:color w:val="auto"/>
          <w:sz w:val="32"/>
          <w:szCs w:val="32"/>
          <w:highlight w:val="none"/>
          <w:lang w:val="en-US" w:eastAsia="zh-CN"/>
        </w:rPr>
        <w:t>857.14</w:t>
      </w:r>
      <w:r>
        <w:rPr>
          <w:rFonts w:hint="eastAsia" w:ascii="仿宋" w:hAnsi="仿宋" w:eastAsia="仿宋"/>
          <w:color w:val="auto"/>
          <w:sz w:val="32"/>
          <w:szCs w:val="32"/>
          <w:highlight w:val="none"/>
        </w:rPr>
        <w:t>万元，其中：财政拨款收入</w:t>
      </w:r>
      <w:r>
        <w:rPr>
          <w:rFonts w:hint="eastAsia" w:ascii="仿宋" w:hAnsi="仿宋" w:eastAsia="仿宋"/>
          <w:color w:val="auto"/>
          <w:sz w:val="32"/>
          <w:szCs w:val="32"/>
          <w:highlight w:val="none"/>
          <w:lang w:val="en-US" w:eastAsia="zh-CN"/>
        </w:rPr>
        <w:t>847.09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98.83</w:t>
      </w:r>
      <w:r>
        <w:rPr>
          <w:rFonts w:hint="eastAsia" w:ascii="仿宋" w:hAnsi="仿宋" w:eastAsia="仿宋"/>
          <w:color w:val="auto"/>
          <w:sz w:val="32"/>
          <w:szCs w:val="32"/>
          <w:highlight w:val="none"/>
        </w:rPr>
        <w:t>%；上级补助收入0万元，占0</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%；事业收入0万元，占0</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%；经营收入0万元，占</w:t>
      </w:r>
      <w:r>
        <w:rPr>
          <w:rFonts w:hint="eastAsia" w:ascii="仿宋" w:hAnsi="仿宋" w:eastAsia="仿宋"/>
          <w:color w:val="auto"/>
          <w:sz w:val="32"/>
          <w:szCs w:val="32"/>
          <w:highlight w:val="none"/>
          <w:lang w:val="en-US" w:eastAsia="zh-CN"/>
        </w:rPr>
        <w:t>0.0</w:t>
      </w:r>
      <w:r>
        <w:rPr>
          <w:rFonts w:hint="eastAsia" w:ascii="仿宋" w:hAnsi="仿宋" w:eastAsia="仿宋"/>
          <w:color w:val="auto"/>
          <w:sz w:val="32"/>
          <w:szCs w:val="32"/>
          <w:highlight w:val="none"/>
        </w:rPr>
        <w:t>%；附属单位上缴收入0万元，占0</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10.05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1.17</w:t>
      </w:r>
      <w:r>
        <w:rPr>
          <w:rFonts w:hint="eastAsia" w:ascii="仿宋" w:hAnsi="仿宋" w:eastAsia="仿宋"/>
          <w:color w:val="auto"/>
          <w:sz w:val="32"/>
          <w:szCs w:val="32"/>
          <w:highlight w:val="none"/>
        </w:rPr>
        <w:t>%。</w:t>
      </w:r>
    </w:p>
    <w:p w14:paraId="44026A7D">
      <w:pPr>
        <w:pStyle w:val="19"/>
        <w:numPr>
          <w:ilvl w:val="0"/>
          <w:numId w:val="2"/>
        </w:numPr>
        <w:spacing w:line="570" w:lineRule="exact"/>
        <w:ind w:left="0" w:leftChars="0" w:firstLine="640" w:firstLineChars="200"/>
        <w:jc w:val="both"/>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支出决算情况说明</w:t>
      </w:r>
    </w:p>
    <w:p w14:paraId="20FFCAC9">
      <w:pPr>
        <w:pStyle w:val="19"/>
        <w:ind w:firstLine="320" w:firstLineChars="100"/>
        <w:rPr>
          <w:rFonts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val="en-US" w:eastAsia="zh-CN"/>
        </w:rPr>
        <w:t xml:space="preserve">  </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年度支出合计</w:t>
      </w:r>
      <w:r>
        <w:rPr>
          <w:rFonts w:hint="eastAsia" w:ascii="仿宋" w:hAnsi="仿宋" w:eastAsia="仿宋"/>
          <w:color w:val="auto"/>
          <w:sz w:val="32"/>
          <w:szCs w:val="32"/>
          <w:highlight w:val="none"/>
          <w:lang w:val="en-US" w:eastAsia="zh-CN"/>
        </w:rPr>
        <w:t>857.14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597.28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69.68</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259.86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30.32</w:t>
      </w:r>
      <w:r>
        <w:rPr>
          <w:rFonts w:hint="eastAsia" w:ascii="仿宋" w:hAnsi="仿宋" w:eastAsia="仿宋"/>
          <w:color w:val="auto"/>
          <w:sz w:val="32"/>
          <w:szCs w:val="32"/>
          <w:highlight w:val="none"/>
        </w:rPr>
        <w:t>%；上缴上级支出0万元，占0</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%；经营支出0万元，占0</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%；对附属单位补助支出0万元，占0</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p>
    <w:p w14:paraId="061B5C78">
      <w:pPr>
        <w:pStyle w:val="19"/>
        <w:numPr>
          <w:ilvl w:val="0"/>
          <w:numId w:val="2"/>
        </w:numPr>
        <w:spacing w:line="570" w:lineRule="exact"/>
        <w:ind w:left="0" w:leftChars="0" w:firstLine="640" w:firstLineChars="200"/>
        <w:jc w:val="both"/>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财政拨款收入支出决算总体情况说明</w:t>
      </w:r>
    </w:p>
    <w:p w14:paraId="0EC1CF84">
      <w:pPr>
        <w:pStyle w:val="19"/>
        <w:numPr>
          <w:ilvl w:val="0"/>
          <w:numId w:val="0"/>
        </w:numPr>
        <w:spacing w:line="240" w:lineRule="auto"/>
        <w:ind w:left="0" w:leftChars="0"/>
        <w:jc w:val="both"/>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 xml:space="preserve">    </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年度财政拨款收、支总计</w:t>
      </w:r>
      <w:r>
        <w:rPr>
          <w:rFonts w:hint="eastAsia" w:ascii="仿宋" w:hAnsi="仿宋" w:eastAsia="仿宋"/>
          <w:color w:val="auto"/>
          <w:sz w:val="32"/>
          <w:szCs w:val="32"/>
          <w:highlight w:val="none"/>
          <w:lang w:val="en-US" w:eastAsia="zh-CN"/>
        </w:rPr>
        <w:t>847.09</w:t>
      </w:r>
      <w:r>
        <w:rPr>
          <w:rFonts w:hint="eastAsia" w:ascii="仿宋" w:hAnsi="仿宋" w:eastAsia="仿宋"/>
          <w:color w:val="auto"/>
          <w:sz w:val="32"/>
          <w:szCs w:val="32"/>
          <w:highlight w:val="none"/>
        </w:rPr>
        <w:t>万元，与上年相比</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210.56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24.86</w:t>
      </w:r>
      <w:r>
        <w:rPr>
          <w:rFonts w:hint="eastAsia" w:ascii="仿宋" w:hAnsi="仿宋" w:eastAsia="仿宋"/>
          <w:color w:val="auto"/>
          <w:sz w:val="32"/>
          <w:szCs w:val="32"/>
          <w:highlight w:val="none"/>
        </w:rPr>
        <w:t>%，主要是因为</w:t>
      </w:r>
      <w:r>
        <w:rPr>
          <w:rFonts w:hint="eastAsia" w:ascii="仿宋" w:hAnsi="仿宋" w:eastAsia="仿宋"/>
          <w:color w:val="auto"/>
          <w:sz w:val="32"/>
          <w:szCs w:val="32"/>
          <w:highlight w:val="none"/>
          <w:lang w:eastAsia="zh-CN"/>
        </w:rPr>
        <w:t>新增人员经费及项目经费。</w:t>
      </w:r>
    </w:p>
    <w:p w14:paraId="765A0BEF">
      <w:pPr>
        <w:pStyle w:val="9"/>
        <w:autoSpaceDE w:val="0"/>
        <w:autoSpaceDN w:val="0"/>
        <w:adjustRightInd w:val="0"/>
        <w:spacing w:line="570" w:lineRule="exact"/>
        <w:ind w:firstLine="640" w:firstLineChars="200"/>
        <w:rPr>
          <w:rFonts w:ascii="Times New Roman" w:hAnsi="Times New Roman" w:cs="Times New Roman"/>
          <w:color w:val="auto"/>
          <w:sz w:val="32"/>
          <w:szCs w:val="32"/>
          <w:highlight w:val="none"/>
        </w:rPr>
      </w:pPr>
      <w:r>
        <w:rPr>
          <w:rFonts w:ascii="Times New Roman" w:hAnsi="Times New Roman" w:eastAsia="黑体" w:cs="Times New Roman"/>
          <w:color w:val="auto"/>
          <w:kern w:val="0"/>
          <w:sz w:val="32"/>
          <w:szCs w:val="32"/>
          <w:highlight w:val="none"/>
        </w:rPr>
        <w:t>五、一般公共预算财政拨款支出决算情况说明</w:t>
      </w:r>
    </w:p>
    <w:p w14:paraId="1BABC5BF">
      <w:pPr>
        <w:pStyle w:val="9"/>
        <w:autoSpaceDE w:val="0"/>
        <w:autoSpaceDN w:val="0"/>
        <w:adjustRightInd w:val="0"/>
        <w:spacing w:line="570" w:lineRule="exact"/>
        <w:ind w:firstLine="640" w:firstLineChars="200"/>
        <w:rPr>
          <w:rFonts w:ascii="Times New Roman" w:hAnsi="Times New Roman" w:eastAsia="楷体_GB2312" w:cs="Times New Roman"/>
          <w:b/>
          <w:color w:val="auto"/>
          <w:kern w:val="0"/>
          <w:sz w:val="32"/>
          <w:szCs w:val="32"/>
          <w:highlight w:val="none"/>
        </w:rPr>
      </w:pPr>
      <w:r>
        <w:rPr>
          <w:rFonts w:ascii="Times New Roman" w:hAnsi="Times New Roman" w:eastAsia="楷体_GB2312" w:cs="Times New Roman"/>
          <w:b/>
          <w:color w:val="auto"/>
          <w:kern w:val="0"/>
          <w:sz w:val="32"/>
          <w:szCs w:val="32"/>
          <w:highlight w:val="none"/>
        </w:rPr>
        <w:t>（一）财政拨款支出决算总体情况</w:t>
      </w:r>
    </w:p>
    <w:p w14:paraId="1AF195D6">
      <w:pPr>
        <w:pStyle w:val="19"/>
        <w:numPr>
          <w:ilvl w:val="0"/>
          <w:numId w:val="0"/>
        </w:numPr>
        <w:spacing w:line="570" w:lineRule="exact"/>
        <w:ind w:firstLine="640" w:firstLineChars="200"/>
        <w:jc w:val="both"/>
        <w:rPr>
          <w:rFonts w:ascii="Times New Roman" w:hAnsi="Times New Roman" w:eastAsia="楷体_GB2312" w:cs="Times New Roman"/>
          <w:b/>
          <w:color w:val="auto"/>
          <w:kern w:val="0"/>
          <w:sz w:val="32"/>
          <w:szCs w:val="32"/>
          <w:highlight w:val="none"/>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年度财政拨款支出</w:t>
      </w:r>
      <w:r>
        <w:rPr>
          <w:rFonts w:hint="eastAsia" w:ascii="仿宋" w:hAnsi="仿宋" w:eastAsia="仿宋"/>
          <w:color w:val="auto"/>
          <w:sz w:val="32"/>
          <w:szCs w:val="32"/>
          <w:highlight w:val="none"/>
          <w:lang w:val="en-US" w:eastAsia="zh-CN"/>
        </w:rPr>
        <w:t>847.09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98.83</w:t>
      </w:r>
      <w:r>
        <w:rPr>
          <w:rFonts w:hint="eastAsia" w:ascii="仿宋" w:hAnsi="仿宋" w:eastAsia="仿宋"/>
          <w:color w:val="auto"/>
          <w:sz w:val="32"/>
          <w:szCs w:val="32"/>
          <w:highlight w:val="none"/>
        </w:rPr>
        <w:t>%，与上年相比，财政拨款支出</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210.56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24.86</w:t>
      </w:r>
      <w:r>
        <w:rPr>
          <w:rFonts w:hint="eastAsia" w:ascii="仿宋" w:hAnsi="仿宋" w:eastAsia="仿宋"/>
          <w:color w:val="auto"/>
          <w:sz w:val="32"/>
          <w:szCs w:val="32"/>
          <w:highlight w:val="none"/>
        </w:rPr>
        <w:t>%，主要是因为</w:t>
      </w:r>
      <w:r>
        <w:rPr>
          <w:rFonts w:hint="eastAsia" w:ascii="仿宋" w:hAnsi="仿宋" w:eastAsia="仿宋"/>
          <w:color w:val="auto"/>
          <w:sz w:val="32"/>
          <w:szCs w:val="32"/>
          <w:highlight w:val="none"/>
          <w:lang w:eastAsia="zh-CN"/>
        </w:rPr>
        <w:t>新增人员经费及项目经费。</w:t>
      </w:r>
    </w:p>
    <w:p w14:paraId="5A01942E">
      <w:pPr>
        <w:pStyle w:val="9"/>
        <w:autoSpaceDE w:val="0"/>
        <w:autoSpaceDN w:val="0"/>
        <w:adjustRightInd w:val="0"/>
        <w:spacing w:line="570" w:lineRule="exact"/>
        <w:ind w:firstLine="640" w:firstLineChars="200"/>
        <w:rPr>
          <w:rFonts w:ascii="Times New Roman" w:hAnsi="Times New Roman" w:eastAsia="楷体_GB2312" w:cs="Times New Roman"/>
          <w:b/>
          <w:color w:val="auto"/>
          <w:kern w:val="0"/>
          <w:sz w:val="32"/>
          <w:szCs w:val="32"/>
          <w:highlight w:val="none"/>
        </w:rPr>
      </w:pPr>
    </w:p>
    <w:p w14:paraId="2680F7D1">
      <w:pPr>
        <w:pStyle w:val="9"/>
        <w:numPr>
          <w:ilvl w:val="0"/>
          <w:numId w:val="3"/>
        </w:numPr>
        <w:autoSpaceDE w:val="0"/>
        <w:autoSpaceDN w:val="0"/>
        <w:adjustRightInd w:val="0"/>
        <w:spacing w:line="570" w:lineRule="exact"/>
        <w:ind w:firstLine="640" w:firstLineChars="200"/>
        <w:rPr>
          <w:rFonts w:ascii="Times New Roman" w:hAnsi="Times New Roman" w:eastAsia="楷体_GB2312" w:cs="Times New Roman"/>
          <w:b/>
          <w:color w:val="auto"/>
          <w:kern w:val="0"/>
          <w:sz w:val="32"/>
          <w:szCs w:val="32"/>
          <w:highlight w:val="none"/>
        </w:rPr>
      </w:pPr>
      <w:r>
        <w:rPr>
          <w:rFonts w:ascii="Times New Roman" w:hAnsi="Times New Roman" w:eastAsia="楷体_GB2312" w:cs="Times New Roman"/>
          <w:b/>
          <w:color w:val="auto"/>
          <w:kern w:val="0"/>
          <w:sz w:val="32"/>
          <w:szCs w:val="32"/>
          <w:highlight w:val="none"/>
        </w:rPr>
        <w:t>财政拨款支出决算结构情况</w:t>
      </w:r>
    </w:p>
    <w:p w14:paraId="0F941A42">
      <w:pPr>
        <w:pStyle w:val="19"/>
        <w:keepNext w:val="0"/>
        <w:keepLines w:val="0"/>
        <w:pageBreakBefore w:val="0"/>
        <w:widowControl w:val="0"/>
        <w:kinsoku/>
        <w:wordWrap/>
        <w:overflowPunct/>
        <w:topLinePunct w:val="0"/>
        <w:bidi w:val="0"/>
        <w:spacing w:line="540" w:lineRule="exact"/>
        <w:ind w:firstLine="640" w:firstLineChars="200"/>
        <w:textAlignment w:val="auto"/>
        <w:rPr>
          <w:rFonts w:hint="default" w:ascii="Times New Roman" w:hAnsi="Times New Roman" w:eastAsia="楷体_GB2312" w:cs="Times New Roman"/>
          <w:b/>
          <w:color w:val="auto"/>
          <w:kern w:val="0"/>
          <w:sz w:val="32"/>
          <w:szCs w:val="32"/>
          <w:highlight w:val="none"/>
          <w:lang w:val="en-US" w:eastAsia="zh-CN"/>
        </w:rPr>
      </w:pPr>
      <w:r>
        <w:rPr>
          <w:rFonts w:hint="eastAsia" w:ascii="仿宋" w:hAnsi="仿宋" w:eastAsia="仿宋" w:cs="仿宋"/>
          <w:b/>
          <w:color w:val="auto"/>
          <w:kern w:val="0"/>
          <w:sz w:val="32"/>
          <w:szCs w:val="32"/>
          <w:highlight w:val="none"/>
          <w:lang w:val="en-US" w:eastAsia="zh-CN"/>
        </w:rPr>
        <w:t xml:space="preserve"> </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年度财政拨款支出</w:t>
      </w:r>
      <w:r>
        <w:rPr>
          <w:rFonts w:hint="eastAsia" w:ascii="仿宋" w:hAnsi="仿宋" w:eastAsia="仿宋" w:cs="仿宋"/>
          <w:color w:val="auto"/>
          <w:sz w:val="32"/>
          <w:szCs w:val="32"/>
          <w:highlight w:val="none"/>
          <w:lang w:val="en-US" w:eastAsia="zh-CN"/>
        </w:rPr>
        <w:t>847.09</w:t>
      </w:r>
      <w:r>
        <w:rPr>
          <w:rFonts w:hint="eastAsia" w:ascii="仿宋" w:hAnsi="仿宋" w:eastAsia="仿宋" w:cs="仿宋"/>
          <w:color w:val="auto"/>
          <w:sz w:val="32"/>
          <w:szCs w:val="32"/>
          <w:highlight w:val="none"/>
        </w:rPr>
        <w:t>万元，主要用于以下方面：一般公共服务（类）支出</w:t>
      </w:r>
      <w:r>
        <w:rPr>
          <w:rFonts w:hint="eastAsia" w:ascii="仿宋" w:hAnsi="仿宋" w:eastAsia="仿宋" w:cs="仿宋"/>
          <w:color w:val="auto"/>
          <w:sz w:val="32"/>
          <w:szCs w:val="32"/>
          <w:highlight w:val="none"/>
          <w:lang w:val="en-US" w:eastAsia="zh-CN"/>
        </w:rPr>
        <w:t>699.2</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82.54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公共安全</w:t>
      </w:r>
      <w:r>
        <w:rPr>
          <w:rFonts w:hint="eastAsia" w:ascii="仿宋" w:hAnsi="仿宋" w:eastAsia="仿宋" w:cs="仿宋"/>
          <w:color w:val="auto"/>
          <w:sz w:val="32"/>
          <w:szCs w:val="32"/>
          <w:highlight w:val="none"/>
        </w:rPr>
        <w:t>（类）支出</w:t>
      </w:r>
      <w:r>
        <w:rPr>
          <w:rFonts w:hint="eastAsia" w:ascii="仿宋" w:hAnsi="仿宋" w:eastAsia="仿宋" w:cs="仿宋"/>
          <w:color w:val="auto"/>
          <w:sz w:val="32"/>
          <w:szCs w:val="32"/>
          <w:highlight w:val="none"/>
          <w:lang w:val="en-US" w:eastAsia="zh-CN"/>
        </w:rPr>
        <w:t>117.65</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13.89</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交通运输</w:t>
      </w:r>
      <w:r>
        <w:rPr>
          <w:rFonts w:hint="eastAsia" w:ascii="仿宋" w:hAnsi="仿宋" w:eastAsia="仿宋" w:cs="仿宋"/>
          <w:color w:val="auto"/>
          <w:sz w:val="32"/>
          <w:szCs w:val="32"/>
          <w:highlight w:val="none"/>
        </w:rPr>
        <w:t>（类）支出</w:t>
      </w:r>
      <w:r>
        <w:rPr>
          <w:rFonts w:hint="eastAsia" w:ascii="仿宋" w:hAnsi="仿宋" w:eastAsia="仿宋" w:cs="仿宋"/>
          <w:color w:val="auto"/>
          <w:sz w:val="32"/>
          <w:szCs w:val="32"/>
          <w:highlight w:val="none"/>
          <w:lang w:val="en-US" w:eastAsia="zh-CN"/>
        </w:rPr>
        <w:t>30.24</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3.57</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p>
    <w:p w14:paraId="115F4F54">
      <w:pPr>
        <w:pStyle w:val="9"/>
        <w:numPr>
          <w:ilvl w:val="0"/>
          <w:numId w:val="3"/>
        </w:numPr>
        <w:autoSpaceDE w:val="0"/>
        <w:autoSpaceDN w:val="0"/>
        <w:adjustRightInd w:val="0"/>
        <w:spacing w:line="570" w:lineRule="exact"/>
        <w:ind w:left="0" w:leftChars="0" w:firstLine="640" w:firstLineChars="200"/>
        <w:rPr>
          <w:rFonts w:ascii="Times New Roman" w:hAnsi="Times New Roman" w:eastAsia="楷体_GB2312" w:cs="Times New Roman"/>
          <w:b/>
          <w:color w:val="auto"/>
          <w:kern w:val="0"/>
          <w:sz w:val="32"/>
          <w:szCs w:val="32"/>
          <w:highlight w:val="none"/>
        </w:rPr>
      </w:pPr>
      <w:r>
        <w:rPr>
          <w:rFonts w:ascii="Times New Roman" w:hAnsi="Times New Roman" w:eastAsia="楷体_GB2312" w:cs="Times New Roman"/>
          <w:b/>
          <w:color w:val="auto"/>
          <w:kern w:val="0"/>
          <w:sz w:val="32"/>
          <w:szCs w:val="32"/>
          <w:highlight w:val="none"/>
        </w:rPr>
        <w:t>财政拨款支出决算具体情况</w:t>
      </w:r>
    </w:p>
    <w:p w14:paraId="53804410">
      <w:pPr>
        <w:pStyle w:val="19"/>
        <w:ind w:firstLine="640"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 xml:space="preserve"> </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年度财政拨款支出年初预算数为</w:t>
      </w:r>
      <w:r>
        <w:rPr>
          <w:rFonts w:hint="eastAsia" w:ascii="仿宋" w:hAnsi="仿宋" w:eastAsia="仿宋" w:cs="仿宋"/>
          <w:color w:val="auto"/>
          <w:sz w:val="32"/>
          <w:szCs w:val="32"/>
          <w:highlight w:val="none"/>
          <w:lang w:val="en-US" w:eastAsia="zh-CN"/>
        </w:rPr>
        <w:t>718.46</w:t>
      </w:r>
      <w:r>
        <w:rPr>
          <w:rFonts w:hint="eastAsia" w:ascii="仿宋" w:hAnsi="仿宋" w:eastAsia="仿宋" w:cs="仿宋"/>
          <w:color w:val="auto"/>
          <w:sz w:val="32"/>
          <w:szCs w:val="32"/>
          <w:highlight w:val="none"/>
        </w:rPr>
        <w:t>万元，支出决算数为</w:t>
      </w:r>
      <w:r>
        <w:rPr>
          <w:rFonts w:hint="eastAsia" w:ascii="仿宋" w:hAnsi="仿宋" w:eastAsia="仿宋" w:cs="仿宋"/>
          <w:color w:val="auto"/>
          <w:sz w:val="32"/>
          <w:szCs w:val="32"/>
          <w:highlight w:val="none"/>
          <w:lang w:val="en-US" w:eastAsia="zh-CN"/>
        </w:rPr>
        <w:t>847.09</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100.0</w:t>
      </w:r>
      <w:r>
        <w:rPr>
          <w:rFonts w:hint="eastAsia" w:ascii="仿宋" w:hAnsi="仿宋" w:eastAsia="仿宋" w:cs="仿宋"/>
          <w:color w:val="auto"/>
          <w:sz w:val="32"/>
          <w:szCs w:val="32"/>
          <w:highlight w:val="none"/>
        </w:rPr>
        <w:t>%，其中：</w:t>
      </w:r>
    </w:p>
    <w:p w14:paraId="360033C5">
      <w:pPr>
        <w:pStyle w:val="19"/>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1、一般公共服务支出（类）政府办公厅（室）及相关机构事务（款）行政运行（项）。</w:t>
      </w:r>
    </w:p>
    <w:p w14:paraId="745B861B">
      <w:pPr>
        <w:pStyle w:val="19"/>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年初预算为</w:t>
      </w:r>
      <w:r>
        <w:rPr>
          <w:rFonts w:hint="eastAsia" w:ascii="仿宋" w:hAnsi="仿宋" w:eastAsia="仿宋" w:cs="仿宋"/>
          <w:color w:val="auto"/>
          <w:sz w:val="32"/>
          <w:szCs w:val="32"/>
          <w:highlight w:val="none"/>
          <w:lang w:val="en-US" w:eastAsia="zh-CN"/>
        </w:rPr>
        <w:t>544.46</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szCs w:val="32"/>
          <w:highlight w:val="none"/>
          <w:lang w:val="en-US" w:eastAsia="zh-CN"/>
        </w:rPr>
        <w:t>587.22</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100.0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决算数</w:t>
      </w:r>
      <w:r>
        <w:rPr>
          <w:rFonts w:hint="eastAsia" w:ascii="仿宋" w:hAnsi="仿宋" w:eastAsia="仿宋" w:cs="仿宋"/>
          <w:color w:val="auto"/>
          <w:sz w:val="32"/>
          <w:szCs w:val="32"/>
          <w:highlight w:val="none"/>
          <w:lang w:eastAsia="zh-CN"/>
        </w:rPr>
        <w:t>大</w:t>
      </w:r>
      <w:r>
        <w:rPr>
          <w:rFonts w:hint="eastAsia" w:ascii="仿宋" w:hAnsi="仿宋" w:eastAsia="仿宋" w:cs="仿宋"/>
          <w:color w:val="auto"/>
          <w:sz w:val="32"/>
          <w:szCs w:val="32"/>
          <w:highlight w:val="none"/>
        </w:rPr>
        <w:t>于年初预算数的主要原因是</w:t>
      </w:r>
      <w:r>
        <w:rPr>
          <w:rFonts w:hint="eastAsia" w:ascii="仿宋" w:hAnsi="仿宋" w:eastAsia="仿宋" w:cs="仿宋"/>
          <w:color w:val="auto"/>
          <w:sz w:val="32"/>
          <w:szCs w:val="32"/>
          <w:highlight w:val="none"/>
          <w:lang w:eastAsia="zh-CN"/>
        </w:rPr>
        <w:t>新增人员经费。</w:t>
      </w:r>
    </w:p>
    <w:p w14:paraId="5A0272EA">
      <w:pPr>
        <w:pStyle w:val="19"/>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2、一般公共服务支出（类）政府办公厅（室）及相关机构事务（款）一般行政管理事务（项）。</w:t>
      </w:r>
    </w:p>
    <w:p w14:paraId="10478157">
      <w:pPr>
        <w:pStyle w:val="19"/>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年初预算为54万元，支出决算为79.86万元，完成年初预算的100.0%，决算数大于年初预算数的主要原因是新增项目支出。 </w:t>
      </w:r>
    </w:p>
    <w:p w14:paraId="2C80CE60">
      <w:pPr>
        <w:pStyle w:val="19"/>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 xml:space="preserve"> 3、一般公共服务支出（类）政府办公厅（室）及相关机构事务（款）其他政府办公厅（室）及</w:t>
      </w:r>
      <w:r>
        <w:rPr>
          <w:rFonts w:hint="eastAsia" w:ascii="仿宋" w:hAnsi="仿宋" w:eastAsia="仿宋" w:cs="仿宋"/>
          <w:color w:val="auto"/>
          <w:sz w:val="32"/>
          <w:szCs w:val="32"/>
          <w:highlight w:val="none"/>
        </w:rPr>
        <w:t>相关机构事务支出（项）。</w:t>
      </w:r>
    </w:p>
    <w:p w14:paraId="61663DBA">
      <w:pPr>
        <w:pStyle w:val="19"/>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年初预算为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szCs w:val="32"/>
          <w:highlight w:val="none"/>
          <w:lang w:val="en-US" w:eastAsia="zh-CN"/>
        </w:rPr>
        <w:t>12.12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完成年初预算的100.0%，决算数大于年初预算数的主要原因是新增项目支出。</w:t>
      </w:r>
    </w:p>
    <w:p w14:paraId="6227CDFA">
      <w:pPr>
        <w:pStyle w:val="19"/>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4、一般公共服务支出（类）其他一般公共服务支出（款）其他一般公共服务支出</w:t>
      </w:r>
      <w:r>
        <w:rPr>
          <w:rFonts w:hint="eastAsia" w:ascii="仿宋" w:hAnsi="仿宋" w:eastAsia="仿宋" w:cs="仿宋"/>
          <w:color w:val="auto"/>
          <w:sz w:val="32"/>
          <w:szCs w:val="32"/>
          <w:highlight w:val="none"/>
        </w:rPr>
        <w:t>（项）。</w:t>
      </w:r>
    </w:p>
    <w:p w14:paraId="6C437E47">
      <w:pPr>
        <w:pStyle w:val="19"/>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年初预算为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完成年初预算的100.0%，决算数大于年初预算数的主要原因是新增项目支出。</w:t>
      </w:r>
    </w:p>
    <w:p w14:paraId="579B2673">
      <w:pPr>
        <w:pStyle w:val="19"/>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、公共安全支出（类）其他</w:t>
      </w:r>
      <w:r>
        <w:rPr>
          <w:rFonts w:hint="eastAsia" w:ascii="仿宋" w:hAnsi="仿宋" w:eastAsia="仿宋" w:cs="仿宋"/>
          <w:color w:val="auto"/>
          <w:sz w:val="32"/>
          <w:szCs w:val="32"/>
          <w:highlight w:val="none"/>
          <w:lang w:eastAsia="zh-CN"/>
        </w:rPr>
        <w:t>公共安全</w:t>
      </w:r>
      <w:r>
        <w:rPr>
          <w:rFonts w:hint="eastAsia" w:ascii="仿宋" w:hAnsi="仿宋" w:eastAsia="仿宋" w:cs="仿宋"/>
          <w:color w:val="auto"/>
          <w:sz w:val="32"/>
          <w:szCs w:val="32"/>
          <w:highlight w:val="none"/>
        </w:rPr>
        <w:t>支出（款）其他</w:t>
      </w:r>
      <w:r>
        <w:rPr>
          <w:rFonts w:hint="eastAsia" w:ascii="仿宋" w:hAnsi="仿宋" w:eastAsia="仿宋" w:cs="仿宋"/>
          <w:color w:val="auto"/>
          <w:sz w:val="32"/>
          <w:szCs w:val="32"/>
          <w:highlight w:val="none"/>
          <w:lang w:eastAsia="zh-CN"/>
        </w:rPr>
        <w:t>公共安全</w:t>
      </w:r>
      <w:r>
        <w:rPr>
          <w:rFonts w:hint="eastAsia" w:ascii="仿宋" w:hAnsi="仿宋" w:eastAsia="仿宋" w:cs="仿宋"/>
          <w:color w:val="auto"/>
          <w:sz w:val="32"/>
          <w:szCs w:val="32"/>
          <w:highlight w:val="none"/>
        </w:rPr>
        <w:t>支出（项）。</w:t>
      </w:r>
    </w:p>
    <w:p w14:paraId="27B27718">
      <w:pPr>
        <w:pStyle w:val="19"/>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年初预算为</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szCs w:val="32"/>
          <w:highlight w:val="none"/>
          <w:lang w:val="en-US" w:eastAsia="zh-CN"/>
        </w:rPr>
        <w:t>117.65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完成年初预算的100.0%，决算数大于年初预算数的主要原因是新增项目支出。</w:t>
      </w:r>
    </w:p>
    <w:p w14:paraId="1D64F047">
      <w:pPr>
        <w:pStyle w:val="19"/>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、交通运输支出（类）公路水路运输（款）其他公路水路运输支出（项）。</w:t>
      </w:r>
    </w:p>
    <w:p w14:paraId="4B651B9D">
      <w:pPr>
        <w:pStyle w:val="19"/>
        <w:ind w:firstLine="640"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仿宋" w:hAnsi="仿宋" w:eastAsia="仿宋" w:cs="仿宋"/>
          <w:color w:val="auto"/>
          <w:sz w:val="32"/>
          <w:szCs w:val="32"/>
          <w:highlight w:val="none"/>
        </w:rPr>
        <w:t>年初预算为</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szCs w:val="32"/>
          <w:highlight w:val="none"/>
          <w:lang w:val="en-US" w:eastAsia="zh-CN"/>
        </w:rPr>
        <w:t>30.24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完成年初预算的100.0%，决算数大于年初预算数的主要原因是新增项目支出。</w:t>
      </w:r>
    </w:p>
    <w:p w14:paraId="10EAFFDA">
      <w:pPr>
        <w:pStyle w:val="9"/>
        <w:numPr>
          <w:ilvl w:val="0"/>
          <w:numId w:val="2"/>
        </w:numPr>
        <w:autoSpaceDE w:val="0"/>
        <w:autoSpaceDN w:val="0"/>
        <w:adjustRightInd w:val="0"/>
        <w:spacing w:line="570" w:lineRule="exact"/>
        <w:ind w:left="0" w:leftChars="0" w:firstLine="640" w:firstLineChars="200"/>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一般公共预算财政拨款基本支出决算情况说明</w:t>
      </w:r>
    </w:p>
    <w:p w14:paraId="3F062FC8">
      <w:pPr>
        <w:pStyle w:val="19"/>
        <w:ind w:firstLine="640" w:firstLineChars="200"/>
        <w:rPr>
          <w:rFonts w:hint="default" w:ascii="Times New Roman" w:hAnsi="Times New Roman" w:eastAsia="黑体" w:cs="Times New Roman"/>
          <w:color w:val="auto"/>
          <w:kern w:val="0"/>
          <w:sz w:val="32"/>
          <w:szCs w:val="32"/>
          <w:highlight w:val="none"/>
          <w:lang w:val="en-US" w:eastAsia="zh-CN"/>
        </w:rPr>
      </w:pPr>
      <w:r>
        <w:rPr>
          <w:rFonts w:hint="eastAsia" w:ascii="Times New Roman" w:hAnsi="Times New Roman" w:eastAsia="黑体" w:cs="Times New Roman"/>
          <w:color w:val="auto"/>
          <w:kern w:val="0"/>
          <w:sz w:val="32"/>
          <w:szCs w:val="32"/>
          <w:highlight w:val="none"/>
          <w:lang w:val="en-US" w:eastAsia="zh-CN"/>
        </w:rPr>
        <w:t xml:space="preserve"> </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年度财政拨款基本支出</w:t>
      </w:r>
      <w:r>
        <w:rPr>
          <w:rFonts w:hint="eastAsia" w:ascii="仿宋" w:hAnsi="仿宋" w:eastAsia="仿宋"/>
          <w:color w:val="auto"/>
          <w:sz w:val="32"/>
          <w:szCs w:val="32"/>
          <w:highlight w:val="none"/>
          <w:lang w:val="en-US" w:eastAsia="zh-CN"/>
        </w:rPr>
        <w:t>587.22</w:t>
      </w:r>
      <w:r>
        <w:rPr>
          <w:rFonts w:hint="eastAsia" w:ascii="仿宋" w:hAnsi="仿宋" w:eastAsia="仿宋"/>
          <w:color w:val="auto"/>
          <w:sz w:val="32"/>
          <w:szCs w:val="32"/>
          <w:highlight w:val="none"/>
        </w:rPr>
        <w:t>万元，其中：人员经费</w:t>
      </w:r>
      <w:r>
        <w:rPr>
          <w:rFonts w:hint="eastAsia" w:ascii="仿宋" w:hAnsi="仿宋" w:eastAsia="仿宋"/>
          <w:color w:val="auto"/>
          <w:sz w:val="32"/>
          <w:szCs w:val="32"/>
          <w:highlight w:val="none"/>
          <w:lang w:val="en-US" w:eastAsia="zh-CN"/>
        </w:rPr>
        <w:t>533.53</w:t>
      </w:r>
      <w:r>
        <w:rPr>
          <w:rFonts w:hint="eastAsia" w:ascii="仿宋" w:hAnsi="仿宋" w:eastAsia="仿宋"/>
          <w:color w:val="auto"/>
          <w:sz w:val="32"/>
          <w:szCs w:val="32"/>
          <w:highlight w:val="none"/>
        </w:rPr>
        <w:t>万元，占基本支出的</w:t>
      </w:r>
      <w:r>
        <w:rPr>
          <w:rFonts w:hint="eastAsia" w:ascii="仿宋" w:hAnsi="仿宋" w:eastAsia="仿宋"/>
          <w:color w:val="auto"/>
          <w:sz w:val="32"/>
          <w:szCs w:val="32"/>
          <w:highlight w:val="none"/>
          <w:lang w:val="en-US" w:eastAsia="zh-CN"/>
        </w:rPr>
        <w:t>90.86</w:t>
      </w:r>
      <w:r>
        <w:rPr>
          <w:rFonts w:hint="eastAsia" w:ascii="仿宋" w:hAnsi="仿宋" w:eastAsia="仿宋"/>
          <w:color w:val="auto"/>
          <w:sz w:val="32"/>
          <w:szCs w:val="32"/>
          <w:highlight w:val="none"/>
        </w:rPr>
        <w:t>%,主要包括基本工资、津贴补贴、奖金、伙食补助费、养老保险、医疗保险、住房公积金、对个人和家庭的补助；公用经费</w:t>
      </w:r>
      <w:r>
        <w:rPr>
          <w:rFonts w:hint="eastAsia" w:ascii="仿宋" w:hAnsi="仿宋" w:eastAsia="仿宋"/>
          <w:color w:val="auto"/>
          <w:sz w:val="32"/>
          <w:szCs w:val="32"/>
          <w:highlight w:val="none"/>
          <w:lang w:val="en-US" w:eastAsia="zh-CN"/>
        </w:rPr>
        <w:t>53.69</w:t>
      </w:r>
      <w:r>
        <w:rPr>
          <w:rFonts w:hint="eastAsia" w:ascii="仿宋" w:hAnsi="仿宋" w:eastAsia="仿宋"/>
          <w:color w:val="auto"/>
          <w:sz w:val="32"/>
          <w:szCs w:val="32"/>
          <w:highlight w:val="none"/>
        </w:rPr>
        <w:t>万元，占基本支出的</w:t>
      </w:r>
      <w:r>
        <w:rPr>
          <w:rFonts w:hint="eastAsia" w:ascii="仿宋" w:hAnsi="仿宋" w:eastAsia="仿宋"/>
          <w:color w:val="auto"/>
          <w:sz w:val="32"/>
          <w:szCs w:val="32"/>
          <w:highlight w:val="none"/>
          <w:lang w:val="en-US" w:eastAsia="zh-CN"/>
        </w:rPr>
        <w:t>9.14</w:t>
      </w:r>
      <w:r>
        <w:rPr>
          <w:rFonts w:hint="eastAsia" w:ascii="仿宋" w:hAnsi="仿宋" w:eastAsia="仿宋"/>
          <w:color w:val="auto"/>
          <w:sz w:val="32"/>
          <w:szCs w:val="32"/>
          <w:highlight w:val="none"/>
        </w:rPr>
        <w:t>%，主要包括办公费、印刷费、邮电费、差旅费、培训费、专用材料费、其他交通费用。</w:t>
      </w:r>
    </w:p>
    <w:p w14:paraId="6867B80C">
      <w:pPr>
        <w:pStyle w:val="9"/>
        <w:autoSpaceDE w:val="0"/>
        <w:autoSpaceDN w:val="0"/>
        <w:adjustRightInd w:val="0"/>
        <w:spacing w:line="570" w:lineRule="exact"/>
        <w:ind w:firstLine="640" w:firstLineChars="200"/>
        <w:rPr>
          <w:rFonts w:ascii="Times New Roman" w:hAnsi="Times New Roman" w:cs="Times New Roman"/>
          <w:color w:val="auto"/>
          <w:sz w:val="32"/>
          <w:szCs w:val="32"/>
          <w:highlight w:val="none"/>
        </w:rPr>
      </w:pPr>
      <w:r>
        <w:rPr>
          <w:rFonts w:hint="eastAsia" w:ascii="Times New Roman" w:hAnsi="Times New Roman" w:eastAsia="黑体" w:cs="Times New Roman"/>
          <w:color w:val="auto"/>
          <w:kern w:val="0"/>
          <w:sz w:val="32"/>
          <w:szCs w:val="32"/>
          <w:highlight w:val="none"/>
          <w:lang w:eastAsia="zh-CN"/>
        </w:rPr>
        <w:t>六</w:t>
      </w:r>
      <w:r>
        <w:rPr>
          <w:rFonts w:ascii="Times New Roman" w:hAnsi="Times New Roman" w:eastAsia="黑体" w:cs="Times New Roman"/>
          <w:color w:val="auto"/>
          <w:kern w:val="0"/>
          <w:sz w:val="32"/>
          <w:szCs w:val="32"/>
          <w:highlight w:val="none"/>
        </w:rPr>
        <w:t>、一般公共预算财政拨款“三公”经费支出决算情况说明</w:t>
      </w:r>
    </w:p>
    <w:p w14:paraId="4050B7B0">
      <w:pPr>
        <w:pStyle w:val="9"/>
        <w:autoSpaceDE w:val="0"/>
        <w:autoSpaceDN w:val="0"/>
        <w:adjustRightInd w:val="0"/>
        <w:spacing w:line="570" w:lineRule="exact"/>
        <w:ind w:firstLine="640" w:firstLineChars="200"/>
        <w:rPr>
          <w:rFonts w:ascii="Times New Roman" w:hAnsi="Times New Roman" w:eastAsia="楷体_GB2312" w:cs="Times New Roman"/>
          <w:b/>
          <w:color w:val="auto"/>
          <w:kern w:val="0"/>
          <w:sz w:val="32"/>
          <w:szCs w:val="32"/>
          <w:highlight w:val="none"/>
        </w:rPr>
      </w:pPr>
      <w:r>
        <w:rPr>
          <w:rFonts w:ascii="Times New Roman" w:hAnsi="Times New Roman" w:eastAsia="楷体_GB2312" w:cs="Times New Roman"/>
          <w:b/>
          <w:color w:val="auto"/>
          <w:kern w:val="0"/>
          <w:sz w:val="32"/>
          <w:szCs w:val="32"/>
          <w:highlight w:val="none"/>
        </w:rPr>
        <w:t>（一）“三公”经费财政拨款支出决算总体情况说明</w:t>
      </w:r>
    </w:p>
    <w:p w14:paraId="141ED5AB">
      <w:pPr>
        <w:pStyle w:val="19"/>
        <w:ind w:firstLine="800" w:firstLineChars="2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2023年度“三公”经费财政拨款支出预算为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szCs w:val="32"/>
          <w:highlight w:val="none"/>
          <w:lang w:val="en-US" w:eastAsia="zh-CN"/>
        </w:rPr>
        <w:t>0.26</w:t>
      </w:r>
      <w:r>
        <w:rPr>
          <w:rFonts w:hint="eastAsia" w:ascii="仿宋" w:hAnsi="仿宋" w:eastAsia="仿宋" w:cs="仿宋"/>
          <w:color w:val="auto"/>
          <w:sz w:val="32"/>
          <w:szCs w:val="32"/>
          <w:highlight w:val="none"/>
        </w:rPr>
        <w:t>万元，完成预算的</w:t>
      </w:r>
      <w:r>
        <w:rPr>
          <w:rFonts w:hint="eastAsia" w:ascii="仿宋" w:hAnsi="仿宋" w:eastAsia="仿宋" w:cs="仿宋"/>
          <w:color w:val="auto"/>
          <w:sz w:val="32"/>
          <w:szCs w:val="32"/>
          <w:highlight w:val="none"/>
          <w:lang w:val="en-US" w:eastAsia="zh-CN"/>
        </w:rPr>
        <w:t>100.0</w:t>
      </w:r>
      <w:r>
        <w:rPr>
          <w:rFonts w:hint="eastAsia" w:ascii="仿宋" w:hAnsi="仿宋" w:eastAsia="仿宋" w:cs="仿宋"/>
          <w:color w:val="auto"/>
          <w:sz w:val="32"/>
          <w:szCs w:val="32"/>
          <w:highlight w:val="none"/>
        </w:rPr>
        <w:t>%,其中：</w:t>
      </w:r>
    </w:p>
    <w:p w14:paraId="08AA6744">
      <w:pPr>
        <w:pStyle w:val="19"/>
        <w:ind w:firstLine="800" w:firstLineChars="25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因公出国（境）费支出预算为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万元，决算数等于预算数。与上年相比</w:t>
      </w:r>
      <w:r>
        <w:rPr>
          <w:rFonts w:hint="eastAsia" w:ascii="仿宋" w:hAnsi="仿宋" w:eastAsia="仿宋" w:cs="仿宋"/>
          <w:color w:val="auto"/>
          <w:sz w:val="32"/>
          <w:szCs w:val="32"/>
          <w:highlight w:val="none"/>
          <w:lang w:eastAsia="zh-CN"/>
        </w:rPr>
        <w:t>持平。</w:t>
      </w:r>
    </w:p>
    <w:p w14:paraId="78189939">
      <w:pPr>
        <w:pStyle w:val="19"/>
        <w:ind w:firstLine="800" w:firstLineChars="25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公务接待费支出预算为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szCs w:val="32"/>
          <w:highlight w:val="none"/>
          <w:lang w:val="en-US" w:eastAsia="zh-CN"/>
        </w:rPr>
        <w:t>0.26</w:t>
      </w:r>
      <w:r>
        <w:rPr>
          <w:rFonts w:hint="eastAsia" w:ascii="仿宋" w:hAnsi="仿宋" w:eastAsia="仿宋" w:cs="仿宋"/>
          <w:color w:val="auto"/>
          <w:sz w:val="32"/>
          <w:szCs w:val="32"/>
          <w:highlight w:val="none"/>
        </w:rPr>
        <w:t>万元，完成预算的</w:t>
      </w:r>
      <w:r>
        <w:rPr>
          <w:rFonts w:hint="eastAsia" w:ascii="仿宋" w:hAnsi="仿宋" w:eastAsia="仿宋" w:cs="仿宋"/>
          <w:color w:val="auto"/>
          <w:sz w:val="32"/>
          <w:szCs w:val="32"/>
          <w:highlight w:val="none"/>
          <w:lang w:val="en-US" w:eastAsia="zh-CN"/>
        </w:rPr>
        <w:t>100.0</w:t>
      </w:r>
      <w:r>
        <w:rPr>
          <w:rFonts w:hint="eastAsia" w:ascii="仿宋" w:hAnsi="仿宋" w:eastAsia="仿宋" w:cs="仿宋"/>
          <w:color w:val="auto"/>
          <w:sz w:val="32"/>
          <w:szCs w:val="32"/>
          <w:highlight w:val="none"/>
        </w:rPr>
        <w:t>%。与上年相比增加</w:t>
      </w:r>
      <w:r>
        <w:rPr>
          <w:rFonts w:hint="eastAsia" w:ascii="仿宋" w:hAnsi="仿宋" w:eastAsia="仿宋" w:cs="仿宋"/>
          <w:color w:val="auto"/>
          <w:sz w:val="32"/>
          <w:szCs w:val="32"/>
          <w:highlight w:val="none"/>
          <w:lang w:val="en-US" w:eastAsia="zh-CN"/>
        </w:rPr>
        <w:t>0.26万元，</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eastAsia="zh-CN"/>
        </w:rPr>
        <w:t>上年没有公务接待，本年度有公务接待活动。</w:t>
      </w:r>
    </w:p>
    <w:p w14:paraId="29BF0D72">
      <w:pPr>
        <w:pStyle w:val="19"/>
        <w:ind w:firstLine="800" w:firstLineChars="25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公务用车购置费支出预算为0万元，支出决算为0万元，决算数等于预算数。与上年相比</w:t>
      </w:r>
      <w:r>
        <w:rPr>
          <w:rFonts w:hint="eastAsia" w:ascii="仿宋" w:hAnsi="仿宋" w:eastAsia="仿宋" w:cs="仿宋"/>
          <w:color w:val="auto"/>
          <w:sz w:val="32"/>
          <w:szCs w:val="32"/>
          <w:highlight w:val="none"/>
          <w:lang w:eastAsia="zh-CN"/>
        </w:rPr>
        <w:t>持平。</w:t>
      </w:r>
    </w:p>
    <w:p w14:paraId="1500ED9E">
      <w:pPr>
        <w:pStyle w:val="19"/>
        <w:ind w:firstLine="800" w:firstLineChars="25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公务用车运行维护费支出预算为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万元，决算数等于预算数。与上年相比</w:t>
      </w:r>
      <w:r>
        <w:rPr>
          <w:rFonts w:hint="eastAsia" w:ascii="仿宋" w:hAnsi="仿宋" w:eastAsia="仿宋" w:cs="仿宋"/>
          <w:color w:val="auto"/>
          <w:sz w:val="32"/>
          <w:szCs w:val="32"/>
          <w:highlight w:val="none"/>
          <w:lang w:eastAsia="zh-CN"/>
        </w:rPr>
        <w:t>持平。</w:t>
      </w:r>
    </w:p>
    <w:p w14:paraId="74CACC3A">
      <w:pPr>
        <w:pStyle w:val="19"/>
        <w:ind w:firstLine="640" w:firstLineChars="200"/>
        <w:rPr>
          <w:rFonts w:ascii="Times New Roman" w:hAnsi="Times New Roman" w:eastAsia="楷体_GB2312" w:cs="Times New Roman"/>
          <w:b/>
          <w:color w:val="auto"/>
          <w:sz w:val="32"/>
          <w:szCs w:val="32"/>
          <w:highlight w:val="none"/>
        </w:rPr>
      </w:pPr>
      <w:r>
        <w:rPr>
          <w:rFonts w:ascii="Times New Roman" w:hAnsi="Times New Roman" w:eastAsia="楷体_GB2312" w:cs="Times New Roman"/>
          <w:b/>
          <w:color w:val="auto"/>
          <w:sz w:val="32"/>
          <w:szCs w:val="32"/>
          <w:highlight w:val="none"/>
        </w:rPr>
        <w:t>（二）“三公”经费财政拨款支出决算具体情况说明</w:t>
      </w:r>
    </w:p>
    <w:p w14:paraId="2183833C">
      <w:pPr>
        <w:pStyle w:val="19"/>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2023年度“三公”经费财政拨款支出决算中，公务接待费支出决算</w:t>
      </w:r>
      <w:r>
        <w:rPr>
          <w:rFonts w:hint="eastAsia" w:ascii="仿宋" w:hAnsi="仿宋" w:eastAsia="仿宋" w:cs="仿宋"/>
          <w:color w:val="auto"/>
          <w:sz w:val="32"/>
          <w:szCs w:val="32"/>
          <w:highlight w:val="none"/>
          <w:lang w:val="en-US" w:eastAsia="zh-CN"/>
        </w:rPr>
        <w:t>0.26</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100.0</w:t>
      </w:r>
      <w:r>
        <w:rPr>
          <w:rFonts w:hint="eastAsia" w:ascii="仿宋" w:hAnsi="仿宋" w:eastAsia="仿宋" w:cs="仿宋"/>
          <w:color w:val="auto"/>
          <w:sz w:val="32"/>
          <w:szCs w:val="32"/>
          <w:highlight w:val="none"/>
        </w:rPr>
        <w:t>%,因公出国（境）费支出决算</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100.0</w:t>
      </w:r>
      <w:r>
        <w:rPr>
          <w:rFonts w:hint="eastAsia" w:ascii="仿宋" w:hAnsi="仿宋" w:eastAsia="仿宋" w:cs="仿宋"/>
          <w:color w:val="auto"/>
          <w:sz w:val="32"/>
          <w:szCs w:val="32"/>
          <w:highlight w:val="none"/>
        </w:rPr>
        <w:t>%,公务用车购置费及运行维护费支出决算</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100.0</w:t>
      </w:r>
      <w:r>
        <w:rPr>
          <w:rFonts w:hint="eastAsia" w:ascii="仿宋" w:hAnsi="仿宋" w:eastAsia="仿宋" w:cs="仿宋"/>
          <w:color w:val="auto"/>
          <w:sz w:val="32"/>
          <w:szCs w:val="32"/>
          <w:highlight w:val="none"/>
        </w:rPr>
        <w:t>%。其中：</w:t>
      </w:r>
    </w:p>
    <w:p w14:paraId="1D6881BB">
      <w:pPr>
        <w:pStyle w:val="19"/>
        <w:ind w:firstLine="800" w:firstLineChars="2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1、因公出国（境）费支出决算为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万元，全年安排因公出国（境）团组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个，累计</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 xml:space="preserve">人次。    </w:t>
      </w:r>
    </w:p>
    <w:p w14:paraId="1A683438">
      <w:pPr>
        <w:pStyle w:val="19"/>
        <w:ind w:firstLine="800" w:firstLineChars="2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2、公务接待费支出决算为</w:t>
      </w:r>
      <w:r>
        <w:rPr>
          <w:rFonts w:hint="eastAsia" w:ascii="仿宋" w:hAnsi="仿宋" w:eastAsia="仿宋" w:cs="仿宋"/>
          <w:color w:val="auto"/>
          <w:sz w:val="32"/>
          <w:szCs w:val="32"/>
          <w:highlight w:val="none"/>
          <w:lang w:val="en-US" w:eastAsia="zh-CN"/>
        </w:rPr>
        <w:t>0.26</w:t>
      </w:r>
      <w:r>
        <w:rPr>
          <w:rFonts w:hint="eastAsia" w:ascii="仿宋" w:hAnsi="仿宋" w:eastAsia="仿宋" w:cs="仿宋"/>
          <w:color w:val="auto"/>
          <w:sz w:val="32"/>
          <w:szCs w:val="32"/>
          <w:highlight w:val="none"/>
        </w:rPr>
        <w:t>万元，全年共接待来访团组</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个、来宾</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人次。</w:t>
      </w:r>
    </w:p>
    <w:p w14:paraId="426945A7">
      <w:pPr>
        <w:ind w:firstLine="800" w:firstLineChars="25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3、公务用车购置费及运行维护费支出决算为</w:t>
      </w:r>
      <w:r>
        <w:rPr>
          <w:rFonts w:hint="eastAsia" w:ascii="仿宋" w:hAnsi="仿宋" w:eastAsia="仿宋" w:cs="仿宋"/>
          <w:color w:val="auto"/>
          <w:kern w:val="0"/>
          <w:sz w:val="32"/>
          <w:szCs w:val="32"/>
          <w:highlight w:val="none"/>
          <w:lang w:val="en-US" w:eastAsia="zh-CN"/>
        </w:rPr>
        <w:t>0</w:t>
      </w:r>
      <w:r>
        <w:rPr>
          <w:rFonts w:hint="eastAsia" w:ascii="仿宋" w:hAnsi="仿宋" w:eastAsia="仿宋" w:cs="仿宋"/>
          <w:color w:val="auto"/>
          <w:kern w:val="0"/>
          <w:sz w:val="32"/>
          <w:szCs w:val="32"/>
          <w:highlight w:val="none"/>
        </w:rPr>
        <w:t>万元，其中：公务用车购置费</w:t>
      </w:r>
      <w:r>
        <w:rPr>
          <w:rFonts w:hint="eastAsia" w:ascii="仿宋" w:hAnsi="仿宋" w:eastAsia="仿宋" w:cs="仿宋"/>
          <w:color w:val="auto"/>
          <w:kern w:val="0"/>
          <w:sz w:val="32"/>
          <w:szCs w:val="32"/>
          <w:highlight w:val="none"/>
          <w:lang w:val="en-US" w:eastAsia="zh-CN"/>
        </w:rPr>
        <w:t>0</w:t>
      </w:r>
      <w:r>
        <w:rPr>
          <w:rFonts w:hint="eastAsia" w:ascii="仿宋" w:hAnsi="仿宋" w:eastAsia="仿宋" w:cs="仿宋"/>
          <w:color w:val="auto"/>
          <w:kern w:val="0"/>
          <w:sz w:val="32"/>
          <w:szCs w:val="32"/>
          <w:highlight w:val="none"/>
        </w:rPr>
        <w:t>万元，购置公务用车</w:t>
      </w:r>
      <w:r>
        <w:rPr>
          <w:rFonts w:hint="eastAsia" w:ascii="仿宋" w:hAnsi="仿宋" w:eastAsia="仿宋" w:cs="仿宋"/>
          <w:color w:val="auto"/>
          <w:kern w:val="0"/>
          <w:sz w:val="32"/>
          <w:szCs w:val="32"/>
          <w:highlight w:val="none"/>
          <w:lang w:val="en-US" w:eastAsia="zh-CN"/>
        </w:rPr>
        <w:t>0</w:t>
      </w:r>
      <w:r>
        <w:rPr>
          <w:rFonts w:hint="eastAsia" w:ascii="仿宋" w:hAnsi="仿宋" w:eastAsia="仿宋" w:cs="仿宋"/>
          <w:color w:val="auto"/>
          <w:kern w:val="0"/>
          <w:sz w:val="32"/>
          <w:szCs w:val="32"/>
          <w:highlight w:val="none"/>
        </w:rPr>
        <w:t>辆。公务用车运行维护费</w:t>
      </w:r>
      <w:r>
        <w:rPr>
          <w:rFonts w:hint="eastAsia" w:ascii="仿宋" w:hAnsi="仿宋" w:eastAsia="仿宋" w:cs="仿宋"/>
          <w:color w:val="auto"/>
          <w:kern w:val="0"/>
          <w:sz w:val="32"/>
          <w:szCs w:val="32"/>
          <w:highlight w:val="none"/>
          <w:lang w:val="en-US" w:eastAsia="zh-CN"/>
        </w:rPr>
        <w:t>0</w:t>
      </w:r>
      <w:r>
        <w:rPr>
          <w:rFonts w:hint="eastAsia" w:ascii="仿宋" w:hAnsi="仿宋" w:eastAsia="仿宋" w:cs="仿宋"/>
          <w:color w:val="auto"/>
          <w:kern w:val="0"/>
          <w:sz w:val="32"/>
          <w:szCs w:val="32"/>
          <w:highlight w:val="none"/>
        </w:rPr>
        <w:t>万元，截止2023年12月31日，我单位开支财政拨款的公务用车保有量为</w:t>
      </w:r>
      <w:r>
        <w:rPr>
          <w:rFonts w:hint="eastAsia" w:ascii="仿宋" w:hAnsi="仿宋" w:eastAsia="仿宋" w:cs="仿宋"/>
          <w:color w:val="auto"/>
          <w:kern w:val="0"/>
          <w:sz w:val="32"/>
          <w:szCs w:val="32"/>
          <w:highlight w:val="none"/>
          <w:lang w:val="en-US" w:eastAsia="zh-CN"/>
        </w:rPr>
        <w:t>0</w:t>
      </w:r>
      <w:r>
        <w:rPr>
          <w:rFonts w:hint="eastAsia" w:ascii="仿宋" w:hAnsi="仿宋" w:eastAsia="仿宋" w:cs="仿宋"/>
          <w:color w:val="auto"/>
          <w:kern w:val="0"/>
          <w:sz w:val="32"/>
          <w:szCs w:val="32"/>
          <w:highlight w:val="none"/>
        </w:rPr>
        <w:t>辆。</w:t>
      </w:r>
    </w:p>
    <w:p w14:paraId="10E386DA">
      <w:pPr>
        <w:pStyle w:val="9"/>
        <w:autoSpaceDE w:val="0"/>
        <w:autoSpaceDN w:val="0"/>
        <w:adjustRightInd w:val="0"/>
        <w:spacing w:line="570" w:lineRule="exact"/>
        <w:ind w:firstLine="640" w:firstLineChars="200"/>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八、政府性基金预算收入支出决算情况</w:t>
      </w:r>
    </w:p>
    <w:p w14:paraId="716FEAC7">
      <w:pPr>
        <w:pStyle w:val="9"/>
        <w:autoSpaceDE w:val="0"/>
        <w:autoSpaceDN w:val="0"/>
        <w:adjustRightInd w:val="0"/>
        <w:spacing w:line="570" w:lineRule="exact"/>
        <w:ind w:firstLine="640" w:firstLineChars="200"/>
        <w:rPr>
          <w:rFonts w:ascii="Times New Roman" w:hAnsi="Times New Roman" w:eastAsia="黑体" w:cs="Times New Roman"/>
          <w:color w:val="auto"/>
          <w:kern w:val="0"/>
          <w:sz w:val="32"/>
          <w:szCs w:val="32"/>
          <w:highlight w:val="none"/>
        </w:rPr>
      </w:pPr>
      <w:r>
        <w:rPr>
          <w:rFonts w:hint="eastAsia" w:ascii="仿宋" w:hAnsi="仿宋" w:eastAsia="仿宋" w:cs="黑体"/>
          <w:color w:val="auto"/>
          <w:kern w:val="0"/>
          <w:sz w:val="32"/>
          <w:szCs w:val="32"/>
          <w:highlight w:val="none"/>
          <w:lang w:val="en-US" w:eastAsia="zh-CN" w:bidi="ar-SA"/>
        </w:rPr>
        <w:t xml:space="preserve"> 2023年度政府性基金预算财政拨款收入0万元；年初结转和结余0万元；支出0万元，其中基本支出0万元，项目支出0万元；年末结转和结余0万元。2023年度本单位无政府性基金收支。</w:t>
      </w:r>
    </w:p>
    <w:p w14:paraId="6F595CC0">
      <w:pPr>
        <w:pStyle w:val="9"/>
        <w:autoSpaceDE w:val="0"/>
        <w:autoSpaceDN w:val="0"/>
        <w:adjustRightInd w:val="0"/>
        <w:spacing w:line="570" w:lineRule="exact"/>
        <w:ind w:firstLine="640" w:firstLineChars="200"/>
        <w:rPr>
          <w:rFonts w:ascii="Times New Roman" w:hAnsi="Times New Roman" w:cs="Times New Roman"/>
          <w:color w:val="auto"/>
          <w:sz w:val="32"/>
          <w:szCs w:val="32"/>
          <w:highlight w:val="none"/>
        </w:rPr>
      </w:pPr>
      <w:r>
        <w:rPr>
          <w:rFonts w:ascii="Times New Roman" w:hAnsi="Times New Roman" w:eastAsia="黑体" w:cs="Times New Roman"/>
          <w:color w:val="auto"/>
          <w:kern w:val="0"/>
          <w:sz w:val="32"/>
          <w:szCs w:val="32"/>
          <w:highlight w:val="none"/>
        </w:rPr>
        <w:t>九、国有资本经营预算支出决算情况</w:t>
      </w:r>
    </w:p>
    <w:p w14:paraId="0EA948E5">
      <w:pPr>
        <w:pStyle w:val="9"/>
        <w:autoSpaceDE w:val="0"/>
        <w:autoSpaceDN w:val="0"/>
        <w:adjustRightInd w:val="0"/>
        <w:spacing w:line="57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 w:cs="Times New Roman"/>
          <w:color w:val="auto"/>
          <w:kern w:val="0"/>
          <w:sz w:val="32"/>
          <w:szCs w:val="32"/>
          <w:highlight w:val="none"/>
        </w:rPr>
        <w:t>2023年度本单位没有使用国有资本经营预算安排的支出</w:t>
      </w:r>
      <w:r>
        <w:rPr>
          <w:rFonts w:ascii="Times New Roman" w:hAnsi="Times New Roman" w:eastAsia="仿宋_GB2312" w:cs="Times New Roman"/>
          <w:color w:val="auto"/>
          <w:kern w:val="0"/>
          <w:sz w:val="32"/>
          <w:szCs w:val="32"/>
          <w:highlight w:val="none"/>
        </w:rPr>
        <w:t>。</w:t>
      </w:r>
    </w:p>
    <w:p w14:paraId="228798C6">
      <w:pPr>
        <w:pStyle w:val="9"/>
        <w:numPr>
          <w:ilvl w:val="0"/>
          <w:numId w:val="4"/>
        </w:numPr>
        <w:autoSpaceDE w:val="0"/>
        <w:autoSpaceDN w:val="0"/>
        <w:adjustRightInd w:val="0"/>
        <w:spacing w:line="570" w:lineRule="exact"/>
        <w:ind w:firstLine="640" w:firstLineChars="200"/>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机关运行经费支出说明</w:t>
      </w:r>
    </w:p>
    <w:p w14:paraId="03751FE6">
      <w:pPr>
        <w:pStyle w:val="9"/>
        <w:numPr>
          <w:ilvl w:val="0"/>
          <w:numId w:val="0"/>
        </w:numPr>
        <w:autoSpaceDE w:val="0"/>
        <w:autoSpaceDN w:val="0"/>
        <w:adjustRightInd w:val="0"/>
        <w:spacing w:line="570" w:lineRule="exact"/>
        <w:rPr>
          <w:rFonts w:hint="default" w:ascii="Times New Roman" w:hAnsi="Times New Roman" w:eastAsia="黑体" w:cs="Times New Roman"/>
          <w:color w:val="auto"/>
          <w:kern w:val="0"/>
          <w:sz w:val="32"/>
          <w:szCs w:val="32"/>
          <w:highlight w:val="none"/>
          <w:lang w:val="en-US" w:eastAsia="zh-CN"/>
        </w:rPr>
      </w:pPr>
      <w:r>
        <w:rPr>
          <w:rFonts w:hint="eastAsia" w:ascii="Times New Roman" w:hAnsi="Times New Roman" w:eastAsia="黑体" w:cs="Times New Roman"/>
          <w:color w:val="auto"/>
          <w:kern w:val="0"/>
          <w:sz w:val="32"/>
          <w:szCs w:val="32"/>
          <w:highlight w:val="none"/>
          <w:lang w:val="en-US" w:eastAsia="zh-CN"/>
        </w:rPr>
        <w:t xml:space="preserve">    </w:t>
      </w:r>
      <w:r>
        <w:rPr>
          <w:rFonts w:hint="eastAsia" w:ascii="仿宋" w:hAnsi="仿宋" w:eastAsia="仿宋" w:cs="黑体"/>
          <w:color w:val="auto"/>
          <w:kern w:val="0"/>
          <w:sz w:val="32"/>
          <w:szCs w:val="32"/>
          <w:highlight w:val="none"/>
          <w:lang w:val="en-US" w:eastAsia="zh-CN" w:bidi="ar-SA"/>
        </w:rPr>
        <w:t>本部门2023年度机关运行经费支出53.69万元，比年初预算数减少17.22万元，减少24.28%。主要原因是厉行节约，减少支出。</w:t>
      </w:r>
    </w:p>
    <w:p w14:paraId="0F58BE80">
      <w:pPr>
        <w:pStyle w:val="9"/>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一般性支出情况说明</w:t>
      </w:r>
    </w:p>
    <w:p w14:paraId="440BBA6F">
      <w:pPr>
        <w:pStyle w:val="19"/>
        <w:ind w:firstLine="640" w:firstLineChars="200"/>
        <w:rPr>
          <w:rFonts w:hint="default" w:ascii="Times New Roman" w:hAnsi="Times New Roman" w:eastAsia="黑体" w:cs="Times New Roman"/>
          <w:color w:val="auto"/>
          <w:kern w:val="0"/>
          <w:sz w:val="32"/>
          <w:szCs w:val="32"/>
          <w:highlight w:val="none"/>
          <w:lang w:val="en-US" w:eastAsia="zh-CN"/>
        </w:rPr>
      </w:pPr>
      <w:r>
        <w:rPr>
          <w:rFonts w:hint="eastAsia" w:ascii="Times New Roman" w:hAnsi="Times New Roman" w:eastAsia="黑体" w:cs="Times New Roman"/>
          <w:color w:val="auto"/>
          <w:kern w:val="0"/>
          <w:sz w:val="32"/>
          <w:szCs w:val="32"/>
          <w:highlight w:val="none"/>
          <w:lang w:val="en-US" w:eastAsia="zh-CN"/>
        </w:rPr>
        <w:t xml:space="preserve"> </w:t>
      </w:r>
      <w:r>
        <w:rPr>
          <w:rFonts w:hint="eastAsia" w:ascii="仿宋" w:hAnsi="仿宋" w:eastAsia="仿宋" w:cs="黑体"/>
          <w:color w:val="auto"/>
          <w:kern w:val="0"/>
          <w:sz w:val="32"/>
          <w:szCs w:val="32"/>
          <w:highlight w:val="none"/>
          <w:lang w:val="en-US" w:eastAsia="zh-CN" w:bidi="ar-SA"/>
        </w:rPr>
        <w:t>2023年本部门开支会议费0.61万元，用于召开全区办公室系统业务培训会议，人数60人，内容为提高全区办公室系统工作人员业务水平，加强文字写作能力等；开支培训费0.09万元，用于开展全区办公室系统业务培训，人数1人，内容为提高全区办公室系统工作人员业务水平，加强文字写作能力等；未举办春节等节庆、晚会、论坛、赛事活动，无开支。（注：三类会议、培训活动，节庆、晚会、论坛、赛事等活动，请分项列明活动计划及经费预算情况）</w:t>
      </w:r>
    </w:p>
    <w:p w14:paraId="3F821045">
      <w:pPr>
        <w:pStyle w:val="9"/>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政府采购支出说明</w:t>
      </w:r>
    </w:p>
    <w:p w14:paraId="5CBFCA50">
      <w:pPr>
        <w:pStyle w:val="19"/>
        <w:ind w:firstLine="640" w:firstLineChars="200"/>
        <w:rPr>
          <w:rFonts w:hint="default" w:ascii="Times New Roman" w:hAnsi="Times New Roman" w:eastAsia="黑体" w:cs="Times New Roman"/>
          <w:color w:val="auto"/>
          <w:kern w:val="0"/>
          <w:sz w:val="32"/>
          <w:szCs w:val="32"/>
          <w:highlight w:val="none"/>
          <w:lang w:val="en-US" w:eastAsia="zh-CN"/>
        </w:rPr>
      </w:pPr>
      <w:r>
        <w:rPr>
          <w:rFonts w:hint="eastAsia" w:ascii="仿宋" w:hAnsi="仿宋" w:eastAsia="仿宋" w:cs="黑体"/>
          <w:color w:val="auto"/>
          <w:kern w:val="0"/>
          <w:sz w:val="32"/>
          <w:szCs w:val="32"/>
          <w:highlight w:val="none"/>
          <w:lang w:val="en-US" w:eastAsia="zh-CN" w:bidi="ar-SA"/>
        </w:rPr>
        <w:t>本部门2023年度政府采购支出总额0万元，其中：政府采购货物支出0 万元、政府采购工程支出0 万元、政府采购服务支出0万元。授予中小企业合同金额0万元，占政府采购支出总额的0.0%，其中：授予小微企业合同金额0万元，占授予中小企业合同金额的0.0%；货物采购授予中小企业合同金额占货物支出金额的0.0%，工程采购授予中小企业合同金额占工程支出金额的0.0%，服务采购授予中小企业合同金额占服务支出金额的0.0%。</w:t>
      </w:r>
    </w:p>
    <w:p w14:paraId="0E8F2BB2">
      <w:pPr>
        <w:pStyle w:val="9"/>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国有资产占用情况说明</w:t>
      </w:r>
    </w:p>
    <w:p w14:paraId="4954D41E">
      <w:pPr>
        <w:pStyle w:val="19"/>
        <w:rPr>
          <w:rFonts w:hint="default" w:ascii="Times New Roman" w:hAnsi="Times New Roman" w:eastAsia="黑体" w:cs="Times New Roman"/>
          <w:color w:val="auto"/>
          <w:kern w:val="0"/>
          <w:sz w:val="32"/>
          <w:szCs w:val="32"/>
          <w:highlight w:val="none"/>
          <w:lang w:val="en-US" w:eastAsia="zh-CN"/>
        </w:rPr>
      </w:pPr>
      <w:r>
        <w:rPr>
          <w:rFonts w:hint="eastAsia" w:ascii="Times New Roman" w:hAnsi="Times New Roman" w:eastAsia="黑体" w:cs="Times New Roman"/>
          <w:color w:val="auto"/>
          <w:kern w:val="0"/>
          <w:sz w:val="32"/>
          <w:szCs w:val="32"/>
          <w:highlight w:val="none"/>
          <w:lang w:val="en-US" w:eastAsia="zh-CN"/>
        </w:rPr>
        <w:t xml:space="preserve">    </w:t>
      </w:r>
      <w:r>
        <w:rPr>
          <w:rFonts w:hint="eastAsia" w:ascii="仿宋" w:hAnsi="仿宋" w:eastAsia="仿宋" w:cs="黑体"/>
          <w:color w:val="auto"/>
          <w:kern w:val="0"/>
          <w:sz w:val="32"/>
          <w:szCs w:val="32"/>
          <w:highlight w:val="none"/>
          <w:lang w:val="en-US" w:eastAsia="zh-CN" w:bidi="ar-SA"/>
        </w:rPr>
        <w:t>截至2023年12月31日，部门（单位）共有车辆0辆，其中，主要领导干部用车0辆，机要通信用车0辆、应急保障用车0辆、执法执勤用车0辆、特种专业技术用车0辆、其他用车0辆；单位价值50万元以上通用设备0台（套）；单位价值100.0万元以上专用设备0台（套）。</w:t>
      </w:r>
    </w:p>
    <w:p w14:paraId="683707FC">
      <w:pPr>
        <w:pStyle w:val="9"/>
        <w:autoSpaceDE w:val="0"/>
        <w:autoSpaceDN w:val="0"/>
        <w:adjustRightInd w:val="0"/>
        <w:spacing w:line="570" w:lineRule="exact"/>
        <w:ind w:firstLine="640" w:firstLineChars="200"/>
        <w:rPr>
          <w:rFonts w:ascii="Times New Roman" w:hAnsi="Times New Roman" w:cs="Times New Roman"/>
          <w:color w:val="auto"/>
          <w:sz w:val="32"/>
          <w:szCs w:val="32"/>
          <w:highlight w:val="none"/>
        </w:rPr>
      </w:pPr>
      <w:r>
        <w:rPr>
          <w:rFonts w:ascii="Times New Roman" w:hAnsi="Times New Roman" w:eastAsia="黑体" w:cs="Times New Roman"/>
          <w:color w:val="auto"/>
          <w:kern w:val="0"/>
          <w:sz w:val="32"/>
          <w:szCs w:val="32"/>
          <w:highlight w:val="none"/>
        </w:rPr>
        <w:t>十四、重点项目预算的绩效评价结果等情况说明</w:t>
      </w:r>
    </w:p>
    <w:p w14:paraId="75221582">
      <w:pPr>
        <w:pStyle w:val="9"/>
        <w:autoSpaceDE w:val="0"/>
        <w:autoSpaceDN w:val="0"/>
        <w:adjustRightInd w:val="0"/>
        <w:spacing w:line="570" w:lineRule="exact"/>
        <w:ind w:firstLine="640" w:firstLineChars="200"/>
        <w:rPr>
          <w:rFonts w:ascii="Times New Roman" w:hAnsi="Times New Roman" w:eastAsia="楷体_GB2312" w:cs="Times New Roman"/>
          <w:b/>
          <w:color w:val="auto"/>
          <w:kern w:val="0"/>
          <w:sz w:val="32"/>
          <w:szCs w:val="32"/>
          <w:highlight w:val="none"/>
        </w:rPr>
      </w:pPr>
      <w:r>
        <w:rPr>
          <w:rFonts w:ascii="Times New Roman" w:hAnsi="Times New Roman" w:eastAsia="楷体_GB2312" w:cs="Times New Roman"/>
          <w:b/>
          <w:color w:val="auto"/>
          <w:kern w:val="0"/>
          <w:sz w:val="32"/>
          <w:szCs w:val="32"/>
          <w:highlight w:val="none"/>
        </w:rPr>
        <w:t>（一）绩效管理评价工作开展情况。</w:t>
      </w:r>
    </w:p>
    <w:p w14:paraId="658B188A">
      <w:pPr>
        <w:autoSpaceDE w:val="0"/>
        <w:autoSpaceDN w:val="0"/>
        <w:adjustRightInd w:val="0"/>
        <w:ind w:firstLine="640" w:firstLineChars="200"/>
        <w:jc w:val="left"/>
        <w:rPr>
          <w:rFonts w:hint="eastAsia" w:ascii="仿宋" w:hAnsi="仿宋" w:eastAsia="仿宋" w:cs="黑体"/>
          <w:color w:val="auto"/>
          <w:kern w:val="0"/>
          <w:sz w:val="32"/>
          <w:szCs w:val="32"/>
          <w:highlight w:val="none"/>
          <w:lang w:val="en-US" w:eastAsia="zh-CN" w:bidi="ar-SA"/>
        </w:rPr>
      </w:pPr>
      <w:r>
        <w:rPr>
          <w:rFonts w:hint="eastAsia" w:ascii="仿宋" w:hAnsi="仿宋" w:eastAsia="仿宋" w:cs="黑体"/>
          <w:color w:val="auto"/>
          <w:kern w:val="0"/>
          <w:sz w:val="32"/>
          <w:szCs w:val="32"/>
          <w:highlight w:val="none"/>
          <w:lang w:val="en-US" w:eastAsia="zh-CN" w:bidi="ar-SA"/>
        </w:rPr>
        <w:t>根据预算绩效管理要求，我部门组织对2023年度一般公共预算项目支出全面开展绩效自评，其中，一级项目5个，二级项目0个，共涉及资金259.86万元，占一般公共预算项目支出总额的100.0%。因本单位没有政府性基金预算项目支出，没有组织对2023年度政府性基金预算项目支出开展绩效自评。因本单位没有国有资本经营预算项目支出，没有组织对2023年度国有资本经营预算项目支出开展绩效自评。</w:t>
      </w:r>
    </w:p>
    <w:p w14:paraId="294248A4">
      <w:pPr>
        <w:autoSpaceDE w:val="0"/>
        <w:autoSpaceDN w:val="0"/>
        <w:adjustRightInd w:val="0"/>
        <w:ind w:firstLine="640" w:firstLineChars="200"/>
        <w:jc w:val="left"/>
        <w:rPr>
          <w:rFonts w:ascii="Times New Roman" w:hAnsi="Times New Roman" w:eastAsia="楷体_GB2312" w:cs="Times New Roman"/>
          <w:b/>
          <w:color w:val="auto"/>
          <w:kern w:val="0"/>
          <w:sz w:val="32"/>
          <w:szCs w:val="32"/>
          <w:highlight w:val="none"/>
        </w:rPr>
      </w:pPr>
      <w:r>
        <w:rPr>
          <w:rFonts w:hint="eastAsia" w:ascii="仿宋" w:hAnsi="仿宋" w:eastAsia="仿宋" w:cs="黑体"/>
          <w:color w:val="auto"/>
          <w:kern w:val="0"/>
          <w:sz w:val="32"/>
          <w:szCs w:val="32"/>
          <w:highlight w:val="none"/>
          <w:lang w:val="en-US" w:eastAsia="zh-CN" w:bidi="ar-SA"/>
        </w:rPr>
        <w:t>组织对“业务性专项经费”、</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禁毒工作经费</w:t>
      </w:r>
      <w:r>
        <w:rPr>
          <w:rFonts w:hint="default" w:ascii="Times New Roman" w:hAnsi="Times New Roman" w:eastAsia="仿宋_GB2312" w:cs="Times New Roman"/>
          <w:color w:val="auto"/>
          <w:sz w:val="32"/>
          <w:szCs w:val="32"/>
          <w:highlight w:val="none"/>
        </w:rPr>
        <w:t>”</w:t>
      </w:r>
      <w:r>
        <w:rPr>
          <w:rFonts w:hint="eastAsia" w:ascii="仿宋" w:hAnsi="仿宋" w:eastAsia="仿宋" w:cs="黑体"/>
          <w:color w:val="auto"/>
          <w:kern w:val="0"/>
          <w:sz w:val="32"/>
          <w:szCs w:val="32"/>
          <w:highlight w:val="none"/>
          <w:lang w:val="en-US" w:eastAsia="zh-CN" w:bidi="ar-SA"/>
        </w:rPr>
        <w:t>、</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交通顽瘴痼疾整治专项</w:t>
      </w:r>
      <w:r>
        <w:rPr>
          <w:rFonts w:hint="default" w:ascii="Times New Roman" w:hAnsi="Times New Roman" w:eastAsia="仿宋_GB2312" w:cs="Times New Roman"/>
          <w:color w:val="auto"/>
          <w:sz w:val="32"/>
          <w:szCs w:val="32"/>
          <w:highlight w:val="none"/>
        </w:rPr>
        <w:t>”</w:t>
      </w:r>
      <w:r>
        <w:rPr>
          <w:rFonts w:hint="eastAsia" w:ascii="仿宋" w:hAnsi="仿宋" w:eastAsia="仿宋" w:cs="黑体"/>
          <w:color w:val="auto"/>
          <w:kern w:val="0"/>
          <w:sz w:val="32"/>
          <w:szCs w:val="32"/>
          <w:highlight w:val="none"/>
          <w:lang w:val="en-US" w:eastAsia="zh-CN" w:bidi="ar-SA"/>
        </w:rPr>
        <w:t>、</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援藏工作经费</w:t>
      </w:r>
      <w:r>
        <w:rPr>
          <w:rFonts w:hint="default" w:ascii="Times New Roman" w:hAnsi="Times New Roman" w:eastAsia="仿宋_GB2312" w:cs="Times New Roman"/>
          <w:color w:val="auto"/>
          <w:sz w:val="32"/>
          <w:szCs w:val="32"/>
          <w:highlight w:val="none"/>
        </w:rPr>
        <w:t>”</w:t>
      </w:r>
      <w:r>
        <w:rPr>
          <w:rFonts w:hint="eastAsia" w:ascii="仿宋" w:hAnsi="仿宋" w:eastAsia="仿宋" w:cs="黑体"/>
          <w:color w:val="auto"/>
          <w:kern w:val="0"/>
          <w:sz w:val="32"/>
          <w:szCs w:val="32"/>
          <w:highlight w:val="none"/>
          <w:lang w:val="en-US" w:eastAsia="zh-CN" w:bidi="ar-SA"/>
        </w:rPr>
        <w:t>、</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线上视频设备经费</w:t>
      </w:r>
      <w:r>
        <w:rPr>
          <w:rFonts w:hint="default" w:ascii="Times New Roman" w:hAnsi="Times New Roman" w:eastAsia="仿宋_GB2312" w:cs="Times New Roman"/>
          <w:color w:val="auto"/>
          <w:sz w:val="32"/>
          <w:szCs w:val="32"/>
          <w:highlight w:val="none"/>
        </w:rPr>
        <w:t>”</w:t>
      </w:r>
      <w:r>
        <w:rPr>
          <w:rFonts w:hint="eastAsia" w:ascii="仿宋" w:hAnsi="仿宋" w:eastAsia="仿宋" w:cs="黑体"/>
          <w:color w:val="auto"/>
          <w:kern w:val="0"/>
          <w:sz w:val="32"/>
          <w:szCs w:val="32"/>
          <w:highlight w:val="none"/>
          <w:lang w:val="en-US" w:eastAsia="zh-CN" w:bidi="ar-SA"/>
        </w:rPr>
        <w:t>5个项目开展了部门评价，涉及一般公共预算支出259.86万元，政府性基金预算支出0 万元，国有资本经营预算支出0万元。</w:t>
      </w:r>
    </w:p>
    <w:p w14:paraId="13FCBBB1">
      <w:pPr>
        <w:pStyle w:val="9"/>
        <w:numPr>
          <w:ilvl w:val="0"/>
          <w:numId w:val="5"/>
        </w:numPr>
        <w:autoSpaceDE w:val="0"/>
        <w:autoSpaceDN w:val="0"/>
        <w:adjustRightInd w:val="0"/>
        <w:spacing w:line="570" w:lineRule="exact"/>
        <w:ind w:firstLine="640" w:firstLineChars="200"/>
        <w:rPr>
          <w:rFonts w:ascii="Times New Roman" w:hAnsi="Times New Roman" w:eastAsia="楷体_GB2312" w:cs="Times New Roman"/>
          <w:b/>
          <w:color w:val="auto"/>
          <w:kern w:val="0"/>
          <w:sz w:val="32"/>
          <w:szCs w:val="32"/>
          <w:highlight w:val="none"/>
        </w:rPr>
      </w:pPr>
      <w:r>
        <w:rPr>
          <w:rFonts w:ascii="Times New Roman" w:hAnsi="Times New Roman" w:eastAsia="楷体_GB2312" w:cs="Times New Roman"/>
          <w:b/>
          <w:color w:val="auto"/>
          <w:kern w:val="0"/>
          <w:sz w:val="32"/>
          <w:szCs w:val="32"/>
          <w:highlight w:val="none"/>
        </w:rPr>
        <w:t>部门评价项目绩效评价结果。</w:t>
      </w:r>
    </w:p>
    <w:p w14:paraId="2A6DEF05">
      <w:pPr>
        <w:autoSpaceDE w:val="0"/>
        <w:autoSpaceDN w:val="0"/>
        <w:adjustRightInd w:val="0"/>
        <w:ind w:firstLine="320" w:firstLineChars="100"/>
        <w:jc w:val="left"/>
        <w:rPr>
          <w:rFonts w:hint="eastAsia" w:ascii="仿宋" w:hAnsi="仿宋" w:eastAsia="仿宋" w:cs="仿宋"/>
          <w:color w:val="auto"/>
          <w:kern w:val="0"/>
          <w:sz w:val="32"/>
          <w:szCs w:val="32"/>
          <w:highlight w:val="none"/>
          <w:lang w:val="en-US" w:eastAsia="zh-CN" w:bidi="ar-SA"/>
        </w:rPr>
      </w:pPr>
      <w:r>
        <w:rPr>
          <w:rFonts w:hint="eastAsia" w:ascii="Times New Roman" w:hAnsi="Times New Roman" w:eastAsia="楷体_GB2312" w:cs="Times New Roman"/>
          <w:b/>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lang w:val="en-US" w:eastAsia="zh-CN" w:bidi="ar-SA"/>
        </w:rPr>
        <w:t xml:space="preserve"> 部门评价项目数量5个，将5个项目部门评价报告向社会公开。</w:t>
      </w:r>
    </w:p>
    <w:p w14:paraId="6BBCCB98">
      <w:pPr>
        <w:keepNext w:val="0"/>
        <w:keepLines w:val="0"/>
        <w:pageBreakBefore w:val="0"/>
        <w:widowControl w:val="0"/>
        <w:tabs>
          <w:tab w:val="left" w:pos="7560"/>
        </w:tabs>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业务性专项经费绩效自评综述：根据年初设定的绩效目标，项目绩效自评得分为99.26分。项目全年预算数为82.95万元，执行数为</w:t>
      </w:r>
      <w:r>
        <w:rPr>
          <w:rFonts w:hint="eastAsia" w:ascii="仿宋" w:hAnsi="仿宋" w:eastAsia="仿宋" w:cs="仿宋"/>
          <w:color w:val="auto"/>
          <w:sz w:val="32"/>
          <w:szCs w:val="32"/>
          <w:highlight w:val="none"/>
          <w:lang w:val="en-US" w:eastAsia="zh-CN"/>
        </w:rPr>
        <w:t>79.85</w:t>
      </w:r>
      <w:r>
        <w:rPr>
          <w:rFonts w:hint="eastAsia" w:ascii="仿宋" w:hAnsi="仿宋" w:eastAsia="仿宋" w:cs="仿宋"/>
          <w:color w:val="auto"/>
          <w:kern w:val="0"/>
          <w:sz w:val="32"/>
          <w:szCs w:val="32"/>
          <w:highlight w:val="none"/>
          <w:lang w:val="en-US" w:eastAsia="zh-CN" w:bidi="ar-SA"/>
        </w:rPr>
        <w:t>万元，完成预算的96.26%。项目绩效目标完成情况：主要用于本单位的</w:t>
      </w:r>
      <w:r>
        <w:rPr>
          <w:rFonts w:hint="eastAsia" w:ascii="仿宋" w:hAnsi="仿宋" w:eastAsia="仿宋" w:cs="仿宋"/>
          <w:color w:val="auto"/>
          <w:sz w:val="32"/>
          <w:szCs w:val="32"/>
          <w:highlight w:val="none"/>
          <w:lang w:val="en-US" w:eastAsia="zh-CN"/>
        </w:rPr>
        <w:t>“综合协调、参谋决策、督察督办、服务保障”工作职能，确保政务服务顺达高效、干部队伍素质不断提升，有力促进全区各项工作顺利推进。</w:t>
      </w:r>
      <w:r>
        <w:rPr>
          <w:rFonts w:hint="eastAsia" w:ascii="仿宋" w:hAnsi="仿宋" w:eastAsia="仿宋" w:cs="仿宋"/>
          <w:color w:val="auto"/>
          <w:kern w:val="0"/>
          <w:sz w:val="32"/>
          <w:szCs w:val="32"/>
          <w:highlight w:val="none"/>
          <w:lang w:val="en-US" w:eastAsia="zh-CN" w:bidi="ar-SA"/>
        </w:rPr>
        <w:t>发现的主要问题及原因：无。下一步改进措施：无。</w:t>
      </w:r>
    </w:p>
    <w:p w14:paraId="1C90E68C">
      <w:pPr>
        <w:keepNext w:val="0"/>
        <w:keepLines w:val="0"/>
        <w:pageBreakBefore w:val="0"/>
        <w:widowControl w:val="0"/>
        <w:tabs>
          <w:tab w:val="left" w:pos="7560"/>
        </w:tabs>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sz w:val="32"/>
          <w:szCs w:val="32"/>
          <w:highlight w:val="none"/>
          <w:lang w:eastAsia="zh-CN"/>
        </w:rPr>
        <w:t>禁毒工作经费</w:t>
      </w:r>
      <w:r>
        <w:rPr>
          <w:rFonts w:hint="eastAsia" w:ascii="仿宋" w:hAnsi="仿宋" w:eastAsia="仿宋" w:cs="仿宋"/>
          <w:color w:val="auto"/>
          <w:kern w:val="0"/>
          <w:sz w:val="32"/>
          <w:szCs w:val="32"/>
          <w:highlight w:val="none"/>
          <w:lang w:val="en-US" w:eastAsia="zh-CN" w:bidi="ar-SA"/>
        </w:rPr>
        <w:t>绩效自评综述：根据年初设定的绩效目标，项目绩效自评得分为98.98分。项目全年预算数为</w:t>
      </w:r>
      <w:r>
        <w:rPr>
          <w:rFonts w:hint="eastAsia" w:ascii="仿宋" w:hAnsi="仿宋" w:eastAsia="仿宋" w:cs="仿宋"/>
          <w:color w:val="auto"/>
          <w:sz w:val="32"/>
          <w:szCs w:val="32"/>
          <w:highlight w:val="none"/>
          <w:lang w:val="en-US" w:eastAsia="zh-CN"/>
        </w:rPr>
        <w:t>123.94</w:t>
      </w:r>
      <w:r>
        <w:rPr>
          <w:rFonts w:hint="eastAsia" w:ascii="仿宋" w:hAnsi="仿宋" w:eastAsia="仿宋" w:cs="仿宋"/>
          <w:color w:val="auto"/>
          <w:kern w:val="0"/>
          <w:sz w:val="32"/>
          <w:szCs w:val="32"/>
          <w:highlight w:val="none"/>
          <w:lang w:val="en-US" w:eastAsia="zh-CN" w:bidi="ar-SA"/>
        </w:rPr>
        <w:t>万元，执行数为</w:t>
      </w:r>
      <w:r>
        <w:rPr>
          <w:rFonts w:hint="eastAsia" w:ascii="仿宋" w:hAnsi="仿宋" w:eastAsia="仿宋" w:cs="仿宋"/>
          <w:color w:val="auto"/>
          <w:sz w:val="32"/>
          <w:szCs w:val="32"/>
          <w:highlight w:val="none"/>
          <w:lang w:val="en-US" w:eastAsia="zh-CN"/>
        </w:rPr>
        <w:t>117.66</w:t>
      </w:r>
      <w:r>
        <w:rPr>
          <w:rFonts w:hint="eastAsia" w:ascii="仿宋" w:hAnsi="仿宋" w:eastAsia="仿宋" w:cs="仿宋"/>
          <w:color w:val="auto"/>
          <w:kern w:val="0"/>
          <w:sz w:val="32"/>
          <w:szCs w:val="32"/>
          <w:highlight w:val="none"/>
          <w:lang w:val="en-US" w:eastAsia="zh-CN" w:bidi="ar-SA"/>
        </w:rPr>
        <w:t>万元，完成预算的94.93%。项目绩效目标完成情况：主要用于</w:t>
      </w:r>
      <w:r>
        <w:rPr>
          <w:rFonts w:hint="eastAsia" w:ascii="仿宋" w:hAnsi="仿宋" w:eastAsia="仿宋" w:cs="仿宋"/>
          <w:color w:val="auto"/>
          <w:sz w:val="32"/>
          <w:szCs w:val="32"/>
          <w:highlight w:val="none"/>
          <w:lang w:val="en-US" w:eastAsia="zh-CN"/>
        </w:rPr>
        <w:t>开展“三清一收一净”专项行动，集中打击整治毒品突出问题，健全毒品问题整治体系，推动禁毒工作深入开展，努力提升人民群众的安全感和获得感。</w:t>
      </w:r>
      <w:r>
        <w:rPr>
          <w:rFonts w:hint="eastAsia" w:ascii="仿宋" w:hAnsi="仿宋" w:eastAsia="仿宋" w:cs="仿宋"/>
          <w:color w:val="auto"/>
          <w:kern w:val="0"/>
          <w:sz w:val="32"/>
          <w:szCs w:val="32"/>
          <w:highlight w:val="none"/>
          <w:lang w:val="en-US" w:eastAsia="zh-CN" w:bidi="ar-SA"/>
        </w:rPr>
        <w:t>发现的主要问题及原因：无。下一步改进措施：无。</w:t>
      </w:r>
    </w:p>
    <w:p w14:paraId="03F22F2F">
      <w:pPr>
        <w:keepNext w:val="0"/>
        <w:keepLines w:val="0"/>
        <w:pageBreakBefore w:val="0"/>
        <w:widowControl w:val="0"/>
        <w:tabs>
          <w:tab w:val="left" w:pos="7560"/>
        </w:tabs>
        <w:kinsoku/>
        <w:wordWrap/>
        <w:overflowPunct/>
        <w:topLinePunct w:val="0"/>
        <w:bidi w:val="0"/>
        <w:spacing w:line="560" w:lineRule="exact"/>
        <w:ind w:firstLine="640" w:firstLineChars="200"/>
        <w:jc w:val="both"/>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sz w:val="32"/>
          <w:szCs w:val="32"/>
          <w:highlight w:val="none"/>
          <w:lang w:eastAsia="zh-CN"/>
        </w:rPr>
        <w:t>交通顽瘴痼疾整治专项经费</w:t>
      </w:r>
      <w:r>
        <w:rPr>
          <w:rFonts w:hint="eastAsia" w:ascii="仿宋" w:hAnsi="仿宋" w:eastAsia="仿宋" w:cs="仿宋"/>
          <w:color w:val="auto"/>
          <w:kern w:val="0"/>
          <w:sz w:val="32"/>
          <w:szCs w:val="32"/>
          <w:highlight w:val="none"/>
          <w:lang w:val="en-US" w:eastAsia="zh-CN" w:bidi="ar-SA"/>
        </w:rPr>
        <w:t>绩效自评综述：根据年初设定的绩效目标，项目绩效自评得分为98.7分。项目全年预算数为32.33万元，执行数为</w:t>
      </w:r>
      <w:r>
        <w:rPr>
          <w:rFonts w:hint="eastAsia" w:ascii="仿宋" w:hAnsi="仿宋" w:eastAsia="仿宋" w:cs="仿宋"/>
          <w:color w:val="auto"/>
          <w:sz w:val="32"/>
          <w:szCs w:val="32"/>
          <w:highlight w:val="none"/>
          <w:lang w:val="en-US" w:eastAsia="zh-CN"/>
        </w:rPr>
        <w:t>30.24</w:t>
      </w:r>
      <w:r>
        <w:rPr>
          <w:rFonts w:hint="eastAsia" w:ascii="仿宋" w:hAnsi="仿宋" w:eastAsia="仿宋" w:cs="仿宋"/>
          <w:color w:val="auto"/>
          <w:kern w:val="0"/>
          <w:sz w:val="32"/>
          <w:szCs w:val="32"/>
          <w:highlight w:val="none"/>
          <w:lang w:val="en-US" w:eastAsia="zh-CN" w:bidi="ar-SA"/>
        </w:rPr>
        <w:t>万元，完成预算的93.54%。项目绩效目标完成情况：主要用于</w:t>
      </w:r>
      <w:r>
        <w:rPr>
          <w:rFonts w:hint="eastAsia" w:ascii="仿宋" w:hAnsi="仿宋" w:eastAsia="仿宋" w:cs="仿宋"/>
          <w:color w:val="auto"/>
          <w:sz w:val="32"/>
          <w:szCs w:val="32"/>
          <w:highlight w:val="none"/>
          <w:lang w:val="en-US" w:eastAsia="zh-CN"/>
        </w:rPr>
        <w:t>为进一步巩固交通问题顽瘴痼疾集中整治工作成果，从根本上消除非法营运、车辆乱停乱摆、超限超载、“三无”车辆上路行驶、摩托车不戴头盔等领域的交通问题顽瘴痼疾，做到交通问题顽瘴痼疾整治工作不留死角、不留空挡、实现全覆盖。</w:t>
      </w:r>
      <w:r>
        <w:rPr>
          <w:rFonts w:hint="eastAsia" w:ascii="仿宋" w:hAnsi="仿宋" w:eastAsia="仿宋" w:cs="仿宋"/>
          <w:color w:val="auto"/>
          <w:kern w:val="0"/>
          <w:sz w:val="32"/>
          <w:szCs w:val="32"/>
          <w:highlight w:val="none"/>
          <w:lang w:val="en-US" w:eastAsia="zh-CN" w:bidi="ar-SA"/>
        </w:rPr>
        <w:t>发现的主要问题及原因：无。下一步改进措施：无。</w:t>
      </w:r>
    </w:p>
    <w:p w14:paraId="062FC06D">
      <w:pPr>
        <w:keepNext w:val="0"/>
        <w:keepLines w:val="0"/>
        <w:pageBreakBefore w:val="0"/>
        <w:widowControl w:val="0"/>
        <w:tabs>
          <w:tab w:val="left" w:pos="7560"/>
        </w:tabs>
        <w:kinsoku/>
        <w:wordWrap/>
        <w:overflowPunct/>
        <w:topLinePunct w:val="0"/>
        <w:bidi w:val="0"/>
        <w:spacing w:line="560" w:lineRule="exact"/>
        <w:ind w:firstLine="640" w:firstLineChars="200"/>
        <w:jc w:val="both"/>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sz w:val="32"/>
          <w:szCs w:val="32"/>
          <w:highlight w:val="none"/>
          <w:lang w:eastAsia="zh-CN"/>
        </w:rPr>
        <w:t>援藏工作经费</w:t>
      </w:r>
      <w:r>
        <w:rPr>
          <w:rFonts w:hint="eastAsia" w:ascii="仿宋" w:hAnsi="仿宋" w:eastAsia="仿宋" w:cs="仿宋"/>
          <w:color w:val="auto"/>
          <w:kern w:val="0"/>
          <w:sz w:val="32"/>
          <w:szCs w:val="32"/>
          <w:highlight w:val="none"/>
          <w:lang w:val="en-US" w:eastAsia="zh-CN" w:bidi="ar-SA"/>
        </w:rPr>
        <w:t>绩效自评综述：根据年初设定的绩效目标，项目绩效自评得分为100分。项目全年预算数为20万元，执行数为20万元，完成预算的100.0%。项目绩效目标完成情况：</w:t>
      </w:r>
      <w:r>
        <w:rPr>
          <w:rFonts w:hint="eastAsia" w:ascii="仿宋" w:hAnsi="仿宋" w:eastAsia="仿宋" w:cs="仿宋"/>
          <w:color w:val="auto"/>
          <w:sz w:val="32"/>
          <w:szCs w:val="32"/>
          <w:highlight w:val="none"/>
        </w:rPr>
        <w:t>主要用于</w:t>
      </w:r>
      <w:r>
        <w:rPr>
          <w:rFonts w:hint="eastAsia" w:ascii="仿宋" w:hAnsi="仿宋" w:eastAsia="仿宋" w:cs="仿宋"/>
          <w:color w:val="auto"/>
          <w:sz w:val="32"/>
          <w:szCs w:val="32"/>
          <w:highlight w:val="none"/>
          <w:lang w:val="en-US" w:eastAsia="zh-CN"/>
        </w:rPr>
        <w:t>做好对口援藏工作，慰问我市第十批援藏干部</w:t>
      </w:r>
      <w:r>
        <w:rPr>
          <w:rFonts w:hint="eastAsia" w:ascii="仿宋" w:hAnsi="仿宋" w:eastAsia="仿宋" w:cs="仿宋"/>
          <w:color w:val="auto"/>
          <w:kern w:val="0"/>
          <w:sz w:val="32"/>
          <w:szCs w:val="32"/>
          <w:highlight w:val="none"/>
          <w:lang w:val="en-US" w:eastAsia="zh-CN" w:bidi="ar-SA"/>
        </w:rPr>
        <w:t>发现的主要问题及原因：无。下一步改进措施：无。</w:t>
      </w:r>
    </w:p>
    <w:p w14:paraId="5BDBBEFC">
      <w:pPr>
        <w:autoSpaceDE w:val="0"/>
        <w:autoSpaceDN w:val="0"/>
        <w:adjustRightInd w:val="0"/>
        <w:ind w:firstLine="640" w:firstLineChars="200"/>
        <w:jc w:val="left"/>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线上视频设备</w:t>
      </w:r>
      <w:r>
        <w:rPr>
          <w:rFonts w:hint="eastAsia" w:ascii="仿宋" w:hAnsi="仿宋" w:eastAsia="仿宋" w:cs="仿宋"/>
          <w:color w:val="auto"/>
          <w:sz w:val="32"/>
          <w:szCs w:val="32"/>
          <w:highlight w:val="none"/>
          <w:lang w:eastAsia="zh-CN"/>
        </w:rPr>
        <w:t>经费</w:t>
      </w:r>
      <w:r>
        <w:rPr>
          <w:rFonts w:hint="eastAsia" w:ascii="仿宋" w:hAnsi="仿宋" w:eastAsia="仿宋" w:cs="仿宋"/>
          <w:color w:val="auto"/>
          <w:sz w:val="32"/>
          <w:szCs w:val="32"/>
          <w:highlight w:val="none"/>
          <w:lang w:val="en-US" w:eastAsia="zh-CN"/>
        </w:rPr>
        <w:t>绩效自评综述：根据年初设定的绩效目标，项目绩效自评得分为100.0分。项目全年预算数为10万元，执行数为10万元，完成预算的100.0%。项目绩效目标完成情况：</w:t>
      </w:r>
      <w:r>
        <w:rPr>
          <w:rFonts w:hint="eastAsia" w:ascii="仿宋" w:hAnsi="仿宋" w:eastAsia="仿宋" w:cs="仿宋"/>
          <w:color w:val="auto"/>
          <w:sz w:val="32"/>
          <w:szCs w:val="32"/>
          <w:highlight w:val="none"/>
          <w:lang w:eastAsia="zh-CN"/>
        </w:rPr>
        <w:t>主要用于</w:t>
      </w:r>
      <w:r>
        <w:rPr>
          <w:rFonts w:hint="eastAsia" w:ascii="Times New Roman" w:hAnsi="Times New Roman" w:eastAsia="仿宋_GB2312" w:cs="Times New Roman"/>
          <w:color w:val="auto"/>
          <w:sz w:val="32"/>
          <w:szCs w:val="32"/>
          <w:highlight w:val="none"/>
          <w:lang w:val="en-US" w:eastAsia="zh-CN"/>
        </w:rPr>
        <w:t>顺利进行政府线会议。</w:t>
      </w:r>
      <w:r>
        <w:rPr>
          <w:rFonts w:hint="eastAsia" w:ascii="仿宋" w:hAnsi="仿宋" w:eastAsia="仿宋" w:cs="仿宋"/>
          <w:color w:val="auto"/>
          <w:sz w:val="32"/>
          <w:szCs w:val="32"/>
          <w:highlight w:val="none"/>
          <w:lang w:val="en-US" w:eastAsia="zh-CN"/>
        </w:rPr>
        <w:t>发现的主要问题无。下一步改进措施：无。</w:t>
      </w:r>
    </w:p>
    <w:p w14:paraId="55FB32FF">
      <w:pPr>
        <w:pStyle w:val="9"/>
        <w:autoSpaceDE w:val="0"/>
        <w:autoSpaceDN w:val="0"/>
        <w:adjustRightInd w:val="0"/>
        <w:spacing w:line="570" w:lineRule="exact"/>
        <w:ind w:firstLine="640" w:firstLineChars="200"/>
        <w:rPr>
          <w:rFonts w:ascii="Times New Roman" w:hAnsi="Times New Roman" w:cs="Times New Roman"/>
          <w:color w:val="auto"/>
          <w:sz w:val="32"/>
          <w:szCs w:val="32"/>
          <w:highlight w:val="none"/>
        </w:rPr>
      </w:pPr>
      <w:r>
        <w:rPr>
          <w:rFonts w:ascii="Times New Roman" w:hAnsi="Times New Roman" w:eastAsia="黑体" w:cs="Times New Roman"/>
          <w:color w:val="auto"/>
          <w:kern w:val="0"/>
          <w:sz w:val="32"/>
          <w:szCs w:val="32"/>
          <w:highlight w:val="none"/>
        </w:rPr>
        <w:t>十五、其他重要事项情况说明</w:t>
      </w:r>
    </w:p>
    <w:p w14:paraId="4DE985FA">
      <w:pPr>
        <w:autoSpaceDE w:val="0"/>
        <w:autoSpaceDN w:val="0"/>
        <w:adjustRightInd w:val="0"/>
        <w:spacing w:line="57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本单位没有独立网站，因此只在株洲市石峰区</w:t>
      </w:r>
      <w:r>
        <w:rPr>
          <w:rFonts w:hint="eastAsia" w:ascii="Times New Roman" w:hAnsi="Times New Roman" w:eastAsia="仿宋_GB2312" w:cs="Times New Roman"/>
          <w:color w:val="auto"/>
          <w:kern w:val="0"/>
          <w:sz w:val="32"/>
          <w:szCs w:val="32"/>
          <w:highlight w:val="none"/>
          <w:lang w:eastAsia="zh-CN"/>
        </w:rPr>
        <w:t>人民</w:t>
      </w:r>
      <w:r>
        <w:rPr>
          <w:rFonts w:ascii="Times New Roman" w:hAnsi="Times New Roman" w:eastAsia="仿宋_GB2312" w:cs="Times New Roman"/>
          <w:color w:val="auto"/>
          <w:kern w:val="0"/>
          <w:sz w:val="32"/>
          <w:szCs w:val="32"/>
          <w:highlight w:val="none"/>
        </w:rPr>
        <w:t>政府门户网</w:t>
      </w:r>
      <w:r>
        <w:rPr>
          <w:rFonts w:hint="eastAsia" w:ascii="Times New Roman" w:hAnsi="Times New Roman" w:eastAsia="仿宋_GB2312" w:cs="Times New Roman"/>
          <w:color w:val="auto"/>
          <w:kern w:val="0"/>
          <w:sz w:val="32"/>
          <w:szCs w:val="32"/>
          <w:highlight w:val="none"/>
          <w:lang w:eastAsia="zh-CN"/>
        </w:rPr>
        <w:t>站</w:t>
      </w:r>
      <w:r>
        <w:rPr>
          <w:rFonts w:ascii="Times New Roman" w:hAnsi="Times New Roman" w:eastAsia="仿宋_GB2312" w:cs="Times New Roman"/>
          <w:color w:val="auto"/>
          <w:kern w:val="0"/>
          <w:sz w:val="32"/>
          <w:szCs w:val="32"/>
          <w:highlight w:val="none"/>
        </w:rPr>
        <w:t>财政预决算和三公经费公开专栏中公开。</w:t>
      </w:r>
    </w:p>
    <w:p w14:paraId="09E9214D">
      <w:pPr>
        <w:pStyle w:val="19"/>
        <w:jc w:val="both"/>
        <w:rPr>
          <w:rFonts w:ascii="Times New Roman" w:hAnsi="Times New Roman" w:cs="Times New Roman"/>
          <w:color w:val="auto"/>
          <w:sz w:val="84"/>
          <w:szCs w:val="84"/>
          <w:highlight w:val="none"/>
        </w:rPr>
      </w:pPr>
    </w:p>
    <w:p w14:paraId="35C19FFB">
      <w:pPr>
        <w:pStyle w:val="19"/>
        <w:jc w:val="both"/>
        <w:rPr>
          <w:rFonts w:ascii="Times New Roman" w:hAnsi="Times New Roman" w:cs="Times New Roman"/>
          <w:color w:val="auto"/>
          <w:sz w:val="84"/>
          <w:szCs w:val="84"/>
          <w:highlight w:val="none"/>
        </w:rPr>
      </w:pPr>
    </w:p>
    <w:p w14:paraId="7DC53CCF">
      <w:pPr>
        <w:pStyle w:val="19"/>
        <w:jc w:val="both"/>
        <w:rPr>
          <w:rFonts w:ascii="Times New Roman" w:hAnsi="Times New Roman" w:cs="Times New Roman"/>
          <w:color w:val="auto"/>
          <w:sz w:val="84"/>
          <w:szCs w:val="84"/>
          <w:highlight w:val="none"/>
        </w:rPr>
      </w:pPr>
    </w:p>
    <w:p w14:paraId="6BBD5071">
      <w:pPr>
        <w:pStyle w:val="19"/>
        <w:jc w:val="center"/>
        <w:rPr>
          <w:rFonts w:ascii="Times New Roman" w:hAnsi="Times New Roman" w:eastAsia="方正小标宋简体" w:cs="Times New Roman"/>
          <w:color w:val="auto"/>
          <w:sz w:val="76"/>
          <w:szCs w:val="76"/>
          <w:highlight w:val="none"/>
        </w:rPr>
      </w:pPr>
      <w:r>
        <w:rPr>
          <w:rFonts w:ascii="Times New Roman" w:hAnsi="Times New Roman" w:eastAsia="方正小标宋简体" w:cs="Times New Roman"/>
          <w:color w:val="auto"/>
          <w:sz w:val="76"/>
          <w:szCs w:val="76"/>
          <w:highlight w:val="none"/>
        </w:rPr>
        <w:t>第四部分</w:t>
      </w:r>
    </w:p>
    <w:p w14:paraId="67E085DF">
      <w:pPr>
        <w:pStyle w:val="19"/>
        <w:jc w:val="center"/>
        <w:rPr>
          <w:rFonts w:ascii="Times New Roman" w:hAnsi="Times New Roman" w:eastAsia="方正小标宋简体" w:cs="Times New Roman"/>
          <w:color w:val="auto"/>
          <w:sz w:val="76"/>
          <w:szCs w:val="76"/>
          <w:highlight w:val="none"/>
        </w:rPr>
      </w:pPr>
    </w:p>
    <w:p w14:paraId="30C11F2A">
      <w:pPr>
        <w:pStyle w:val="19"/>
        <w:jc w:val="center"/>
        <w:rPr>
          <w:rFonts w:ascii="Times New Roman" w:hAnsi="Times New Roman" w:eastAsia="方正小标宋简体" w:cs="Times New Roman"/>
          <w:color w:val="auto"/>
          <w:sz w:val="76"/>
          <w:szCs w:val="76"/>
          <w:highlight w:val="none"/>
        </w:rPr>
      </w:pPr>
      <w:r>
        <w:rPr>
          <w:rFonts w:ascii="Times New Roman" w:hAnsi="Times New Roman" w:eastAsia="方正小标宋简体" w:cs="Times New Roman"/>
          <w:color w:val="auto"/>
          <w:sz w:val="76"/>
          <w:szCs w:val="76"/>
          <w:highlight w:val="none"/>
        </w:rPr>
        <w:t>名词解释</w:t>
      </w:r>
    </w:p>
    <w:p w14:paraId="7B541FD0">
      <w:pPr>
        <w:autoSpaceDE w:val="0"/>
        <w:autoSpaceDN w:val="0"/>
        <w:adjustRightInd w:val="0"/>
        <w:spacing w:line="57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方正小标宋简体" w:cs="Times New Roman"/>
          <w:color w:val="auto"/>
          <w:sz w:val="32"/>
          <w:szCs w:val="32"/>
          <w:highlight w:val="none"/>
        </w:rPr>
        <w:br w:type="page"/>
      </w:r>
      <w:r>
        <w:rPr>
          <w:rFonts w:ascii="Times New Roman" w:hAnsi="Times New Roman" w:eastAsia="黑体" w:cs="Times New Roman"/>
          <w:color w:val="auto"/>
          <w:kern w:val="0"/>
          <w:sz w:val="32"/>
          <w:szCs w:val="32"/>
          <w:highlight w:val="none"/>
        </w:rPr>
        <w:t>一、财政拨款收入：</w:t>
      </w:r>
      <w:r>
        <w:rPr>
          <w:rFonts w:ascii="Times New Roman" w:hAnsi="Times New Roman" w:eastAsia="仿宋_GB2312" w:cs="Times New Roman"/>
          <w:color w:val="auto"/>
          <w:kern w:val="0"/>
          <w:sz w:val="32"/>
          <w:szCs w:val="32"/>
          <w:highlight w:val="none"/>
        </w:rPr>
        <w:t>指单位从同级财政部门取得的财政预算资金。</w:t>
      </w:r>
    </w:p>
    <w:p w14:paraId="4941F97B">
      <w:pPr>
        <w:autoSpaceDE w:val="0"/>
        <w:autoSpaceDN w:val="0"/>
        <w:adjustRightInd w:val="0"/>
        <w:spacing w:line="57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黑体" w:cs="Times New Roman"/>
          <w:color w:val="auto"/>
          <w:kern w:val="0"/>
          <w:sz w:val="32"/>
          <w:szCs w:val="32"/>
          <w:highlight w:val="none"/>
        </w:rPr>
        <w:t>二、事业收入：</w:t>
      </w:r>
      <w:r>
        <w:rPr>
          <w:rFonts w:ascii="Times New Roman" w:hAnsi="Times New Roman" w:eastAsia="仿宋_GB2312" w:cs="Times New Roman"/>
          <w:color w:val="auto"/>
          <w:kern w:val="0"/>
          <w:sz w:val="32"/>
          <w:szCs w:val="32"/>
          <w:highlight w:val="none"/>
        </w:rPr>
        <w:t>指事业单位开展专业业务活动及辅助活动取得的收入。</w:t>
      </w:r>
    </w:p>
    <w:p w14:paraId="1D67628C">
      <w:pPr>
        <w:autoSpaceDE w:val="0"/>
        <w:autoSpaceDN w:val="0"/>
        <w:adjustRightInd w:val="0"/>
        <w:spacing w:line="57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黑体" w:cs="Times New Roman"/>
          <w:color w:val="auto"/>
          <w:kern w:val="0"/>
          <w:sz w:val="32"/>
          <w:szCs w:val="32"/>
          <w:highlight w:val="none"/>
        </w:rPr>
        <w:t>三、经营收入：</w:t>
      </w:r>
      <w:r>
        <w:rPr>
          <w:rFonts w:ascii="Times New Roman" w:hAnsi="Times New Roman" w:eastAsia="仿宋_GB2312" w:cs="Times New Roman"/>
          <w:color w:val="auto"/>
          <w:kern w:val="0"/>
          <w:sz w:val="32"/>
          <w:szCs w:val="32"/>
          <w:highlight w:val="none"/>
        </w:rPr>
        <w:t>指事业单位在专业业务活动及其辅助活动之外开展非独立核算经营活动取得的收入。</w:t>
      </w:r>
    </w:p>
    <w:p w14:paraId="5191EF99">
      <w:pPr>
        <w:autoSpaceDE w:val="0"/>
        <w:autoSpaceDN w:val="0"/>
        <w:adjustRightInd w:val="0"/>
        <w:spacing w:line="57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黑体" w:cs="Times New Roman"/>
          <w:color w:val="auto"/>
          <w:kern w:val="0"/>
          <w:sz w:val="32"/>
          <w:szCs w:val="32"/>
          <w:highlight w:val="none"/>
        </w:rPr>
        <w:t>四、其他收入：</w:t>
      </w:r>
      <w:r>
        <w:rPr>
          <w:rFonts w:ascii="Times New Roman" w:hAnsi="Times New Roman" w:eastAsia="仿宋_GB2312" w:cs="Times New Roman"/>
          <w:color w:val="auto"/>
          <w:kern w:val="0"/>
          <w:sz w:val="32"/>
          <w:szCs w:val="32"/>
          <w:highlight w:val="none"/>
        </w:rPr>
        <w:t>指单位取得的除上述收入以外的各项收入。</w:t>
      </w:r>
    </w:p>
    <w:p w14:paraId="793D9320">
      <w:pPr>
        <w:autoSpaceDE w:val="0"/>
        <w:autoSpaceDN w:val="0"/>
        <w:adjustRightInd w:val="0"/>
        <w:spacing w:line="57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黑体" w:cs="Times New Roman"/>
          <w:color w:val="auto"/>
          <w:kern w:val="0"/>
          <w:sz w:val="32"/>
          <w:szCs w:val="32"/>
          <w:highlight w:val="none"/>
        </w:rPr>
        <w:t>五、用事业基金弥补收支差额：</w:t>
      </w:r>
      <w:r>
        <w:rPr>
          <w:rFonts w:ascii="Times New Roman" w:hAnsi="Times New Roman" w:eastAsia="仿宋_GB2312" w:cs="Times New Roman"/>
          <w:color w:val="auto"/>
          <w:kern w:val="0"/>
          <w:sz w:val="32"/>
          <w:szCs w:val="32"/>
          <w:highlight w:val="none"/>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1811DF7C">
      <w:pPr>
        <w:autoSpaceDE w:val="0"/>
        <w:autoSpaceDN w:val="0"/>
        <w:adjustRightInd w:val="0"/>
        <w:spacing w:line="57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黑体" w:cs="Times New Roman"/>
          <w:color w:val="auto"/>
          <w:kern w:val="0"/>
          <w:sz w:val="32"/>
          <w:szCs w:val="32"/>
          <w:highlight w:val="none"/>
        </w:rPr>
        <w:t>六、年初结转和结余：</w:t>
      </w:r>
      <w:r>
        <w:rPr>
          <w:rFonts w:ascii="Times New Roman" w:hAnsi="Times New Roman" w:eastAsia="仿宋_GB2312" w:cs="Times New Roman"/>
          <w:color w:val="auto"/>
          <w:kern w:val="0"/>
          <w:sz w:val="32"/>
          <w:szCs w:val="32"/>
          <w:highlight w:val="none"/>
        </w:rPr>
        <w:t>指单位以前年度尚未完成、结转到本年按有关规定继续使用的资金。</w:t>
      </w:r>
    </w:p>
    <w:p w14:paraId="03F9A225">
      <w:pPr>
        <w:autoSpaceDE w:val="0"/>
        <w:autoSpaceDN w:val="0"/>
        <w:adjustRightInd w:val="0"/>
        <w:spacing w:line="57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黑体" w:cs="Times New Roman"/>
          <w:color w:val="auto"/>
          <w:kern w:val="0"/>
          <w:sz w:val="32"/>
          <w:szCs w:val="32"/>
          <w:highlight w:val="none"/>
        </w:rPr>
        <w:t>七、“三公经费”支出：</w:t>
      </w:r>
      <w:r>
        <w:rPr>
          <w:rFonts w:ascii="Times New Roman" w:hAnsi="Times New Roman" w:eastAsia="仿宋_GB2312" w:cs="Times New Roman"/>
          <w:color w:val="auto"/>
          <w:kern w:val="0"/>
          <w:sz w:val="32"/>
          <w:szCs w:val="32"/>
          <w:highlight w:val="none"/>
        </w:rPr>
        <w:t>指通过财政拨款资金安排的因公出国（境）费、公务用车购置及运行费和公务接待费支出。</w:t>
      </w:r>
    </w:p>
    <w:p w14:paraId="571B57CB">
      <w:pPr>
        <w:autoSpaceDE w:val="0"/>
        <w:autoSpaceDN w:val="0"/>
        <w:adjustRightInd w:val="0"/>
        <w:spacing w:line="57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黑体" w:cs="Times New Roman"/>
          <w:color w:val="auto"/>
          <w:kern w:val="0"/>
          <w:sz w:val="32"/>
          <w:szCs w:val="32"/>
          <w:highlight w:val="none"/>
        </w:rPr>
        <w:t>八、机关运行经费：</w:t>
      </w:r>
      <w:r>
        <w:rPr>
          <w:rFonts w:ascii="Times New Roman" w:hAnsi="Times New Roman" w:eastAsia="仿宋_GB2312" w:cs="Times New Roman"/>
          <w:color w:val="auto"/>
          <w:kern w:val="0"/>
          <w:sz w:val="32"/>
          <w:szCs w:val="32"/>
          <w:highlight w:val="none"/>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4F0652C8">
      <w:pPr>
        <w:pStyle w:val="19"/>
        <w:jc w:val="both"/>
        <w:rPr>
          <w:rFonts w:hint="eastAsia" w:ascii="Times New Roman" w:hAnsi="Times New Roman" w:cs="Times New Roman"/>
          <w:color w:val="auto"/>
          <w:sz w:val="72"/>
          <w:szCs w:val="72"/>
          <w:highlight w:val="none"/>
        </w:rPr>
      </w:pPr>
    </w:p>
    <w:p w14:paraId="44D29E72">
      <w:pPr>
        <w:pStyle w:val="19"/>
        <w:jc w:val="both"/>
        <w:rPr>
          <w:rFonts w:ascii="Times New Roman" w:hAnsi="Times New Roman" w:cs="Times New Roman"/>
          <w:color w:val="auto"/>
          <w:sz w:val="84"/>
          <w:szCs w:val="84"/>
          <w:highlight w:val="none"/>
        </w:rPr>
      </w:pPr>
    </w:p>
    <w:p w14:paraId="54C7CD67">
      <w:pPr>
        <w:pStyle w:val="19"/>
        <w:jc w:val="both"/>
        <w:rPr>
          <w:rFonts w:ascii="Times New Roman" w:hAnsi="Times New Roman" w:cs="Times New Roman"/>
          <w:color w:val="auto"/>
          <w:sz w:val="84"/>
          <w:szCs w:val="84"/>
          <w:highlight w:val="none"/>
        </w:rPr>
      </w:pPr>
    </w:p>
    <w:p w14:paraId="40F92351">
      <w:pPr>
        <w:pStyle w:val="19"/>
        <w:jc w:val="center"/>
        <w:rPr>
          <w:rFonts w:ascii="Times New Roman" w:hAnsi="Times New Roman" w:eastAsia="方正小标宋简体" w:cs="Times New Roman"/>
          <w:color w:val="auto"/>
          <w:sz w:val="56"/>
          <w:szCs w:val="56"/>
          <w:highlight w:val="none"/>
        </w:rPr>
      </w:pPr>
      <w:r>
        <w:rPr>
          <w:rFonts w:ascii="Times New Roman" w:hAnsi="Times New Roman" w:eastAsia="方正小标宋简体" w:cs="Times New Roman"/>
          <w:color w:val="auto"/>
          <w:sz w:val="56"/>
          <w:szCs w:val="56"/>
          <w:highlight w:val="none"/>
        </w:rPr>
        <w:t>第五部分</w:t>
      </w:r>
    </w:p>
    <w:p w14:paraId="2C0527FC">
      <w:pPr>
        <w:pStyle w:val="19"/>
        <w:jc w:val="center"/>
        <w:rPr>
          <w:rFonts w:ascii="Times New Roman" w:hAnsi="Times New Roman" w:eastAsia="方正小标宋简体" w:cs="Times New Roman"/>
          <w:color w:val="auto"/>
          <w:sz w:val="56"/>
          <w:szCs w:val="56"/>
          <w:highlight w:val="none"/>
        </w:rPr>
      </w:pPr>
    </w:p>
    <w:p w14:paraId="09340968">
      <w:pPr>
        <w:pStyle w:val="19"/>
        <w:jc w:val="center"/>
        <w:rPr>
          <w:rFonts w:ascii="Times New Roman" w:hAnsi="Times New Roman" w:eastAsia="方正小标宋简体" w:cs="Times New Roman"/>
          <w:color w:val="auto"/>
          <w:sz w:val="56"/>
          <w:szCs w:val="56"/>
          <w:highlight w:val="none"/>
        </w:rPr>
      </w:pPr>
      <w:r>
        <w:rPr>
          <w:rFonts w:ascii="Times New Roman" w:hAnsi="Times New Roman" w:eastAsia="方正小标宋简体" w:cs="Times New Roman"/>
          <w:color w:val="auto"/>
          <w:sz w:val="56"/>
          <w:szCs w:val="56"/>
          <w:highlight w:val="none"/>
        </w:rPr>
        <w:t>附  件</w:t>
      </w:r>
    </w:p>
    <w:p w14:paraId="02242BFF">
      <w:pPr>
        <w:pStyle w:val="19"/>
        <w:spacing w:line="596" w:lineRule="exact"/>
        <w:jc w:val="center"/>
        <w:rPr>
          <w:rFonts w:ascii="Times New Roman" w:hAnsi="Times New Roman" w:eastAsia="方正小标宋简体" w:cs="Times New Roman"/>
          <w:color w:val="auto"/>
          <w:sz w:val="76"/>
          <w:szCs w:val="76"/>
          <w:highlight w:val="none"/>
        </w:rPr>
      </w:pPr>
      <w:r>
        <w:rPr>
          <w:rFonts w:ascii="Times New Roman" w:hAnsi="Times New Roman" w:eastAsia="方正小标宋简体" w:cs="Times New Roman"/>
          <w:color w:val="auto"/>
          <w:sz w:val="76"/>
          <w:szCs w:val="76"/>
          <w:highlight w:val="none"/>
        </w:rPr>
        <w:br w:type="page"/>
      </w:r>
    </w:p>
    <w:p w14:paraId="10CB6935">
      <w:pPr>
        <w:pStyle w:val="19"/>
        <w:spacing w:line="596" w:lineRule="exact"/>
        <w:jc w:val="center"/>
        <w:rPr>
          <w:rFonts w:hint="eastAsia" w:ascii="Times New Roman" w:hAnsi="Times New Roman" w:eastAsia="方正小标宋简体" w:cs="Times New Roman"/>
          <w:color w:val="auto"/>
          <w:sz w:val="44"/>
          <w:szCs w:val="44"/>
          <w:highlight w:val="none"/>
          <w:lang w:eastAsia="zh-CN"/>
        </w:rPr>
      </w:pPr>
      <w:r>
        <w:rPr>
          <w:rFonts w:ascii="Times New Roman" w:hAnsi="Times New Roman" w:eastAsia="方正小标宋简体" w:cs="Times New Roman"/>
          <w:color w:val="auto"/>
          <w:sz w:val="44"/>
          <w:szCs w:val="44"/>
          <w:highlight w:val="none"/>
        </w:rPr>
        <w:t>202</w:t>
      </w:r>
      <w:r>
        <w:rPr>
          <w:rFonts w:hint="eastAsia" w:ascii="Times New Roman" w:hAnsi="Times New Roman" w:eastAsia="方正小标宋简体" w:cs="Times New Roman"/>
          <w:color w:val="auto"/>
          <w:sz w:val="44"/>
          <w:szCs w:val="44"/>
          <w:highlight w:val="none"/>
        </w:rPr>
        <w:t>3</w:t>
      </w:r>
      <w:r>
        <w:rPr>
          <w:rFonts w:ascii="Times New Roman" w:hAnsi="Times New Roman" w:eastAsia="方正小标宋简体" w:cs="Times New Roman"/>
          <w:color w:val="auto"/>
          <w:sz w:val="44"/>
          <w:szCs w:val="44"/>
          <w:highlight w:val="none"/>
        </w:rPr>
        <w:t>年度部门整体支出绩效</w:t>
      </w:r>
      <w:r>
        <w:rPr>
          <w:rFonts w:hint="eastAsia" w:ascii="Times New Roman" w:hAnsi="Times New Roman" w:eastAsia="方正小标宋简体" w:cs="Times New Roman"/>
          <w:color w:val="auto"/>
          <w:sz w:val="44"/>
          <w:szCs w:val="44"/>
          <w:highlight w:val="none"/>
          <w:lang w:eastAsia="zh-CN"/>
        </w:rPr>
        <w:t>自评报告</w:t>
      </w:r>
    </w:p>
    <w:p w14:paraId="00FA292F">
      <w:pPr>
        <w:pStyle w:val="19"/>
        <w:spacing w:line="596" w:lineRule="exact"/>
        <w:jc w:val="center"/>
        <w:rPr>
          <w:rFonts w:hint="eastAsia" w:ascii="Times New Roman" w:hAnsi="Times New Roman" w:eastAsia="方正小标宋简体" w:cs="Times New Roman"/>
          <w:color w:val="auto"/>
          <w:sz w:val="32"/>
          <w:szCs w:val="32"/>
          <w:highlight w:val="none"/>
          <w:lang w:eastAsia="zh-CN"/>
        </w:rPr>
      </w:pPr>
    </w:p>
    <w:p w14:paraId="70637246">
      <w:pPr>
        <w:pStyle w:val="19"/>
        <w:spacing w:line="596" w:lineRule="exact"/>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详</w:t>
      </w:r>
      <w:r>
        <w:rPr>
          <w:rFonts w:hint="default" w:ascii="Times New Roman" w:hAnsi="Times New Roman" w:eastAsia="仿宋_GB2312" w:cs="Times New Roman"/>
          <w:color w:val="auto"/>
          <w:sz w:val="32"/>
          <w:szCs w:val="32"/>
          <w:highlight w:val="none"/>
          <w:lang w:eastAsia="zh-CN"/>
        </w:rPr>
        <w:t>见附件</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993A2">
    <w:pPr>
      <w:pStyle w:val="7"/>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7FA885">
                          <w:pPr>
                            <w:pStyle w:val="7"/>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6B7FA885">
                    <w:pPr>
                      <w:pStyle w:val="7"/>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75EAA"/>
    <w:multiLevelType w:val="singleLevel"/>
    <w:tmpl w:val="D2C75EAA"/>
    <w:lvl w:ilvl="0" w:tentative="0">
      <w:start w:val="10"/>
      <w:numFmt w:val="chineseCounting"/>
      <w:suff w:val="nothing"/>
      <w:lvlText w:val="%1、"/>
      <w:lvlJc w:val="left"/>
      <w:rPr>
        <w:rFonts w:hint="eastAsia"/>
      </w:rPr>
    </w:lvl>
  </w:abstractNum>
  <w:abstractNum w:abstractNumId="1">
    <w:nsid w:val="EC6DC79D"/>
    <w:multiLevelType w:val="singleLevel"/>
    <w:tmpl w:val="EC6DC79D"/>
    <w:lvl w:ilvl="0" w:tentative="0">
      <w:start w:val="2"/>
      <w:numFmt w:val="chineseCounting"/>
      <w:suff w:val="nothing"/>
      <w:lvlText w:val="（%1）"/>
      <w:lvlJc w:val="left"/>
      <w:rPr>
        <w:rFonts w:hint="eastAsia"/>
      </w:rPr>
    </w:lvl>
  </w:abstractNum>
  <w:abstractNum w:abstractNumId="2">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368D66D"/>
    <w:multiLevelType w:val="singleLevel"/>
    <w:tmpl w:val="2368D66D"/>
    <w:lvl w:ilvl="0" w:tentative="0">
      <w:start w:val="1"/>
      <w:numFmt w:val="chineseCounting"/>
      <w:suff w:val="nothing"/>
      <w:lvlText w:val="%1、"/>
      <w:lvlJc w:val="left"/>
      <w:rPr>
        <w:rFonts w:hint="eastAsia"/>
      </w:rPr>
    </w:lvl>
  </w:abstractNum>
  <w:abstractNum w:abstractNumId="4">
    <w:nsid w:val="3E3CB3B4"/>
    <w:multiLevelType w:val="singleLevel"/>
    <w:tmpl w:val="3E3CB3B4"/>
    <w:lvl w:ilvl="0" w:tentative="0">
      <w:start w:val="2"/>
      <w:numFmt w:val="chineseCounting"/>
      <w:suff w:val="nothing"/>
      <w:lvlText w:val="（%1）"/>
      <w:lvlJc w:val="left"/>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YjVhYjUxMWQyYzdkYmM1ZWVjMzI1OGNlMmU2YmI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751274D"/>
    <w:rsid w:val="07634BF4"/>
    <w:rsid w:val="07A77932"/>
    <w:rsid w:val="08F14AE1"/>
    <w:rsid w:val="0B567F72"/>
    <w:rsid w:val="0C7C6B53"/>
    <w:rsid w:val="0D3F15F5"/>
    <w:rsid w:val="0EF6245F"/>
    <w:rsid w:val="11E43B98"/>
    <w:rsid w:val="13692089"/>
    <w:rsid w:val="18985D2F"/>
    <w:rsid w:val="18FA38C9"/>
    <w:rsid w:val="1B323160"/>
    <w:rsid w:val="1B714E5F"/>
    <w:rsid w:val="1E532BCB"/>
    <w:rsid w:val="1EBE63A2"/>
    <w:rsid w:val="1F041D62"/>
    <w:rsid w:val="1F6317DE"/>
    <w:rsid w:val="1F745786"/>
    <w:rsid w:val="21B1218A"/>
    <w:rsid w:val="238B2E7B"/>
    <w:rsid w:val="28C77F64"/>
    <w:rsid w:val="2AD95BF4"/>
    <w:rsid w:val="2F101369"/>
    <w:rsid w:val="321612FC"/>
    <w:rsid w:val="32B56379"/>
    <w:rsid w:val="38090922"/>
    <w:rsid w:val="38D75D21"/>
    <w:rsid w:val="395219B1"/>
    <w:rsid w:val="46BE0A2A"/>
    <w:rsid w:val="472236C4"/>
    <w:rsid w:val="47867568"/>
    <w:rsid w:val="47C05439"/>
    <w:rsid w:val="4B1C68ED"/>
    <w:rsid w:val="4B8003CD"/>
    <w:rsid w:val="4F976C0B"/>
    <w:rsid w:val="523F5138"/>
    <w:rsid w:val="538D47D7"/>
    <w:rsid w:val="538E105C"/>
    <w:rsid w:val="53BF69FD"/>
    <w:rsid w:val="591A5257"/>
    <w:rsid w:val="5D2E7409"/>
    <w:rsid w:val="60841B7E"/>
    <w:rsid w:val="635D15B9"/>
    <w:rsid w:val="64714AD2"/>
    <w:rsid w:val="64857E64"/>
    <w:rsid w:val="65965345"/>
    <w:rsid w:val="65F04BE5"/>
    <w:rsid w:val="6A484E25"/>
    <w:rsid w:val="6B3F19F0"/>
    <w:rsid w:val="6C9B08DE"/>
    <w:rsid w:val="6DAE2F4A"/>
    <w:rsid w:val="6E0F6D2F"/>
    <w:rsid w:val="6EAE4254"/>
    <w:rsid w:val="74205B29"/>
    <w:rsid w:val="75F714AD"/>
    <w:rsid w:val="78081C98"/>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99"/>
    <w:pPr>
      <w:ind w:firstLine="200" w:firstLineChars="200"/>
      <w:jc w:val="left"/>
    </w:pPr>
    <w:rPr>
      <w:rFonts w:eastAsia="仿宋_GB2312"/>
    </w:rPr>
  </w:style>
  <w:style w:type="paragraph" w:styleId="3">
    <w:name w:val="annotation text"/>
    <w:basedOn w:val="1"/>
    <w:link w:val="14"/>
    <w:semiHidden/>
    <w:qFormat/>
    <w:uiPriority w:val="99"/>
    <w:pPr>
      <w:jc w:val="left"/>
    </w:pPr>
  </w:style>
  <w:style w:type="paragraph" w:styleId="4">
    <w:name w:val="Body Text"/>
    <w:basedOn w:val="1"/>
    <w:link w:val="15"/>
    <w:qFormat/>
    <w:uiPriority w:val="99"/>
    <w:pPr>
      <w:spacing w:before="100" w:beforeAutospacing="1" w:after="120"/>
    </w:pPr>
    <w:rPr>
      <w:rFonts w:ascii="Times New Roman" w:hAnsi="Times New Roman" w:cs="Times New Roman"/>
    </w:rPr>
  </w:style>
  <w:style w:type="paragraph" w:styleId="5">
    <w:name w:val="Body Text Indent"/>
    <w:basedOn w:val="1"/>
    <w:unhideWhenUsed/>
    <w:qFormat/>
    <w:uiPriority w:val="99"/>
    <w:pPr>
      <w:spacing w:after="120"/>
      <w:ind w:left="420" w:leftChars="200"/>
    </w:pPr>
  </w:style>
  <w:style w:type="paragraph" w:styleId="6">
    <w:name w:val="Balloon Text"/>
    <w:basedOn w:val="1"/>
    <w:link w:val="16"/>
    <w:semiHidden/>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rPr>
  </w:style>
  <w:style w:type="paragraph" w:styleId="10">
    <w:name w:val="Body Text First Indent 2"/>
    <w:basedOn w:val="5"/>
    <w:next w:val="1"/>
    <w:qFormat/>
    <w:uiPriority w:val="0"/>
    <w:pPr>
      <w:widowControl w:val="0"/>
      <w:adjustRightInd/>
      <w:snapToGrid/>
      <w:spacing w:after="0" w:line="600" w:lineRule="exact"/>
      <w:ind w:left="0" w:leftChars="0"/>
      <w:jc w:val="both"/>
    </w:pPr>
    <w:rPr>
      <w:rFonts w:ascii="Times New Roman" w:hAnsi="Times New Roman" w:eastAsia="宋体" w:cs="Times New Roman"/>
      <w:kern w:val="2"/>
      <w:sz w:val="21"/>
      <w:szCs w:val="24"/>
    </w:rPr>
  </w:style>
  <w:style w:type="character" w:styleId="13">
    <w:name w:val="annotation reference"/>
    <w:basedOn w:val="12"/>
    <w:semiHidden/>
    <w:qFormat/>
    <w:uiPriority w:val="99"/>
    <w:rPr>
      <w:sz w:val="21"/>
      <w:szCs w:val="21"/>
    </w:rPr>
  </w:style>
  <w:style w:type="character" w:customStyle="1" w:styleId="14">
    <w:name w:val="批注文字 Char"/>
    <w:basedOn w:val="12"/>
    <w:link w:val="3"/>
    <w:semiHidden/>
    <w:qFormat/>
    <w:locked/>
    <w:uiPriority w:val="99"/>
    <w:rPr>
      <w:rFonts w:ascii="Calibri" w:hAnsi="Calibri" w:cs="Calibri"/>
      <w:sz w:val="21"/>
      <w:szCs w:val="21"/>
    </w:rPr>
  </w:style>
  <w:style w:type="character" w:customStyle="1" w:styleId="15">
    <w:name w:val="正文文本 Char"/>
    <w:basedOn w:val="12"/>
    <w:link w:val="4"/>
    <w:qFormat/>
    <w:locked/>
    <w:uiPriority w:val="99"/>
    <w:rPr>
      <w:rFonts w:eastAsia="宋体"/>
      <w:kern w:val="2"/>
      <w:sz w:val="21"/>
      <w:szCs w:val="21"/>
      <w:lang w:val="en-US" w:eastAsia="zh-CN"/>
    </w:rPr>
  </w:style>
  <w:style w:type="character" w:customStyle="1" w:styleId="16">
    <w:name w:val="批注框文本 Char"/>
    <w:basedOn w:val="12"/>
    <w:link w:val="6"/>
    <w:semiHidden/>
    <w:qFormat/>
    <w:locked/>
    <w:uiPriority w:val="99"/>
    <w:rPr>
      <w:sz w:val="18"/>
      <w:szCs w:val="18"/>
    </w:rPr>
  </w:style>
  <w:style w:type="character" w:customStyle="1" w:styleId="17">
    <w:name w:val="页脚 Char"/>
    <w:basedOn w:val="12"/>
    <w:link w:val="7"/>
    <w:qFormat/>
    <w:locked/>
    <w:uiPriority w:val="99"/>
    <w:rPr>
      <w:sz w:val="18"/>
      <w:szCs w:val="18"/>
    </w:rPr>
  </w:style>
  <w:style w:type="character" w:customStyle="1" w:styleId="18">
    <w:name w:val="页眉 Char"/>
    <w:basedOn w:val="12"/>
    <w:link w:val="8"/>
    <w:qFormat/>
    <w:locked/>
    <w:uiPriority w:val="99"/>
    <w:rPr>
      <w:sz w:val="18"/>
      <w:szCs w:val="18"/>
    </w:rPr>
  </w:style>
  <w:style w:type="paragraph" w:customStyle="1" w:styleId="1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0">
    <w:name w:val="List Paragraph"/>
    <w:basedOn w:val="1"/>
    <w:qFormat/>
    <w:uiPriority w:val="99"/>
    <w:pPr>
      <w:ind w:firstLine="420" w:firstLineChars="200"/>
    </w:pPr>
  </w:style>
  <w:style w:type="paragraph" w:customStyle="1" w:styleId="21">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2">
    <w:name w:val="正文文字"/>
    <w:basedOn w:val="23"/>
    <w:next w:val="1"/>
    <w:qFormat/>
    <w:uiPriority w:val="99"/>
    <w:pPr>
      <w:spacing w:before="100" w:beforeAutospacing="1" w:after="120"/>
    </w:pPr>
  </w:style>
  <w:style w:type="paragraph" w:customStyle="1" w:styleId="23">
    <w:name w:val="正文1"/>
    <w:next w:val="22"/>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5535</Words>
  <Characters>6046</Characters>
  <Lines>56</Lines>
  <Paragraphs>15</Paragraphs>
  <TotalTime>1</TotalTime>
  <ScaleCrop>false</ScaleCrop>
  <LinksUpToDate>false</LinksUpToDate>
  <CharactersWithSpaces>6087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小5，</cp:lastModifiedBy>
  <cp:lastPrinted>2022-10-11T09:13:00Z</cp:lastPrinted>
  <dcterms:modified xsi:type="dcterms:W3CDTF">2024-11-18T08:42:35Z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5689E79C33CF49FCBACB569454F7B741_13</vt:lpwstr>
  </property>
</Properties>
</file>