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株洲市石峰区人民政府办公室（以下简称政府办）的主要职责是：</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（一）协助区政府领导组织起草和审核以区政府、区政府办公室名义发布的文件，起草区政府领导讲话材料。</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（二）受理承办政府工作部门和街道办事处对区政府的请示，提出初步意见，并按程序审批。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（三）负责区政府会务工作，协助区政府领导组织实施会议决定的事项。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（四）根据区政府领导的指示或办理公文的需要，协调区政府有关部门的关系，对相关问题提出处理意见，报区政府有关领导，并按程序进行决定。</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（五）负责对国务院、省、市、区政府重要决定、决策和区政府领导有关指示的执行落实情况进行督查并跟踪调研，及时向区政府领导报告。</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（六）根据区政府领导的指示和区政府的工作部署，对涉及全区经济建设、社会发展和改革开放等全局性工作的重大课题进行调查研究，及时反映情况，提出对策建议；指导、协调全区政府系统的调研工作。</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（七）负责收集、整理、传递、上报政务信息，为区政府领导决策和指导工作服务。</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（八）负责区政府值班工作，及时向区政府领导报告重要情况，协助处理政府工作部门和街道办事处向区政府反映的重要问题，传达和督促落实区政府领导指示。</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（九）负责全区优化经济发展环境工作有关职责。</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（十）负责推进、指导、协调、监督全区政府信息公开工作。</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承办区政府有关公务活动和公务接待工作。</w:t>
      </w:r>
    </w:p>
    <w:p>
      <w:pPr>
        <w:tabs>
          <w:tab w:val="left" w:pos="7560"/>
        </w:tabs>
        <w:adjustRightInd w:val="0"/>
        <w:snapToGrid w:val="0"/>
        <w:spacing w:line="560" w:lineRule="exact"/>
        <w:ind w:firstLine="640" w:firstLineChars="200"/>
        <w:jc w:val="left"/>
        <w:rPr>
          <w:rFonts w:hint="eastAsia" w:ascii="宋体" w:hAnsi="宋体"/>
          <w:bCs/>
          <w:kern w:val="0"/>
          <w:sz w:val="32"/>
          <w:szCs w:val="32"/>
        </w:rPr>
      </w:pPr>
      <w:r>
        <w:rPr>
          <w:rFonts w:hint="eastAsia" w:ascii="仿宋_GB2312" w:eastAsia="仿宋_GB2312"/>
          <w:color w:val="000000"/>
          <w:sz w:val="32"/>
          <w:szCs w:val="32"/>
        </w:rPr>
        <w:t>完成区委、区政府交办的其他事项</w:t>
      </w:r>
      <w:r>
        <w:rPr>
          <w:rFonts w:hint="eastAsia" w:ascii="宋体" w:hAnsi="宋体"/>
          <w:bCs/>
          <w:kern w:val="0"/>
          <w:sz w:val="32"/>
          <w:szCs w:val="32"/>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宋体" w:hAnsi="宋体"/>
          <w:bCs/>
          <w:kern w:val="0"/>
          <w:sz w:val="32"/>
          <w:szCs w:val="32"/>
          <w:lang w:val="en-US" w:eastAsia="zh-CN"/>
        </w:rPr>
        <w:t xml:space="preserve">   </w:t>
      </w:r>
      <w:r>
        <w:rPr>
          <w:rFonts w:hint="eastAsia" w:ascii="仿宋_GB2312" w:eastAsia="仿宋_GB2312"/>
          <w:color w:val="000000"/>
          <w:sz w:val="32"/>
          <w:szCs w:val="32"/>
        </w:rPr>
        <w:t>本部门共有编制人数</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21个行政编、6个事业编、2个工勤编</w:t>
      </w:r>
      <w:r>
        <w:rPr>
          <w:rFonts w:hint="eastAsia" w:ascii="仿宋_GB2312" w:eastAsia="仿宋_GB2312"/>
          <w:color w:val="000000"/>
          <w:sz w:val="32"/>
          <w:szCs w:val="32"/>
          <w:lang w:eastAsia="zh-CN"/>
        </w:rPr>
        <w:t>）</w:t>
      </w:r>
      <w:r>
        <w:rPr>
          <w:rFonts w:hint="eastAsia" w:ascii="仿宋_GB2312" w:eastAsia="仿宋_GB2312"/>
          <w:color w:val="000000"/>
          <w:sz w:val="32"/>
          <w:szCs w:val="32"/>
        </w:rPr>
        <w:t>，实有人数</w:t>
      </w:r>
      <w:r>
        <w:rPr>
          <w:rFonts w:hint="default" w:ascii="仿宋_GB2312" w:eastAsia="仿宋_GB2312"/>
          <w:color w:val="000000"/>
          <w:sz w:val="32"/>
          <w:szCs w:val="32"/>
          <w:lang w:val="en-US"/>
        </w:rPr>
        <w:t>27</w:t>
      </w:r>
      <w:r>
        <w:rPr>
          <w:rFonts w:hint="eastAsia" w:ascii="仿宋_GB2312" w:eastAsia="仿宋_GB2312"/>
          <w:color w:val="000000"/>
          <w:sz w:val="32"/>
          <w:szCs w:val="32"/>
        </w:rPr>
        <w:t>人。内设科室</w:t>
      </w:r>
      <w:r>
        <w:rPr>
          <w:rFonts w:hint="default" w:ascii="仿宋_GB2312" w:eastAsia="仿宋_GB2312"/>
          <w:color w:val="000000"/>
          <w:sz w:val="32"/>
          <w:szCs w:val="32"/>
          <w:lang w:val="en-US"/>
        </w:rPr>
        <w:t>4</w:t>
      </w:r>
      <w:r>
        <w:rPr>
          <w:rFonts w:hint="eastAsia" w:ascii="仿宋_GB2312" w:eastAsia="仿宋_GB2312"/>
          <w:color w:val="000000"/>
          <w:sz w:val="32"/>
          <w:szCs w:val="32"/>
        </w:rPr>
        <w:t>个</w:t>
      </w:r>
      <w:r>
        <w:rPr>
          <w:rFonts w:hint="default" w:ascii="仿宋_GB2312" w:eastAsia="仿宋_GB2312"/>
          <w:color w:val="000000"/>
          <w:sz w:val="32"/>
          <w:szCs w:val="32"/>
          <w:lang w:val="en-US"/>
        </w:rPr>
        <w:t>。</w:t>
      </w:r>
      <w:r>
        <w:rPr>
          <w:rFonts w:hint="eastAsia" w:ascii="仿宋_GB2312" w:eastAsia="仿宋_GB2312"/>
          <w:color w:val="000000"/>
          <w:sz w:val="32"/>
          <w:szCs w:val="32"/>
        </w:rPr>
        <w:t>分别为：综合室、调研室、督查室（对外称石峰区政府督查室）、文电室</w:t>
      </w:r>
      <w:r>
        <w:rPr>
          <w:rFonts w:hint="eastAsia" w:ascii="仿宋_GB2312"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本部门包含下属二级预算单位</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 个</w:t>
      </w:r>
      <w:r>
        <w:rPr>
          <w:rFonts w:hint="eastAsia" w:ascii="仿宋_GB2312" w:eastAsia="仿宋_GB2312"/>
          <w:color w:val="000000"/>
          <w:sz w:val="32"/>
          <w:szCs w:val="32"/>
          <w:lang w:eastAsia="zh-CN"/>
        </w:rPr>
        <w:t>。</w:t>
      </w:r>
    </w:p>
    <w:p>
      <w:pPr>
        <w:pStyle w:val="3"/>
        <w:rPr>
          <w:rFonts w:hint="default" w:eastAsia="宋体"/>
          <w:lang w:val="en-US" w:eastAsia="zh-CN"/>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899.84</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718.46</w:t>
      </w:r>
      <w:r>
        <w:rPr>
          <w:rFonts w:hint="default" w:ascii="Times New Roman" w:hAnsi="Times New Roman" w:eastAsia="仿宋_GB2312" w:cs="Times New Roman"/>
          <w:color w:val="auto"/>
          <w:sz w:val="32"/>
          <w:szCs w:val="32"/>
        </w:rPr>
        <w:t>万元，调整追加（减）</w:t>
      </w:r>
      <w:r>
        <w:rPr>
          <w:rFonts w:hint="eastAsia" w:ascii="Times New Roman" w:hAnsi="Times New Roman" w:eastAsia="仿宋_GB2312" w:cs="Times New Roman"/>
          <w:color w:val="auto"/>
          <w:sz w:val="32"/>
          <w:szCs w:val="32"/>
          <w:lang w:val="en-US" w:eastAsia="zh-CN"/>
        </w:rPr>
        <w:t>181.38</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10.05</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857.14</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597.28</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259.86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42.7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年，在区委、区政府的坚强领导下，区政府办坚决贯彻落实党的</w:t>
      </w:r>
      <w:r>
        <w:rPr>
          <w:rFonts w:hint="eastAsia" w:ascii="Times New Roman" w:hAnsi="Times New Roman" w:eastAsia="仿宋_GB2312" w:cs="Times New Roman"/>
          <w:sz w:val="32"/>
          <w:szCs w:val="32"/>
          <w:lang w:eastAsia="zh-CN"/>
        </w:rPr>
        <w:t>二十大</w:t>
      </w:r>
      <w:r>
        <w:rPr>
          <w:rFonts w:hint="default" w:ascii="Times New Roman" w:hAnsi="Times New Roman" w:eastAsia="仿宋_GB2312" w:cs="Times New Roman"/>
          <w:sz w:val="32"/>
          <w:szCs w:val="32"/>
        </w:rPr>
        <w:t>精神及习近平新时代中国特色社会主义思想，</w:t>
      </w:r>
      <w:r>
        <w:rPr>
          <w:rFonts w:hint="eastAsia" w:ascii="Times New Roman" w:hAnsi="Times New Roman" w:eastAsia="仿宋_GB2312" w:cs="Times New Roman"/>
          <w:color w:val="auto"/>
          <w:sz w:val="32"/>
          <w:szCs w:val="32"/>
          <w:lang w:val="en-US" w:eastAsia="zh-CN"/>
        </w:rPr>
        <w:t>锚定“</w:t>
      </w:r>
      <w:r>
        <w:rPr>
          <w:rFonts w:hint="default" w:ascii="Times New Roman" w:hAnsi="Times New Roman" w:eastAsia="仿宋_GB2312" w:cs="Times New Roman"/>
          <w:color w:val="auto"/>
          <w:sz w:val="32"/>
          <w:szCs w:val="32"/>
          <w:lang w:val="en-US" w:eastAsia="zh-CN"/>
        </w:rPr>
        <w:t>三高四新</w:t>
      </w:r>
      <w:r>
        <w:rPr>
          <w:rFonts w:hint="eastAsia" w:ascii="Times New Roman" w:hAnsi="Times New Roman" w:eastAsia="仿宋_GB2312" w:cs="Times New Roman"/>
          <w:color w:val="auto"/>
          <w:sz w:val="32"/>
          <w:szCs w:val="32"/>
          <w:lang w:val="en-US" w:eastAsia="zh-CN"/>
        </w:rPr>
        <w:t>”美好蓝图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rPr>
        <w:t>紧扣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制造强区、生态新城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发展定位，</w:t>
      </w:r>
      <w:r>
        <w:rPr>
          <w:rFonts w:hint="default" w:ascii="Times New Roman" w:hAnsi="Times New Roman" w:eastAsia="仿宋_GB2312" w:cs="Times New Roman"/>
          <w:color w:val="auto"/>
          <w:sz w:val="32"/>
          <w:szCs w:val="32"/>
          <w:lang w:val="en-US" w:eastAsia="zh-CN"/>
        </w:rPr>
        <w:t>切实履行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综合协调、决策参谋、督</w:t>
      </w:r>
      <w:r>
        <w:rPr>
          <w:rFonts w:hint="eastAsia" w:ascii="Times New Roman" w:hAnsi="Times New Roman" w:eastAsia="仿宋_GB2312" w:cs="Times New Roman"/>
          <w:color w:val="auto"/>
          <w:sz w:val="32"/>
          <w:szCs w:val="32"/>
          <w:lang w:val="en-US" w:eastAsia="zh-CN"/>
        </w:rPr>
        <w:t>查</w:t>
      </w:r>
      <w:r>
        <w:rPr>
          <w:rFonts w:hint="default" w:ascii="Times New Roman" w:hAnsi="Times New Roman" w:eastAsia="仿宋_GB2312" w:cs="Times New Roman"/>
          <w:color w:val="auto"/>
          <w:sz w:val="32"/>
          <w:szCs w:val="32"/>
          <w:lang w:val="en-US" w:eastAsia="zh-CN"/>
        </w:rPr>
        <w:t>督办、服务保障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工作职能，</w:t>
      </w:r>
      <w:r>
        <w:rPr>
          <w:rStyle w:val="17"/>
          <w:rFonts w:hint="default" w:ascii="Times New Roman" w:hAnsi="Times New Roman" w:eastAsia="仿宋_GB2312" w:cs="Times New Roman"/>
          <w:b w:val="0"/>
          <w:i w:val="0"/>
          <w:caps w:val="0"/>
          <w:spacing w:val="0"/>
          <w:w w:val="100"/>
          <w:kern w:val="2"/>
          <w:sz w:val="32"/>
          <w:szCs w:val="32"/>
          <w:lang w:val="en-US" w:eastAsia="zh-CN" w:bidi="ar-SA"/>
        </w:rPr>
        <w:t>圆满完成区委、区政府交办的各项任务，确保政务服务顺达高效，有力促进</w:t>
      </w:r>
      <w:r>
        <w:rPr>
          <w:rStyle w:val="17"/>
          <w:rFonts w:hint="eastAsia" w:ascii="Times New Roman" w:hAnsi="Times New Roman" w:eastAsia="仿宋_GB2312" w:cs="Times New Roman"/>
          <w:b w:val="0"/>
          <w:i w:val="0"/>
          <w:caps w:val="0"/>
          <w:spacing w:val="0"/>
          <w:w w:val="100"/>
          <w:kern w:val="2"/>
          <w:sz w:val="32"/>
          <w:szCs w:val="32"/>
          <w:lang w:val="en-US" w:eastAsia="zh-CN" w:bidi="ar-SA"/>
        </w:rPr>
        <w:t>了</w:t>
      </w:r>
      <w:r>
        <w:rPr>
          <w:rStyle w:val="17"/>
          <w:rFonts w:hint="default" w:ascii="Times New Roman" w:hAnsi="Times New Roman" w:eastAsia="仿宋_GB2312" w:cs="Times New Roman"/>
          <w:b w:val="0"/>
          <w:i w:val="0"/>
          <w:caps w:val="0"/>
          <w:spacing w:val="0"/>
          <w:w w:val="100"/>
          <w:kern w:val="2"/>
          <w:sz w:val="32"/>
          <w:szCs w:val="32"/>
          <w:lang w:val="en-US" w:eastAsia="zh-CN" w:bidi="ar-SA"/>
        </w:rPr>
        <w:t>全区工作顺利推进。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rPr>
        <w:t>着眼全局、围绕中心，在参谋辅政上有作为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一是精文减会有力度。</w:t>
      </w:r>
      <w:r>
        <w:rPr>
          <w:rFonts w:hint="eastAsia" w:ascii="Times New Roman" w:hAnsi="Times New Roman" w:eastAsia="仿宋_GB2312" w:cs="Times New Roman"/>
          <w:sz w:val="32"/>
          <w:szCs w:val="32"/>
          <w:lang w:eastAsia="zh-CN"/>
        </w:rPr>
        <w:t>强力</w:t>
      </w:r>
      <w:r>
        <w:rPr>
          <w:rFonts w:hint="default" w:ascii="Times New Roman" w:hAnsi="Times New Roman" w:eastAsia="仿宋_GB2312" w:cs="Times New Roman"/>
          <w:sz w:val="32"/>
          <w:szCs w:val="32"/>
        </w:rPr>
        <w:t>整治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文山会海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，倡导文会新风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严控文件印发数量和会议召开次数。加强文件拟定、核稿、签发、复核等各环节的审核把关。对印</w:t>
      </w:r>
      <w:bookmarkStart w:id="0" w:name="_GoBack"/>
      <w:bookmarkEnd w:id="0"/>
      <w:r>
        <w:rPr>
          <w:rFonts w:hint="default" w:ascii="Times New Roman" w:hAnsi="Times New Roman" w:eastAsia="仿宋_GB2312" w:cs="Times New Roman"/>
          <w:sz w:val="32"/>
          <w:szCs w:val="32"/>
        </w:rPr>
        <w:t>发的各类文件，按照政策性、规范性、时效性和程序性原则，从严把关，严格制发，切实增强指导性、针对性和可行性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年，以石峰区</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val="en-US" w:eastAsia="zh-CN"/>
        </w:rPr>
        <w:t>政府、政府办的名义发文</w:t>
      </w:r>
      <w:r>
        <w:rPr>
          <w:rFonts w:hint="eastAsia" w:ascii="Times New Roman" w:hAnsi="Times New Roman" w:eastAsia="仿宋_GB2312" w:cs="Times New Roman"/>
          <w:sz w:val="32"/>
          <w:szCs w:val="32"/>
          <w:highlight w:val="none"/>
          <w:lang w:val="en-US" w:eastAsia="zh-CN"/>
        </w:rPr>
        <w:t>118</w:t>
      </w:r>
      <w:r>
        <w:rPr>
          <w:rFonts w:hint="default" w:ascii="Times New Roman" w:hAnsi="Times New Roman" w:eastAsia="仿宋_GB2312" w:cs="Times New Roman"/>
          <w:sz w:val="32"/>
          <w:szCs w:val="32"/>
          <w:lang w:val="en-US" w:eastAsia="zh-CN"/>
        </w:rPr>
        <w:t>件，</w:t>
      </w:r>
      <w:r>
        <w:rPr>
          <w:rFonts w:hint="default" w:ascii="Times New Roman" w:hAnsi="Times New Roman" w:eastAsia="仿宋_GB2312" w:cs="Times New Roman"/>
          <w:color w:val="auto"/>
          <w:sz w:val="32"/>
          <w:szCs w:val="32"/>
          <w:lang w:val="en-US" w:eastAsia="zh-CN"/>
        </w:rPr>
        <w:t>接收处理文电</w:t>
      </w:r>
      <w:r>
        <w:rPr>
          <w:rFonts w:hint="eastAsia" w:ascii="Times New Roman" w:hAnsi="Times New Roman" w:eastAsia="仿宋_GB2312" w:cs="Times New Roman"/>
          <w:color w:val="auto"/>
          <w:sz w:val="32"/>
          <w:szCs w:val="32"/>
          <w:lang w:val="en-US" w:eastAsia="zh-CN"/>
        </w:rPr>
        <w:t>1685</w:t>
      </w:r>
      <w:r>
        <w:rPr>
          <w:rFonts w:hint="default" w:ascii="Times New Roman" w:hAnsi="Times New Roman" w:eastAsia="仿宋_GB2312" w:cs="Times New Roman"/>
          <w:color w:val="auto"/>
          <w:sz w:val="32"/>
          <w:szCs w:val="32"/>
          <w:lang w:val="en-US" w:eastAsia="zh-CN"/>
        </w:rPr>
        <w:t>件、密级文件</w:t>
      </w:r>
      <w:r>
        <w:rPr>
          <w:rFonts w:hint="eastAsia" w:ascii="Times New Roman" w:hAnsi="Times New Roman" w:eastAsia="仿宋_GB2312" w:cs="Times New Roman"/>
          <w:color w:val="auto"/>
          <w:sz w:val="32"/>
          <w:szCs w:val="32"/>
          <w:lang w:val="en-US" w:eastAsia="zh-CN"/>
        </w:rPr>
        <w:t>105</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sz w:val="32"/>
          <w:szCs w:val="32"/>
          <w:lang w:val="en-US" w:eastAsia="zh-CN"/>
        </w:rPr>
        <w:t>公文运转无一纰漏。完善会议登记、审批、统筹制度，精细化会务组织，承办各类会议</w:t>
      </w:r>
      <w:r>
        <w:rPr>
          <w:rFonts w:hint="eastAsia" w:ascii="Times New Roman" w:hAnsi="Times New Roman" w:eastAsia="仿宋_GB2312" w:cs="Times New Roman"/>
          <w:sz w:val="32"/>
          <w:szCs w:val="32"/>
          <w:lang w:val="en-US" w:eastAsia="zh-CN"/>
        </w:rPr>
        <w:t>125</w:t>
      </w:r>
      <w:r>
        <w:rPr>
          <w:rFonts w:hint="default" w:ascii="Times New Roman" w:hAnsi="Times New Roman" w:eastAsia="仿宋_GB2312" w:cs="Times New Roman"/>
          <w:sz w:val="32"/>
          <w:szCs w:val="32"/>
          <w:lang w:val="en-US" w:eastAsia="zh-CN"/>
        </w:rPr>
        <w:t>场次，无一差错和失误。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sz w:val="32"/>
          <w:szCs w:val="32"/>
          <w:lang w:val="en-US" w:eastAsia="zh-CN"/>
        </w:rPr>
        <w:t>二是以文辅政有深度。</w:t>
      </w:r>
      <w:r>
        <w:rPr>
          <w:rFonts w:hint="default" w:ascii="Times New Roman" w:hAnsi="Times New Roman" w:eastAsia="仿宋_GB2312" w:cs="Times New Roman"/>
          <w:b w:val="0"/>
          <w:bCs w:val="0"/>
          <w:sz w:val="32"/>
          <w:szCs w:val="32"/>
          <w:lang w:val="en-US" w:eastAsia="zh-CN"/>
        </w:rPr>
        <w:t>围</w:t>
      </w:r>
      <w:r>
        <w:rPr>
          <w:rFonts w:hint="default" w:ascii="Times New Roman" w:hAnsi="Times New Roman" w:eastAsia="仿宋_GB2312" w:cs="Times New Roman"/>
          <w:b w:val="0"/>
          <w:bCs w:val="0"/>
          <w:color w:val="auto"/>
          <w:sz w:val="32"/>
          <w:szCs w:val="32"/>
          <w:lang w:val="en-US" w:eastAsia="zh-CN"/>
        </w:rPr>
        <w:t>绕区</w:t>
      </w:r>
      <w:r>
        <w:rPr>
          <w:rFonts w:hint="default" w:ascii="Times New Roman" w:hAnsi="Times New Roman" w:eastAsia="仿宋_GB2312" w:cs="Times New Roman"/>
          <w:color w:val="auto"/>
          <w:sz w:val="32"/>
          <w:szCs w:val="32"/>
          <w:lang w:val="en-US" w:eastAsia="zh-CN"/>
        </w:rPr>
        <w:t>委、区政府的中心工作和重点工作，敏锐捕捉热点、难点问题，积极主动开展调研活动，扎实抓好会议报告、领导讲话、工作汇报等各类材料的起草工作，</w:t>
      </w:r>
      <w:r>
        <w:rPr>
          <w:rFonts w:hint="eastAsia" w:ascii="Times New Roman" w:hAnsi="Times New Roman" w:eastAsia="仿宋_GB2312" w:cs="Times New Roman"/>
          <w:color w:val="auto"/>
          <w:sz w:val="32"/>
          <w:szCs w:val="32"/>
          <w:lang w:val="en-US" w:eastAsia="zh-CN"/>
        </w:rPr>
        <w:t>高质高效</w:t>
      </w:r>
      <w:r>
        <w:rPr>
          <w:rFonts w:hint="default" w:ascii="Times New Roman" w:hAnsi="Times New Roman" w:eastAsia="仿宋_GB2312" w:cs="Times New Roman"/>
          <w:color w:val="auto"/>
          <w:sz w:val="32"/>
          <w:szCs w:val="32"/>
          <w:lang w:val="en-US" w:eastAsia="zh-CN"/>
        </w:rPr>
        <w:t>完成年</w:t>
      </w:r>
      <w:r>
        <w:rPr>
          <w:rFonts w:hint="eastAsia" w:ascii="Times New Roman" w:hAnsi="Times New Roman" w:eastAsia="仿宋_GB2312" w:cs="Times New Roman"/>
          <w:color w:val="auto"/>
          <w:sz w:val="32"/>
          <w:szCs w:val="32"/>
          <w:lang w:val="en-US" w:eastAsia="zh-CN"/>
        </w:rPr>
        <w:t>度</w:t>
      </w:r>
      <w:r>
        <w:rPr>
          <w:rFonts w:hint="default" w:ascii="Times New Roman" w:hAnsi="Times New Roman" w:eastAsia="仿宋_GB2312" w:cs="Times New Roman"/>
          <w:color w:val="auto"/>
          <w:sz w:val="32"/>
          <w:szCs w:val="32"/>
          <w:lang w:val="en-US" w:eastAsia="zh-CN"/>
        </w:rPr>
        <w:t>政府工作报告</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各类综合材料</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lang w:val="en-US" w:eastAsia="zh-CN"/>
        </w:rPr>
        <w:t>余篇。以领导关注和群众关心的热点问题为重点，突出</w:t>
      </w:r>
      <w:r>
        <w:rPr>
          <w:rFonts w:hint="eastAsia" w:ascii="Times New Roman" w:hAnsi="Times New Roman" w:eastAsia="仿宋_GB2312" w:cs="Times New Roman"/>
          <w:color w:val="auto"/>
          <w:sz w:val="32"/>
          <w:szCs w:val="32"/>
          <w:lang w:val="en-US" w:eastAsia="zh-CN"/>
        </w:rPr>
        <w:t>“三高两年”、“发展六仗”、民生保障</w:t>
      </w:r>
      <w:r>
        <w:rPr>
          <w:rFonts w:hint="default" w:ascii="Times New Roman" w:hAnsi="Times New Roman" w:eastAsia="仿宋_GB2312" w:cs="Times New Roman"/>
          <w:color w:val="auto"/>
          <w:sz w:val="32"/>
          <w:szCs w:val="32"/>
          <w:lang w:val="en-US" w:eastAsia="zh-CN"/>
        </w:rPr>
        <w:t>等领域，定期对各单位信息报送进行调度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w:t>
      </w:r>
      <w:r>
        <w:rPr>
          <w:rFonts w:hint="eastAsia" w:ascii="Times New Roman" w:hAnsi="Times New Roman" w:eastAsia="仿宋_GB2312" w:cs="Times New Roman"/>
          <w:color w:val="auto"/>
          <w:sz w:val="32"/>
          <w:szCs w:val="32"/>
          <w:lang w:val="en-US" w:eastAsia="zh-CN"/>
        </w:rPr>
        <w:t>累计上报政务信息约稿112篇，投稿106篇，</w:t>
      </w:r>
      <w:r>
        <w:rPr>
          <w:rFonts w:hint="default" w:ascii="Times New Roman" w:hAnsi="Times New Roman" w:eastAsia="仿宋_GB2312" w:cs="Times New Roman"/>
          <w:color w:val="auto"/>
          <w:sz w:val="32"/>
          <w:szCs w:val="32"/>
          <w:lang w:val="en-US" w:eastAsia="zh-CN"/>
        </w:rPr>
        <w:t>报送</w:t>
      </w:r>
      <w:r>
        <w:rPr>
          <w:rFonts w:hint="eastAsia" w:ascii="Times New Roman" w:hAnsi="Times New Roman" w:eastAsia="仿宋_GB2312" w:cs="Times New Roman"/>
          <w:color w:val="auto"/>
          <w:sz w:val="32"/>
          <w:szCs w:val="32"/>
          <w:lang w:val="en-US" w:eastAsia="zh-CN"/>
        </w:rPr>
        <w:t>快讯249条。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三是政务督查有广度。</w:t>
      </w:r>
      <w:r>
        <w:rPr>
          <w:rFonts w:hint="default" w:ascii="Times New Roman" w:hAnsi="Times New Roman" w:eastAsia="仿宋_GB2312" w:cs="Times New Roman"/>
          <w:color w:val="000000"/>
          <w:kern w:val="2"/>
          <w:sz w:val="32"/>
          <w:szCs w:val="32"/>
          <w:shd w:val="clear" w:color="auto" w:fill="FFFFFF"/>
          <w:lang w:val="en-US" w:eastAsia="zh-CN" w:bidi="ar-SA"/>
        </w:rPr>
        <w:t>扎实推进督查督办工作</w:t>
      </w:r>
      <w:r>
        <w:rPr>
          <w:rFonts w:hint="eastAsia" w:ascii="Times New Roman" w:hAnsi="Times New Roman" w:eastAsia="仿宋_GB2312" w:cs="Times New Roman"/>
          <w:color w:val="000000"/>
          <w:kern w:val="2"/>
          <w:sz w:val="32"/>
          <w:szCs w:val="32"/>
          <w:shd w:val="clear" w:color="auto" w:fill="FFFFFF"/>
          <w:lang w:val="en-US" w:eastAsia="zh-CN" w:bidi="ar-SA"/>
        </w:rPr>
        <w:t>，</w:t>
      </w:r>
      <w:r>
        <w:rPr>
          <w:rFonts w:hint="default" w:ascii="Times New Roman" w:hAnsi="Times New Roman" w:eastAsia="仿宋_GB2312" w:cs="Times New Roman"/>
          <w:color w:val="000000"/>
          <w:kern w:val="2"/>
          <w:sz w:val="32"/>
          <w:szCs w:val="32"/>
          <w:shd w:val="clear" w:color="auto" w:fill="FFFFFF"/>
          <w:lang w:val="en-US" w:eastAsia="zh-CN" w:bidi="ar-SA"/>
        </w:rPr>
        <w:t>全力抓好省、市、区的重大决策部署和领导批示交办事项以及有关会议议定事项的跟踪督办，切实增强问责的严肃性和威慑力，确保了政令畅通。</w:t>
      </w:r>
      <w:r>
        <w:rPr>
          <w:rFonts w:hint="default" w:ascii="Times New Roman" w:hAnsi="Times New Roman" w:eastAsia="仿宋_GB2312" w:cs="Times New Roman"/>
          <w:sz w:val="32"/>
          <w:szCs w:val="32"/>
          <w:lang w:val="en-US" w:eastAsia="zh-CN"/>
        </w:rPr>
        <w:t>重点对市《政府工作报告》交办石峰区负责的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项工作目标任务、市政府月度交办的</w:t>
      </w:r>
      <w:r>
        <w:rPr>
          <w:rFonts w:hint="eastAsia" w:ascii="Times New Roman" w:hAnsi="Times New Roman" w:eastAsia="仿宋_GB2312" w:cs="Times New Roman"/>
          <w:sz w:val="32"/>
          <w:szCs w:val="32"/>
          <w:lang w:val="en-US" w:eastAsia="zh-CN"/>
        </w:rPr>
        <w:t>127</w:t>
      </w:r>
      <w:r>
        <w:rPr>
          <w:rFonts w:hint="default" w:ascii="Times New Roman" w:hAnsi="Times New Roman" w:eastAsia="仿宋_GB2312" w:cs="Times New Roman"/>
          <w:sz w:val="32"/>
          <w:szCs w:val="32"/>
          <w:lang w:val="en-US" w:eastAsia="zh-CN"/>
        </w:rPr>
        <w:t>项重点工作任务、区《政府工作报告》确定的</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val="en-US" w:eastAsia="zh-CN"/>
        </w:rPr>
        <w:t>项重点工作任务、市委马办平台交办的</w:t>
      </w:r>
      <w:r>
        <w:rPr>
          <w:rFonts w:hint="eastAsia"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lang w:val="en-US" w:eastAsia="zh-CN"/>
        </w:rPr>
        <w:t>项重点工作、区政府常务会明确的</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项重点工作、区长批示件明确的</w:t>
      </w:r>
      <w:r>
        <w:rPr>
          <w:rFonts w:hint="eastAsia"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lang w:val="en-US" w:eastAsia="zh-CN"/>
        </w:rPr>
        <w:t>项重点工作，以及省政府真抓实干督查激励事项等工作开展督查，</w:t>
      </w:r>
      <w:r>
        <w:rPr>
          <w:rFonts w:hint="eastAsia" w:ascii="Times New Roman" w:hAnsi="Times New Roman" w:eastAsia="仿宋_GB2312" w:cs="Times New Roman"/>
          <w:sz w:val="32"/>
          <w:szCs w:val="32"/>
          <w:lang w:val="en-US" w:eastAsia="zh-CN"/>
        </w:rPr>
        <w:t>定期在政府常务会上通报调度，</w:t>
      </w:r>
      <w:r>
        <w:rPr>
          <w:rFonts w:hint="default" w:ascii="Times New Roman" w:hAnsi="Times New Roman" w:eastAsia="仿宋_GB2312" w:cs="Times New Roman"/>
          <w:sz w:val="32"/>
          <w:szCs w:val="32"/>
          <w:lang w:val="en-US" w:eastAsia="zh-CN"/>
        </w:rPr>
        <w:t>下达督查通报</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期。</w:t>
      </w:r>
      <w:r>
        <w:rPr>
          <w:rFonts w:hint="eastAsia" w:ascii="Times New Roman" w:hAnsi="Times New Roman" w:eastAsia="仿宋_GB2312" w:cs="Times New Roman"/>
          <w:sz w:val="32"/>
          <w:szCs w:val="32"/>
          <w:lang w:val="en-US" w:eastAsia="zh-CN"/>
        </w:rPr>
        <w:t>政务督查工作获评全省先进。强化统筹调度、跟踪督办，助推全区真抓实干工作再上新台阶，</w:t>
      </w:r>
      <w:r>
        <w:rPr>
          <w:rFonts w:hint="default" w:ascii="Times New Roman" w:hAnsi="Times New Roman" w:eastAsia="仿宋_GB2312" w:cs="Times New Roman"/>
          <w:sz w:val="32"/>
          <w:szCs w:val="32"/>
          <w:lang w:val="en-US" w:eastAsia="zh-CN"/>
        </w:rPr>
        <w:t>养老服务、财源建设、科技创新、工业高质量发展等4项工作获省政府真抓实干表扬激励</w:t>
      </w:r>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二、着眼重点、完善机制，在优化服务上有提升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一是后勤保障规范有序。</w:t>
      </w:r>
      <w:r>
        <w:rPr>
          <w:rFonts w:hint="default" w:ascii="Times New Roman" w:hAnsi="Times New Roman" w:eastAsia="仿宋_GB2312" w:cs="Times New Roman"/>
          <w:sz w:val="32"/>
          <w:szCs w:val="32"/>
        </w:rPr>
        <w:t>严格落实中央八项规定及其实施细则精神，</w:t>
      </w:r>
      <w:r>
        <w:rPr>
          <w:rFonts w:hint="eastAsia"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响应国务院号召带头过紧日子，严格控制接待标准和接待范围</w:t>
      </w:r>
      <w:r>
        <w:rPr>
          <w:rFonts w:hint="default" w:ascii="Times New Roman" w:hAnsi="Times New Roman" w:eastAsia="仿宋_GB2312" w:cs="Times New Roman"/>
          <w:sz w:val="32"/>
          <w:szCs w:val="32"/>
          <w:lang w:val="en-US" w:eastAsia="zh-CN"/>
        </w:rPr>
        <w:t>。精心做好中央、省、市领导以及其他考察人员到区视察、考察等接待工作，做到接待方案贴心细致、服务态度阳光热情、工作衔接妥善到位、突发事件处置及时。</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度承办</w:t>
      </w:r>
      <w:r>
        <w:rPr>
          <w:rFonts w:hint="default" w:ascii="Times New Roman" w:hAnsi="Times New Roman" w:eastAsia="仿宋_GB2312" w:cs="Times New Roman"/>
          <w:sz w:val="32"/>
          <w:szCs w:val="32"/>
          <w:lang w:val="en-US" w:eastAsia="zh-CN"/>
        </w:rPr>
        <w:t>各类</w:t>
      </w:r>
      <w:r>
        <w:rPr>
          <w:rFonts w:hint="eastAsia" w:ascii="Times New Roman" w:hAnsi="Times New Roman" w:eastAsia="仿宋_GB2312" w:cs="Times New Roman"/>
          <w:sz w:val="32"/>
          <w:szCs w:val="32"/>
          <w:lang w:val="en-US" w:eastAsia="zh-CN"/>
        </w:rPr>
        <w:t>公务活动104</w:t>
      </w:r>
      <w:r>
        <w:rPr>
          <w:rFonts w:hint="default" w:ascii="Times New Roman" w:hAnsi="Times New Roman" w:eastAsia="仿宋_GB2312" w:cs="Times New Roman"/>
          <w:sz w:val="32"/>
          <w:szCs w:val="32"/>
          <w:lang w:val="en-US" w:eastAsia="zh-CN"/>
        </w:rPr>
        <w:t>余批次，细心周到的服务获得一致好评。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二是政务公开务实高效。</w:t>
      </w:r>
      <w:r>
        <w:rPr>
          <w:rFonts w:hint="default" w:ascii="Times New Roman" w:hAnsi="Times New Roman" w:eastAsia="仿宋_GB2312" w:cs="Times New Roman"/>
          <w:sz w:val="32"/>
          <w:szCs w:val="32"/>
          <w:lang w:val="en-US" w:eastAsia="zh-CN"/>
        </w:rPr>
        <w:t>以推进行政权力公开透明运行为核心，全面推进政府信息公开工作。围绕</w:t>
      </w:r>
      <w:r>
        <w:rPr>
          <w:rFonts w:hint="eastAsia" w:ascii="Times New Roman" w:hAnsi="Times New Roman" w:eastAsia="仿宋_GB2312" w:cs="Times New Roman"/>
          <w:sz w:val="32"/>
          <w:szCs w:val="32"/>
          <w:lang w:val="en-US" w:eastAsia="zh-CN"/>
        </w:rPr>
        <w:t>“发展六仗”</w:t>
      </w:r>
      <w:r>
        <w:rPr>
          <w:rFonts w:hint="default" w:ascii="Times New Roman" w:hAnsi="Times New Roman" w:eastAsia="仿宋_GB2312" w:cs="Times New Roman"/>
          <w:sz w:val="32"/>
          <w:szCs w:val="32"/>
          <w:lang w:val="en-US" w:eastAsia="zh-CN"/>
        </w:rPr>
        <w:t>、优化营商环境、突发事件应对，加强政策发布解读和政务信息公开，以公开促落实、促规范、促服务。2023年信息发布总数</w:t>
      </w:r>
      <w:r>
        <w:rPr>
          <w:rFonts w:hint="eastAsia" w:ascii="Times New Roman" w:hAnsi="Times New Roman" w:eastAsia="仿宋_GB2312" w:cs="Times New Roman"/>
          <w:sz w:val="32"/>
          <w:szCs w:val="32"/>
          <w:lang w:val="en-US" w:eastAsia="zh-CN"/>
        </w:rPr>
        <w:t>3426</w:t>
      </w:r>
      <w:r>
        <w:rPr>
          <w:rFonts w:hint="default" w:ascii="Times New Roman" w:hAnsi="Times New Roman" w:eastAsia="仿宋_GB2312" w:cs="Times New Roman"/>
          <w:sz w:val="32"/>
          <w:szCs w:val="32"/>
          <w:lang w:val="en-US" w:eastAsia="zh-CN"/>
        </w:rPr>
        <w:t>条，其中政务动态信息更新量</w:t>
      </w:r>
      <w:r>
        <w:rPr>
          <w:rFonts w:hint="eastAsia" w:ascii="Times New Roman" w:hAnsi="Times New Roman" w:eastAsia="仿宋_GB2312" w:cs="Times New Roman"/>
          <w:sz w:val="32"/>
          <w:szCs w:val="32"/>
          <w:lang w:val="en-US" w:eastAsia="zh-CN"/>
        </w:rPr>
        <w:t>1442</w:t>
      </w:r>
      <w:r>
        <w:rPr>
          <w:rFonts w:hint="default" w:ascii="Times New Roman" w:hAnsi="Times New Roman" w:eastAsia="仿宋_GB2312" w:cs="Times New Roman"/>
          <w:sz w:val="32"/>
          <w:szCs w:val="32"/>
          <w:lang w:val="en-US" w:eastAsia="zh-CN"/>
        </w:rPr>
        <w:t>条，解读信息发布</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条；政务服务事项数量</w:t>
      </w:r>
      <w:r>
        <w:rPr>
          <w:rFonts w:hint="eastAsia" w:ascii="Times New Roman" w:hAnsi="Times New Roman" w:eastAsia="仿宋_GB2312" w:cs="Times New Roman"/>
          <w:sz w:val="32"/>
          <w:szCs w:val="32"/>
          <w:lang w:val="en-US" w:eastAsia="zh-CN"/>
        </w:rPr>
        <w:t>1443</w:t>
      </w:r>
      <w:r>
        <w:rPr>
          <w:rFonts w:hint="default" w:ascii="Times New Roman" w:hAnsi="Times New Roman" w:eastAsia="仿宋_GB2312" w:cs="Times New Roman"/>
          <w:sz w:val="32"/>
          <w:szCs w:val="32"/>
          <w:lang w:val="en-US" w:eastAsia="zh-CN"/>
        </w:rPr>
        <w:t>项，办件量总数为</w:t>
      </w:r>
      <w:r>
        <w:rPr>
          <w:rFonts w:hint="eastAsia" w:ascii="Times New Roman" w:hAnsi="Times New Roman" w:eastAsia="仿宋_GB2312" w:cs="Times New Roman"/>
          <w:sz w:val="32"/>
          <w:szCs w:val="32"/>
          <w:lang w:val="en-US" w:eastAsia="zh-CN"/>
        </w:rPr>
        <w:t>73707</w:t>
      </w:r>
      <w:r>
        <w:rPr>
          <w:rFonts w:hint="default" w:ascii="Times New Roman" w:hAnsi="Times New Roman" w:eastAsia="仿宋_GB2312" w:cs="Times New Roman"/>
          <w:sz w:val="32"/>
          <w:szCs w:val="32"/>
          <w:lang w:val="en-US" w:eastAsia="zh-CN"/>
        </w:rPr>
        <w:t>件。</w:t>
      </w:r>
      <w:r>
        <w:rPr>
          <w:rFonts w:hint="eastAsia" w:ascii="Times New Roman" w:hAnsi="Times New Roman" w:eastAsia="仿宋_GB2312" w:cs="Times New Roman"/>
          <w:sz w:val="32"/>
          <w:szCs w:val="32"/>
          <w:lang w:val="en-US" w:eastAsia="zh-CN"/>
        </w:rPr>
        <w:t>政务公开工作获评全市、全省先进。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eastAsia="zh-CN"/>
        </w:rPr>
      </w:pPr>
      <w:r>
        <w:rPr>
          <w:rFonts w:hint="eastAsia" w:ascii="Times New Roman" w:hAnsi="Times New Roman" w:eastAsia="仿宋_GB2312" w:cs="Times New Roman"/>
          <w:b/>
          <w:bCs/>
          <w:kern w:val="2"/>
          <w:sz w:val="32"/>
          <w:szCs w:val="32"/>
          <w:lang w:val="en-US" w:eastAsia="zh-CN" w:bidi="ar-SA"/>
        </w:rPr>
        <w:t>三是专项工作有力有效。</w:t>
      </w:r>
      <w:r>
        <w:rPr>
          <w:rFonts w:hint="eastAsia" w:ascii="Times New Roman" w:hAnsi="Times New Roman" w:eastAsia="仿宋_GB2312" w:cs="Times New Roman"/>
          <w:sz w:val="32"/>
          <w:szCs w:val="32"/>
          <w:lang w:val="en-US" w:eastAsia="zh-CN"/>
        </w:rPr>
        <w:t>对标省市要求，成立工作专班，强化统筹调度，全力推进“发展六仗”、“三送三解三优”等工作，有力推动了全区经济社会高质量发展。</w:t>
      </w:r>
      <w:r>
        <w:rPr>
          <w:rFonts w:hint="default" w:ascii="Times New Roman" w:hAnsi="Times New Roman" w:eastAsia="仿宋_GB2312" w:cs="Times New Roman"/>
          <w:sz w:val="32"/>
          <w:szCs w:val="32"/>
          <w:lang w:val="en-US" w:eastAsia="zh-CN"/>
        </w:rPr>
        <w:t>71件人大代表建议和74件政协委员提案高效办结，满意率100%。深入贯彻落实中央、省、市有关禁毒工作的重要决策部署，全区禁毒工作形势稳中向好，全年未发现新增吸毒人员。以集中整治交通问题顽瘴痼疾为工作抓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纵深推进交通安全管理工作。2023年度，石峰区交通问题顽瘴痼疾集中整治</w:t>
      </w:r>
      <w:r>
        <w:rPr>
          <w:rFonts w:hint="eastAsia" w:ascii="Times New Roman" w:hAnsi="Times New Roman" w:eastAsia="仿宋_GB2312" w:cs="Times New Roman"/>
          <w:sz w:val="32"/>
          <w:szCs w:val="32"/>
          <w:lang w:val="en-US" w:eastAsia="zh-CN"/>
        </w:rPr>
        <w:t>工作排名全市前列</w:t>
      </w:r>
      <w:r>
        <w:rPr>
          <w:rFonts w:hint="default"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三、着眼长远、强基固本，在队伍建设上有成效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一是理论学习全面加强。</w:t>
      </w:r>
      <w:r>
        <w:rPr>
          <w:rFonts w:hint="default" w:ascii="Times New Roman" w:hAnsi="Times New Roman" w:eastAsia="仿宋_GB2312" w:cs="Times New Roman"/>
          <w:sz w:val="32"/>
          <w:szCs w:val="32"/>
          <w:lang w:val="en-US" w:eastAsia="zh-CN"/>
        </w:rPr>
        <w:t>坚持以习近平新时代中国特色社会主义思想为指导，紧密新发展阶段时代要求和办公室实际</w:t>
      </w:r>
      <w:r>
        <w:rPr>
          <w:rFonts w:hint="eastAsia" w:ascii="Times New Roman" w:hAnsi="Times New Roman" w:eastAsia="仿宋_GB2312" w:cs="Times New Roman"/>
          <w:sz w:val="32"/>
          <w:szCs w:val="32"/>
          <w:lang w:val="en-US" w:eastAsia="zh-CN"/>
        </w:rPr>
        <w:t>，深入开展主题教育，</w:t>
      </w:r>
      <w:r>
        <w:rPr>
          <w:rFonts w:hint="default" w:ascii="Times New Roman" w:hAnsi="Times New Roman" w:eastAsia="仿宋_GB2312" w:cs="Times New Roman"/>
          <w:sz w:val="32"/>
          <w:szCs w:val="32"/>
          <w:lang w:val="en-US" w:eastAsia="zh-CN"/>
        </w:rPr>
        <w:t>依托党组（扩大）会议</w:t>
      </w:r>
      <w:r>
        <w:rPr>
          <w:rFonts w:hint="eastAsia" w:ascii="Times New Roman" w:hAnsi="Times New Roman" w:eastAsia="仿宋_GB2312" w:cs="Times New Roman"/>
          <w:sz w:val="32"/>
          <w:szCs w:val="32"/>
          <w:lang w:val="en-US" w:eastAsia="zh-CN"/>
        </w:rPr>
        <w:t>、三会一课</w:t>
      </w:r>
      <w:r>
        <w:rPr>
          <w:rFonts w:hint="default" w:ascii="Times New Roman" w:hAnsi="Times New Roman" w:eastAsia="仿宋_GB2312" w:cs="Times New Roman"/>
          <w:sz w:val="32"/>
          <w:szCs w:val="32"/>
          <w:lang w:val="en-US" w:eastAsia="zh-CN"/>
        </w:rPr>
        <w:t>等形式，有效运用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学习强国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干部网络学院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如法网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等多种平台，教育引导党员干部用</w:t>
      </w:r>
      <w:r>
        <w:rPr>
          <w:rFonts w:hint="eastAsia" w:ascii="Times New Roman" w:hAnsi="Times New Roman" w:eastAsia="仿宋_GB2312" w:cs="Times New Roman"/>
          <w:sz w:val="32"/>
          <w:szCs w:val="32"/>
          <w:lang w:val="en-US" w:eastAsia="zh-CN"/>
        </w:rPr>
        <w:t>党的创新</w:t>
      </w:r>
      <w:r>
        <w:rPr>
          <w:rFonts w:hint="default" w:ascii="Times New Roman" w:hAnsi="Times New Roman" w:eastAsia="仿宋_GB2312" w:cs="Times New Roman"/>
          <w:sz w:val="32"/>
          <w:szCs w:val="32"/>
          <w:lang w:val="en-US" w:eastAsia="zh-CN"/>
        </w:rPr>
        <w:t>理论武装头脑、坚定信念、指导实践、服务群众。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二是政治建设全面加强。</w:t>
      </w:r>
      <w:r>
        <w:rPr>
          <w:rFonts w:hint="eastAsia" w:ascii="Times New Roman" w:hAnsi="Times New Roman" w:eastAsia="仿宋_GB2312" w:cs="Times New Roman"/>
          <w:sz w:val="32"/>
          <w:szCs w:val="32"/>
          <w:lang w:val="en-US" w:eastAsia="zh-CN"/>
        </w:rPr>
        <w:t>坚持第一议题制度，第一时间传达学习习近平总书记重要讲话、重要指示批示精神。定期召开党组会议学习贯彻落实中央省市和区委重要会议精神、重要工作部署。</w:t>
      </w:r>
      <w:r>
        <w:rPr>
          <w:rFonts w:hint="default" w:ascii="Times New Roman" w:hAnsi="Times New Roman" w:eastAsia="仿宋_GB2312" w:cs="Times New Roman"/>
          <w:sz w:val="32"/>
          <w:szCs w:val="32"/>
          <w:lang w:val="en-US" w:eastAsia="zh-CN"/>
        </w:rPr>
        <w:t>坚持以党的政治建设为引领，推动办公室组织建设常态化、规范化。认真贯彻落实党内组织生活各项制度，不断激发党的组织生活活力。认真贯彻落实意识形态工作责任制，</w:t>
      </w:r>
      <w:r>
        <w:rPr>
          <w:rFonts w:hint="default" w:ascii="Times New Roman" w:hAnsi="Times New Roman" w:eastAsia="仿宋_GB2312" w:cs="Times New Roman"/>
          <w:kern w:val="2"/>
          <w:sz w:val="32"/>
          <w:szCs w:val="32"/>
          <w:lang w:val="en-US" w:eastAsia="zh-CN" w:bidi="ar-SA"/>
        </w:rPr>
        <w:t>专题研究意识形态工作3次</w:t>
      </w:r>
      <w:r>
        <w:rPr>
          <w:rFonts w:hint="default" w:ascii="Times New Roman" w:hAnsi="Times New Roman" w:eastAsia="仿宋_GB2312" w:cs="Times New Roman"/>
          <w:sz w:val="32"/>
          <w:szCs w:val="32"/>
          <w:lang w:val="en-US" w:eastAsia="zh-CN"/>
        </w:rPr>
        <w:t>，不断筑牢意识形态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防火墙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三是廉政建设全面加强。</w:t>
      </w:r>
      <w:r>
        <w:rPr>
          <w:rFonts w:hint="default" w:ascii="Times New Roman" w:hAnsi="Times New Roman" w:eastAsia="仿宋_GB2312" w:cs="Times New Roman"/>
          <w:sz w:val="32"/>
          <w:szCs w:val="32"/>
          <w:lang w:val="en-US" w:eastAsia="zh-CN"/>
        </w:rPr>
        <w:t>坚持党内民主集中制原则，严格执行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三重一大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集体决策，严格按制度和程序办事，办公室重要工作、重要事项必经政府办党组会集体研究民主决策，确保决策充分体现集体意志</w:t>
      </w:r>
      <w:r>
        <w:rPr>
          <w:rFonts w:hint="eastAsia" w:ascii="Times New Roman" w:hAnsi="Times New Roman" w:eastAsia="仿宋_GB2312" w:cs="Times New Roman"/>
          <w:sz w:val="32"/>
          <w:szCs w:val="32"/>
          <w:lang w:val="en-US" w:eastAsia="zh-CN"/>
        </w:rPr>
        <w:t>；牢固</w:t>
      </w:r>
      <w:r>
        <w:rPr>
          <w:rFonts w:hint="default" w:ascii="Times New Roman" w:hAnsi="Times New Roman" w:eastAsia="仿宋_GB2312" w:cs="Times New Roman"/>
          <w:sz w:val="32"/>
          <w:szCs w:val="32"/>
          <w:lang w:val="en-US" w:eastAsia="zh-CN"/>
        </w:rPr>
        <w:t>树立正确的权力观和政绩观，严格执行遵守财务纪律和中央八项规定精神；</w:t>
      </w:r>
      <w:r>
        <w:rPr>
          <w:rFonts w:hint="eastAsia" w:ascii="Times New Roman" w:hAnsi="Times New Roman" w:eastAsia="仿宋_GB2312" w:cs="Times New Roman"/>
          <w:sz w:val="32"/>
          <w:szCs w:val="32"/>
          <w:lang w:val="en-US" w:eastAsia="zh-CN"/>
        </w:rPr>
        <w:t>认真召开“镜鉴”以案明纪以案促改肃流毒、正生态、促发展专题民主生活会，</w:t>
      </w:r>
      <w:r>
        <w:rPr>
          <w:rFonts w:hint="eastAsia" w:ascii="Times New Roman" w:hAnsi="Times New Roman" w:eastAsia="仿宋_GB2312" w:cs="Times New Roman"/>
          <w:color w:val="000000"/>
          <w:sz w:val="32"/>
          <w:szCs w:val="32"/>
          <w:lang w:val="en-US" w:eastAsia="zh-CN"/>
        </w:rPr>
        <w:t>深入开展“两带头五整治”纠风防腐专项行动，</w:t>
      </w:r>
      <w:r>
        <w:rPr>
          <w:rFonts w:hint="eastAsia" w:ascii="Times New Roman" w:hAnsi="Times New Roman" w:eastAsia="仿宋_GB2312" w:cs="Times New Roman"/>
          <w:sz w:val="32"/>
          <w:szCs w:val="32"/>
          <w:lang w:val="en-US" w:eastAsia="zh-CN"/>
        </w:rPr>
        <w:t>强化</w:t>
      </w:r>
      <w:r>
        <w:rPr>
          <w:rFonts w:hint="default" w:ascii="Times New Roman" w:hAnsi="Times New Roman" w:eastAsia="仿宋_GB2312" w:cs="Times New Roman"/>
          <w:sz w:val="32"/>
          <w:szCs w:val="32"/>
          <w:lang w:val="en-US" w:eastAsia="zh-CN"/>
        </w:rPr>
        <w:t>运用典型案例，以案说纪、以案说法，使警示教育入脑入心，</w:t>
      </w:r>
      <w:r>
        <w:rPr>
          <w:rFonts w:hint="eastAsia" w:ascii="Times New Roman" w:hAnsi="Times New Roman" w:eastAsia="仿宋_GB2312" w:cs="Times New Roman"/>
          <w:sz w:val="32"/>
          <w:szCs w:val="32"/>
          <w:lang w:val="en-US" w:eastAsia="zh-CN"/>
        </w:rPr>
        <w:t>切实</w:t>
      </w:r>
      <w:r>
        <w:rPr>
          <w:rFonts w:hint="default" w:ascii="Times New Roman" w:hAnsi="Times New Roman" w:eastAsia="仿宋_GB2312" w:cs="Times New Roman"/>
          <w:sz w:val="32"/>
          <w:szCs w:val="32"/>
          <w:lang w:val="en-US" w:eastAsia="zh-CN"/>
        </w:rPr>
        <w:t>补足精神之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lang w:val="en-US" w:eastAsia="zh-CN"/>
        </w:rPr>
        <w:t>筑牢思想防线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不断</w:t>
      </w:r>
      <w:r>
        <w:rPr>
          <w:rFonts w:hint="eastAsia" w:ascii="Times New Roman" w:hAnsi="Times New Roman" w:eastAsia="仿宋_GB2312" w:cs="Times New Roman"/>
          <w:sz w:val="32"/>
          <w:szCs w:val="32"/>
          <w:lang w:val="en-US" w:eastAsia="zh-CN"/>
        </w:rPr>
        <w:t>巩固</w:t>
      </w:r>
      <w:r>
        <w:rPr>
          <w:rFonts w:hint="default" w:ascii="Times New Roman" w:hAnsi="Times New Roman" w:eastAsia="仿宋_GB2312" w:cs="Times New Roman"/>
          <w:sz w:val="32"/>
          <w:szCs w:val="32"/>
          <w:lang w:val="en-US" w:eastAsia="zh-CN"/>
        </w:rPr>
        <w:t>提升党风廉政建设</w:t>
      </w:r>
      <w:r>
        <w:rPr>
          <w:rFonts w:hint="eastAsia" w:ascii="Times New Roman" w:hAnsi="Times New Roman" w:eastAsia="仿宋_GB2312" w:cs="Times New Roman"/>
          <w:sz w:val="32"/>
          <w:szCs w:val="32"/>
          <w:lang w:val="en-US" w:eastAsia="zh-CN"/>
        </w:rPr>
        <w:t>成效</w:t>
      </w:r>
      <w:r>
        <w:rPr>
          <w:rFonts w:hint="default" w:ascii="Times New Roman" w:hAnsi="Times New Roman" w:eastAsia="仿宋_GB2312" w:cs="Times New Roman"/>
          <w:sz w:val="32"/>
          <w:szCs w:val="32"/>
          <w:lang w:val="en-US" w:eastAsia="zh-CN"/>
        </w:rPr>
        <w:t>。</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28.95万元，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79.85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3.10</w:t>
      </w:r>
      <w:r>
        <w:rPr>
          <w:rFonts w:hint="default" w:ascii="Times New Roman" w:hAnsi="Times New Roman" w:eastAsia="仿宋_GB2312" w:cs="Times New Roman"/>
          <w:color w:val="auto"/>
          <w:sz w:val="32"/>
          <w:szCs w:val="32"/>
        </w:rPr>
        <w:t>万元。项目实施及绩效情况如下：</w:t>
      </w:r>
    </w:p>
    <w:p>
      <w:pPr>
        <w:keepNext w:val="0"/>
        <w:keepLines w:val="0"/>
        <w:pageBreakBefore w:val="0"/>
        <w:widowControl w:val="0"/>
        <w:tabs>
          <w:tab w:val="left" w:pos="7560"/>
        </w:tabs>
        <w:kinsoku/>
        <w:wordWrap/>
        <w:overflowPunct/>
        <w:topLinePunct w:val="0"/>
        <w:bidi w:val="0"/>
        <w:adjustRightInd w:val="0"/>
        <w:snapToGrid w:val="0"/>
        <w:spacing w:line="560" w:lineRule="exact"/>
        <w:ind w:firstLine="640" w:firstLineChars="200"/>
        <w:jc w:val="both"/>
        <w:textAlignment w:val="auto"/>
        <w:rPr>
          <w:rFonts w:hint="default"/>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79.85万元，</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val="en-US" w:eastAsia="zh-CN"/>
        </w:rPr>
        <w:t>主要用于“综合协调、参谋决策、督察督办、服务保障”工作职能，确保政务服务顺达高效、干部队伍素质不断提升，有力促进全区各项工作顺利推进。</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禁毒工作经费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123.94</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117.66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6.28</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禁毒</w:t>
      </w:r>
      <w:r>
        <w:rPr>
          <w:rFonts w:hint="default" w:ascii="Times New Roman" w:hAnsi="Times New Roman" w:eastAsia="仿宋_GB2312" w:cs="Times New Roman"/>
          <w:color w:val="auto"/>
          <w:sz w:val="32"/>
          <w:szCs w:val="32"/>
        </w:rPr>
        <w:t>工作经费项目</w:t>
      </w:r>
    </w:p>
    <w:p>
      <w:pPr>
        <w:tabs>
          <w:tab w:val="left" w:pos="7560"/>
        </w:tabs>
        <w:adjustRightInd w:val="0"/>
        <w:snapToGrid w:val="0"/>
        <w:spacing w:line="560" w:lineRule="exact"/>
        <w:ind w:firstLine="640" w:firstLineChars="200"/>
        <w:jc w:val="left"/>
        <w:rPr>
          <w:rFonts w:hint="eastAsia" w:ascii="仿宋_GB2312"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117.66</w:t>
      </w:r>
      <w:r>
        <w:rPr>
          <w:rFonts w:hint="default" w:ascii="Times New Roman" w:hAnsi="Times New Roman" w:eastAsia="仿宋_GB2312" w:cs="Times New Roman"/>
          <w:color w:val="auto"/>
          <w:sz w:val="32"/>
          <w:szCs w:val="32"/>
        </w:rPr>
        <w:t>万元，主要用于</w:t>
      </w:r>
      <w:r>
        <w:rPr>
          <w:rFonts w:hint="eastAsia" w:ascii="仿宋_GB2312" w:hAnsi="Times New Roman" w:eastAsia="仿宋_GB2312" w:cs="Times New Roman"/>
          <w:color w:val="000000"/>
          <w:sz w:val="32"/>
          <w:szCs w:val="32"/>
          <w:lang w:val="en-US" w:eastAsia="zh-CN"/>
        </w:rPr>
        <w:t>开展“三清一收一净”专项行动，集中打击整治毒品突出问题，健全毒品问题整治体系，推动禁毒工作深入开展，努力提升人民群众的安全感和获得感。</w:t>
      </w:r>
    </w:p>
    <w:p>
      <w:pPr>
        <w:pStyle w:val="3"/>
        <w:rPr>
          <w:rFonts w:hint="default"/>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交通顽瘴痼疾整治专项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12.33万元，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30.24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2.09</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交通顽瘴痼疾整治专项</w:t>
      </w:r>
    </w:p>
    <w:p>
      <w:pPr>
        <w:keepNext w:val="0"/>
        <w:keepLines w:val="0"/>
        <w:pageBreakBefore w:val="0"/>
        <w:widowControl w:val="0"/>
        <w:tabs>
          <w:tab w:val="left" w:pos="7560"/>
        </w:tabs>
        <w:kinsoku/>
        <w:wordWrap/>
        <w:overflowPunct/>
        <w:topLinePunct w:val="0"/>
        <w:bidi w:val="0"/>
        <w:spacing w:line="560" w:lineRule="exact"/>
        <w:ind w:firstLine="640" w:firstLineChars="200"/>
        <w:jc w:val="both"/>
        <w:textAlignment w:val="auto"/>
        <w:rPr>
          <w:rFonts w:hint="eastAsia"/>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30.24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highlight w:val="none"/>
        </w:rPr>
        <w:t>主要用于</w:t>
      </w:r>
      <w:r>
        <w:rPr>
          <w:rFonts w:hint="default" w:ascii="Times New Roman" w:hAnsi="Times New Roman" w:eastAsia="仿宋_GB2312" w:cs="Times New Roman"/>
          <w:color w:val="auto"/>
          <w:sz w:val="32"/>
          <w:szCs w:val="32"/>
          <w:lang w:val="en-US" w:eastAsia="zh-CN"/>
        </w:rPr>
        <w:t>为进一步巩固交通问题顽瘴痼疾集中整治工作成果，从根本上消除非法营运、车辆乱停乱摆、超限超载、“三无”车辆上路行驶、摩托车不戴头盔等领域的交通问题顽瘴痼疾，做到交通问题顽瘴痼疾整治工作不留死角、不留空挡、实现全覆盖。</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援藏工作经费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援藏工作经费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000000"/>
          <w:sz w:val="32"/>
          <w:szCs w:val="32"/>
          <w:highlight w:val="none"/>
          <w:lang w:val="en-US" w:eastAsia="zh-CN"/>
        </w:rPr>
        <w:t>切实做好对口援藏工作，慰问我市第十批援藏干部</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线上视频设备经费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线上视频设备经费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000000"/>
          <w:sz w:val="32"/>
          <w:szCs w:val="32"/>
          <w:highlight w:val="none"/>
          <w:lang w:val="en-US" w:eastAsia="zh-CN"/>
        </w:rPr>
        <w:t>政府线会议顺利进行。</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jc w:val="left"/>
        <w:rPr>
          <w:rFonts w:hint="default"/>
        </w:rPr>
      </w:pP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绩效管理存在的问题及下一步改进措施</w:t>
      </w:r>
    </w:p>
    <w:p>
      <w:pPr>
        <w:numPr>
          <w:ilvl w:val="0"/>
          <w:numId w:val="0"/>
        </w:numPr>
        <w:tabs>
          <w:tab w:val="left" w:pos="7560"/>
        </w:tabs>
        <w:adjustRightInd w:val="0"/>
        <w:snapToGrid w:val="0"/>
        <w:spacing w:line="540" w:lineRule="exact"/>
        <w:ind w:firstLine="1280" w:firstLineChars="4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绩效管理不存在相关问题。</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1280" w:firstLineChars="4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61C23780"/>
    <w:multiLevelType w:val="singleLevel"/>
    <w:tmpl w:val="61C2378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VkYmI3ODhjMjlhNjc3MWJlNTg3MDcwYTAwOTcyODQifQ=="/>
    <w:docVar w:name="KSO_WPS_MARK_KEY" w:val="3baf6a0a-8ec4-4814-ae1a-01d5b5fa5d67"/>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38166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7A67F4"/>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307A31"/>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1554C66"/>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DFE60AA"/>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4955EC"/>
    <w:rsid w:val="5D974E3E"/>
    <w:rsid w:val="5D9B4911"/>
    <w:rsid w:val="5F1A2D0A"/>
    <w:rsid w:val="5FA76FE8"/>
    <w:rsid w:val="5FC17D62"/>
    <w:rsid w:val="601F704F"/>
    <w:rsid w:val="60336F5F"/>
    <w:rsid w:val="60351D24"/>
    <w:rsid w:val="60B22A8D"/>
    <w:rsid w:val="60E56779"/>
    <w:rsid w:val="61241942"/>
    <w:rsid w:val="614C7899"/>
    <w:rsid w:val="61FB341B"/>
    <w:rsid w:val="625E5182"/>
    <w:rsid w:val="62C1521F"/>
    <w:rsid w:val="633E4244"/>
    <w:rsid w:val="63785F66"/>
    <w:rsid w:val="63903F3A"/>
    <w:rsid w:val="64802980"/>
    <w:rsid w:val="64F03848"/>
    <w:rsid w:val="6640264D"/>
    <w:rsid w:val="66BD30AA"/>
    <w:rsid w:val="677A293B"/>
    <w:rsid w:val="67A443BD"/>
    <w:rsid w:val="68F776E4"/>
    <w:rsid w:val="6927577B"/>
    <w:rsid w:val="69394480"/>
    <w:rsid w:val="693E3CEF"/>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ABE038"/>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jc w:val="left"/>
    </w:pPr>
    <w:rPr>
      <w:rFonts w:eastAsia="仿宋_GB2312"/>
    </w:r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4"/>
    <w:semiHidden/>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99"/>
  </w:style>
  <w:style w:type="paragraph" w:customStyle="1" w:styleId="11">
    <w:name w:val="正文文字"/>
    <w:basedOn w:val="1"/>
    <w:next w:val="1"/>
    <w:qFormat/>
    <w:uiPriority w:val="99"/>
    <w:pPr>
      <w:spacing w:after="120"/>
    </w:pPr>
  </w:style>
  <w:style w:type="character" w:customStyle="1" w:styleId="12">
    <w:name w:val="Header Char"/>
    <w:basedOn w:val="9"/>
    <w:link w:val="6"/>
    <w:semiHidden/>
    <w:qFormat/>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Date Char"/>
    <w:basedOn w:val="9"/>
    <w:link w:val="4"/>
    <w:semiHidden/>
    <w:qFormat/>
    <w:locked/>
    <w:uiPriority w:val="99"/>
  </w:style>
  <w:style w:type="character" w:customStyle="1" w:styleId="15">
    <w:name w:val="font41"/>
    <w:basedOn w:val="9"/>
    <w:qFormat/>
    <w:uiPriority w:val="99"/>
    <w:rPr>
      <w:rFonts w:ascii="宋体" w:hAnsi="宋体" w:eastAsia="宋体" w:cs="宋体"/>
      <w:b/>
      <w:bCs/>
      <w:color w:val="000000"/>
      <w:sz w:val="44"/>
      <w:szCs w:val="44"/>
      <w:u w:val="none"/>
    </w:rPr>
  </w:style>
  <w:style w:type="character" w:customStyle="1" w:styleId="16">
    <w:name w:val="font11"/>
    <w:basedOn w:val="9"/>
    <w:qFormat/>
    <w:uiPriority w:val="99"/>
    <w:rPr>
      <w:rFonts w:ascii="宋体" w:hAnsi="宋体" w:eastAsia="宋体" w:cs="宋体"/>
      <w:b/>
      <w:bCs/>
      <w:color w:val="000000"/>
      <w:sz w:val="32"/>
      <w:szCs w:val="32"/>
      <w:u w:val="none"/>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5</Pages>
  <Words>1354</Words>
  <Characters>1424</Characters>
  <Lines>0</Lines>
  <Paragraphs>0</Paragraphs>
  <TotalTime>9</TotalTime>
  <ScaleCrop>false</ScaleCrop>
  <LinksUpToDate>false</LinksUpToDate>
  <CharactersWithSpaces>1430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lr</cp:lastModifiedBy>
  <cp:lastPrinted>2023-08-28T15:21:00Z</cp:lastPrinted>
  <dcterms:modified xsi:type="dcterms:W3CDTF">2024-06-27T17:28:40Z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D046AB22908C472C8AD60C17670F1370</vt:lpwstr>
  </property>
</Properties>
</file>