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both"/>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r>
        <w:rPr>
          <w:rFonts w:hint="eastAsia" w:ascii="Times New Roman" w:hAnsi="Times New Roman" w:eastAsia="方正小标宋简体" w:cs="Times New Roman"/>
          <w:color w:val="auto"/>
          <w:sz w:val="44"/>
          <w:szCs w:val="32"/>
          <w:lang w:eastAsia="zh-CN"/>
        </w:rPr>
        <w:t>2023</w:t>
      </w:r>
      <w:r>
        <w:rPr>
          <w:rFonts w:hint="default" w:ascii="Times New Roman" w:hAnsi="Times New Roman" w:eastAsia="方正小标宋简体" w:cs="Times New Roman"/>
          <w:color w:val="auto"/>
          <w:sz w:val="44"/>
          <w:szCs w:val="32"/>
        </w:rPr>
        <w:t>年度部门整体支出绩效自评报告</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center"/>
        <w:rPr>
          <w:rFonts w:hint="default" w:ascii="Times New Roman" w:hAnsi="Times New Roman" w:eastAsia="黑体" w:cs="Times New Roman"/>
          <w:color w:val="auto"/>
          <w:sz w:val="36"/>
          <w:szCs w:val="44"/>
        </w:rPr>
      </w:pPr>
      <w:r>
        <w:rPr>
          <w:rFonts w:hint="default" w:ascii="Times New Roman" w:hAnsi="Times New Roman" w:eastAsia="黑体" w:cs="Times New Roman"/>
          <w:color w:val="auto"/>
          <w:sz w:val="36"/>
          <w:szCs w:val="44"/>
        </w:rPr>
        <w:t>单位名称（盖章）</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sectPr>
          <w:footerReference r:id="rId3" w:type="default"/>
          <w:pgSz w:w="11906" w:h="16838"/>
          <w:pgMar w:top="1984" w:right="1531" w:bottom="1701" w:left="1531" w:header="851" w:footer="992" w:gutter="0"/>
          <w:pgNumType w:fmt="decimal"/>
          <w:cols w:space="425" w:num="1"/>
          <w:docGrid w:type="linesAndChars" w:linePitch="312" w:charSpace="0"/>
        </w:sect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一、预算单位基本情况</w:t>
      </w:r>
    </w:p>
    <w:p>
      <w:pPr>
        <w:tabs>
          <w:tab w:val="left" w:pos="7560"/>
        </w:tabs>
        <w:adjustRightInd w:val="0"/>
        <w:snapToGrid w:val="0"/>
        <w:spacing w:line="540" w:lineRule="exact"/>
        <w:ind w:firstLine="420" w:firstLineChars="200"/>
        <w:jc w:val="left"/>
        <w:rPr>
          <w:rFonts w:hint="eastAsia" w:ascii="仿宋_GB2312" w:hAnsi="仿宋" w:eastAsia="仿宋_GB2312"/>
          <w:sz w:val="32"/>
          <w:szCs w:val="32"/>
          <w:lang w:val="en-US" w:eastAsia="zh-CN"/>
        </w:rPr>
      </w:pPr>
      <w:r>
        <w:rPr>
          <w:rFonts w:hint="eastAsia"/>
          <w:lang w:val="en-US" w:eastAsia="zh-CN"/>
        </w:rPr>
        <w:t xml:space="preserve"> </w:t>
      </w:r>
      <w:r>
        <w:rPr>
          <w:rFonts w:hint="eastAsia" w:ascii="仿宋_GB2312" w:hAnsi="仿宋" w:eastAsia="仿宋_GB2312"/>
          <w:sz w:val="32"/>
          <w:szCs w:val="32"/>
          <w:lang w:val="en-US" w:eastAsia="zh-CN"/>
        </w:rPr>
        <w:t>石峰区市场监督管理局</w:t>
      </w:r>
      <w:r>
        <w:rPr>
          <w:rFonts w:hint="default" w:ascii="Times New Roman" w:hAnsi="Times New Roman" w:eastAsia="仿宋_GB2312" w:cs="Times New Roman"/>
          <w:sz w:val="32"/>
          <w:szCs w:val="32"/>
        </w:rPr>
        <w:t>贯彻落实党中央关于市场监督管理工作的方针政策和决策部署，</w:t>
      </w:r>
      <w:r>
        <w:rPr>
          <w:rFonts w:hint="eastAsia" w:ascii="Times New Roman" w:hAnsi="Times New Roman" w:eastAsia="仿宋_GB2312" w:cs="Times New Roman"/>
          <w:sz w:val="32"/>
          <w:szCs w:val="32"/>
          <w:lang w:val="en-US" w:eastAsia="zh-CN"/>
        </w:rPr>
        <w:t>全面落实</w:t>
      </w:r>
      <w:r>
        <w:rPr>
          <w:rFonts w:hint="default" w:ascii="Times New Roman" w:hAnsi="Times New Roman" w:eastAsia="仿宋_GB2312" w:cs="Times New Roman"/>
          <w:sz w:val="32"/>
          <w:szCs w:val="32"/>
          <w:lang w:val="en-US" w:eastAsia="zh-CN"/>
        </w:rPr>
        <w:t>省委、市委</w:t>
      </w:r>
      <w:r>
        <w:rPr>
          <w:rFonts w:hint="eastAsia" w:ascii="Times New Roman" w:hAnsi="Times New Roman" w:eastAsia="仿宋_GB2312" w:cs="Times New Roman"/>
          <w:sz w:val="32"/>
          <w:szCs w:val="32"/>
          <w:lang w:val="en-US" w:eastAsia="zh-CN"/>
        </w:rPr>
        <w:t>、区委关于市场监督管理工作部署要求，</w:t>
      </w:r>
      <w:r>
        <w:rPr>
          <w:rFonts w:hint="default" w:ascii="Times New Roman" w:hAnsi="Times New Roman" w:eastAsia="仿宋_GB2312" w:cs="Times New Roman"/>
          <w:sz w:val="32"/>
          <w:szCs w:val="32"/>
        </w:rPr>
        <w:t>在履行职责过程中坚持和加强党对市场监督管理工作的集中统一领导</w:t>
      </w:r>
      <w:r>
        <w:rPr>
          <w:rFonts w:hint="eastAsia" w:ascii="仿宋_GB2312" w:hAnsi="仿宋" w:eastAsia="仿宋_GB2312"/>
          <w:sz w:val="32"/>
          <w:szCs w:val="32"/>
          <w:lang w:val="en-US" w:eastAsia="zh-CN"/>
        </w:rPr>
        <w:t>。</w:t>
      </w:r>
    </w:p>
    <w:p>
      <w:pPr>
        <w:numPr>
          <w:ilvl w:val="0"/>
          <w:numId w:val="1"/>
        </w:numPr>
        <w:snapToGrid w:val="0"/>
        <w:spacing w:line="520" w:lineRule="exact"/>
        <w:ind w:firstLine="640" w:firstLineChars="200"/>
        <w:rPr>
          <w:rFonts w:hint="eastAsia" w:ascii="仿宋_GB2312" w:hAnsi="仿宋" w:eastAsia="仿宋_GB2312"/>
          <w:b/>
          <w:bCs/>
          <w:sz w:val="32"/>
          <w:szCs w:val="32"/>
          <w:lang w:val="en-US" w:eastAsia="zh-CN"/>
        </w:rPr>
      </w:pPr>
      <w:r>
        <w:rPr>
          <w:rFonts w:hint="eastAsia" w:ascii="仿宋_GB2312" w:hAnsi="仿宋" w:eastAsia="仿宋_GB2312"/>
          <w:b/>
          <w:bCs/>
          <w:sz w:val="32"/>
          <w:szCs w:val="32"/>
          <w:lang w:val="en-US" w:eastAsia="zh-CN"/>
        </w:rPr>
        <w:t>主要职能。</w:t>
      </w:r>
    </w:p>
    <w:p>
      <w:pPr>
        <w:numPr>
          <w:ilvl w:val="0"/>
          <w:numId w:val="0"/>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负责市场综合监督管理；负责市场主体统一登记注册和行政许可；负责监督管理市场秩序；负责质量管理工作；负责特种设备安全监督管理；负责食品安全监督管理和综合协调；在法定权限内负责监督实施药品、医疗器械、化妆品标准和分类管理制度；负责统一管理计量和监督认证认可工作；负责统一管理标准化工作；负责知识产权保护综合协调工作；负责组织开展有关消费维权工作；协助市市场监督管理局开展市场监督综合行政执法工作；完成区委、区人民政府及上级业务主管部门交办的其他工作。</w:t>
      </w:r>
    </w:p>
    <w:p>
      <w:pPr>
        <w:numPr>
          <w:ilvl w:val="0"/>
          <w:numId w:val="1"/>
        </w:numPr>
        <w:snapToGrid w:val="0"/>
        <w:spacing w:line="520" w:lineRule="exact"/>
        <w:ind w:left="0" w:leftChars="0" w:firstLine="640" w:firstLineChars="200"/>
        <w:rPr>
          <w:rFonts w:hint="eastAsia" w:ascii="仿宋_GB2312" w:hAnsi="仿宋" w:eastAsia="仿宋_GB2312"/>
          <w:b/>
          <w:bCs/>
          <w:sz w:val="32"/>
          <w:szCs w:val="32"/>
        </w:rPr>
      </w:pPr>
      <w:r>
        <w:rPr>
          <w:rFonts w:hint="eastAsia" w:ascii="仿宋_GB2312" w:hAnsi="仿宋" w:eastAsia="仿宋_GB2312"/>
          <w:b/>
          <w:bCs/>
          <w:sz w:val="32"/>
          <w:szCs w:val="32"/>
        </w:rPr>
        <w:t>机构情况。</w:t>
      </w:r>
    </w:p>
    <w:p>
      <w:pPr>
        <w:numPr>
          <w:ilvl w:val="0"/>
          <w:numId w:val="0"/>
        </w:numPr>
        <w:snapToGrid w:val="0"/>
        <w:spacing w:line="520" w:lineRule="exact"/>
        <w:ind w:firstLine="640" w:firstLineChars="200"/>
        <w:rPr>
          <w:rFonts w:hint="default" w:ascii="仿宋_GB2312" w:hAnsi="仿宋" w:eastAsia="仿宋_GB2312"/>
          <w:sz w:val="32"/>
          <w:szCs w:val="32"/>
          <w:highlight w:val="none"/>
          <w:lang w:val="en-US" w:eastAsia="zh-CN"/>
        </w:rPr>
      </w:pPr>
      <w:r>
        <w:rPr>
          <w:rFonts w:hint="eastAsia" w:ascii="仿宋_GB2312" w:hAnsi="仿宋" w:eastAsia="仿宋_GB2312"/>
          <w:sz w:val="32"/>
          <w:szCs w:val="32"/>
          <w:lang w:val="en-US" w:eastAsia="zh-CN"/>
        </w:rPr>
        <w:t>株洲市石峰区市场监督管理局是区政府工作部门，为正科级，承担区食品安全委员会日常工作。内设机构：综合办公室、行政审批股、信用监管股、市场秩序和价格监督管理股、计量认证质量标准和特种设备安全监察股、餐饮和食品生产流通安全监督管理股、药品医疗器械化妆品和特殊食品监督管理股、知识产权和商标广告监督管理股、消费者权益保护股、综合监</w:t>
      </w:r>
      <w:r>
        <w:rPr>
          <w:rFonts w:hint="eastAsia" w:ascii="仿宋_GB2312" w:hAnsi="仿宋" w:eastAsia="仿宋_GB2312"/>
          <w:sz w:val="32"/>
          <w:szCs w:val="32"/>
          <w:highlight w:val="none"/>
          <w:lang w:val="en-US" w:eastAsia="zh-CN"/>
        </w:rPr>
        <w:t>督和政策法规股、机关党委。下设5个市场监督管理所和1个股级公益一类事业单位。</w:t>
      </w:r>
    </w:p>
    <w:p>
      <w:pPr>
        <w:numPr>
          <w:ilvl w:val="0"/>
          <w:numId w:val="1"/>
        </w:numPr>
        <w:snapToGrid w:val="0"/>
        <w:spacing w:line="520" w:lineRule="exact"/>
        <w:ind w:left="0" w:leftChars="0" w:firstLine="640" w:firstLineChars="200"/>
        <w:rPr>
          <w:rFonts w:hint="eastAsia" w:ascii="仿宋_GB2312" w:hAnsi="仿宋" w:eastAsia="仿宋_GB2312"/>
          <w:b/>
          <w:bCs/>
          <w:sz w:val="32"/>
          <w:szCs w:val="32"/>
          <w:highlight w:val="none"/>
          <w:lang w:eastAsia="zh-CN"/>
        </w:rPr>
      </w:pPr>
      <w:r>
        <w:rPr>
          <w:rFonts w:hint="eastAsia" w:ascii="仿宋_GB2312" w:hAnsi="仿宋" w:eastAsia="仿宋_GB2312"/>
          <w:b/>
          <w:bCs/>
          <w:sz w:val="32"/>
          <w:szCs w:val="32"/>
          <w:highlight w:val="none"/>
        </w:rPr>
        <w:t>人员</w:t>
      </w:r>
      <w:r>
        <w:rPr>
          <w:rFonts w:hint="eastAsia" w:ascii="仿宋_GB2312" w:hAnsi="仿宋" w:eastAsia="仿宋_GB2312"/>
          <w:b/>
          <w:bCs/>
          <w:sz w:val="32"/>
          <w:szCs w:val="32"/>
          <w:highlight w:val="none"/>
          <w:lang w:eastAsia="zh-CN"/>
        </w:rPr>
        <w:t>情况</w:t>
      </w:r>
    </w:p>
    <w:p>
      <w:pPr>
        <w:numPr>
          <w:ilvl w:val="0"/>
          <w:numId w:val="0"/>
        </w:numPr>
        <w:snapToGrid w:val="0"/>
        <w:spacing w:line="520" w:lineRule="exact"/>
        <w:ind w:firstLine="640" w:firstLineChars="200"/>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编制68名，截至2023年12月31日，实有在职人员56名。</w:t>
      </w:r>
    </w:p>
    <w:p>
      <w:pPr>
        <w:numPr>
          <w:ilvl w:val="0"/>
          <w:numId w:val="0"/>
        </w:numPr>
        <w:snapToGrid w:val="0"/>
        <w:spacing w:line="520" w:lineRule="exact"/>
        <w:ind w:firstLine="640" w:firstLineChars="200"/>
        <w:rPr>
          <w:rFonts w:hint="eastAsia" w:ascii="仿宋_GB2312" w:hAnsi="仿宋" w:eastAsia="仿宋_GB2312"/>
          <w:sz w:val="32"/>
          <w:szCs w:val="32"/>
          <w:highlight w:val="none"/>
          <w:lang w:val="en-US" w:eastAsia="zh-CN"/>
        </w:rPr>
      </w:pP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二、预算收支出情况（按单位预算口径）</w:t>
      </w:r>
    </w:p>
    <w:p>
      <w:pPr>
        <w:numPr>
          <w:ilvl w:val="0"/>
          <w:numId w:val="0"/>
        </w:numPr>
        <w:snapToGrid w:val="0"/>
        <w:spacing w:line="520" w:lineRule="exact"/>
        <w:ind w:firstLine="640" w:firstLineChars="200"/>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2023</w:t>
      </w:r>
      <w:r>
        <w:rPr>
          <w:rFonts w:hint="default" w:ascii="仿宋_GB2312" w:hAnsi="仿宋" w:eastAsia="仿宋_GB2312"/>
          <w:sz w:val="32"/>
          <w:szCs w:val="32"/>
          <w:highlight w:val="none"/>
          <w:lang w:val="en-US" w:eastAsia="zh-CN"/>
        </w:rPr>
        <w:t>年预算收入</w:t>
      </w:r>
      <w:r>
        <w:rPr>
          <w:rFonts w:hint="eastAsia" w:ascii="仿宋_GB2312" w:hAnsi="仿宋" w:eastAsia="仿宋_GB2312"/>
          <w:sz w:val="32"/>
          <w:szCs w:val="32"/>
          <w:highlight w:val="none"/>
          <w:lang w:val="en-US" w:eastAsia="zh-CN"/>
        </w:rPr>
        <w:t>1359.46</w:t>
      </w:r>
      <w:r>
        <w:rPr>
          <w:rFonts w:hint="default" w:ascii="仿宋_GB2312" w:hAnsi="仿宋" w:eastAsia="仿宋_GB2312"/>
          <w:sz w:val="32"/>
          <w:szCs w:val="32"/>
          <w:highlight w:val="none"/>
          <w:lang w:val="en-US" w:eastAsia="zh-CN"/>
        </w:rPr>
        <w:t>万元，其中年初预算</w:t>
      </w:r>
      <w:r>
        <w:rPr>
          <w:rFonts w:hint="eastAsia" w:ascii="仿宋_GB2312" w:hAnsi="仿宋" w:eastAsia="仿宋_GB2312"/>
          <w:sz w:val="32"/>
          <w:szCs w:val="32"/>
          <w:highlight w:val="none"/>
          <w:lang w:val="en-US" w:eastAsia="zh-CN"/>
        </w:rPr>
        <w:t>993.19</w:t>
      </w:r>
      <w:r>
        <w:rPr>
          <w:rFonts w:hint="default" w:ascii="仿宋_GB2312" w:hAnsi="仿宋" w:eastAsia="仿宋_GB2312"/>
          <w:sz w:val="32"/>
          <w:szCs w:val="32"/>
          <w:highlight w:val="none"/>
          <w:lang w:val="en-US" w:eastAsia="zh-CN"/>
        </w:rPr>
        <w:t>万元，调整追加</w:t>
      </w:r>
      <w:r>
        <w:rPr>
          <w:rFonts w:hint="eastAsia" w:ascii="仿宋_GB2312" w:hAnsi="仿宋" w:eastAsia="仿宋_GB2312"/>
          <w:sz w:val="32"/>
          <w:szCs w:val="32"/>
          <w:highlight w:val="none"/>
          <w:lang w:val="en-US" w:eastAsia="zh-CN"/>
        </w:rPr>
        <w:t>366.27</w:t>
      </w:r>
      <w:r>
        <w:rPr>
          <w:rFonts w:hint="default" w:ascii="仿宋_GB2312" w:hAnsi="仿宋" w:eastAsia="仿宋_GB2312"/>
          <w:sz w:val="32"/>
          <w:szCs w:val="32"/>
          <w:highlight w:val="none"/>
          <w:lang w:val="en-US" w:eastAsia="zh-CN"/>
        </w:rPr>
        <w:t>万元。其他资金来源</w:t>
      </w:r>
      <w:r>
        <w:rPr>
          <w:rFonts w:hint="eastAsia" w:ascii="仿宋_GB2312" w:hAnsi="仿宋" w:eastAsia="仿宋_GB2312"/>
          <w:sz w:val="32"/>
          <w:szCs w:val="32"/>
          <w:highlight w:val="none"/>
          <w:lang w:val="en-US" w:eastAsia="zh-CN"/>
        </w:rPr>
        <w:t>2.92</w:t>
      </w:r>
      <w:r>
        <w:rPr>
          <w:rFonts w:hint="default" w:ascii="仿宋_GB2312" w:hAnsi="仿宋" w:eastAsia="仿宋_GB2312"/>
          <w:sz w:val="32"/>
          <w:szCs w:val="32"/>
          <w:highlight w:val="none"/>
          <w:lang w:val="en-US" w:eastAsia="zh-CN"/>
        </w:rPr>
        <w:t>万元。</w:t>
      </w:r>
    </w:p>
    <w:p>
      <w:pPr>
        <w:numPr>
          <w:ilvl w:val="0"/>
          <w:numId w:val="0"/>
        </w:numPr>
        <w:snapToGrid w:val="0"/>
        <w:spacing w:line="520" w:lineRule="exact"/>
        <w:ind w:firstLine="640" w:firstLineChars="200"/>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2023</w:t>
      </w:r>
      <w:r>
        <w:rPr>
          <w:rFonts w:hint="default" w:ascii="仿宋_GB2312" w:hAnsi="仿宋" w:eastAsia="仿宋_GB2312"/>
          <w:sz w:val="32"/>
          <w:szCs w:val="32"/>
          <w:highlight w:val="none"/>
          <w:lang w:val="en-US" w:eastAsia="zh-CN"/>
        </w:rPr>
        <w:t>年支出</w:t>
      </w:r>
      <w:r>
        <w:rPr>
          <w:rFonts w:hint="eastAsia" w:ascii="仿宋_GB2312" w:hAnsi="仿宋" w:eastAsia="仿宋_GB2312"/>
          <w:sz w:val="32"/>
          <w:szCs w:val="32"/>
          <w:highlight w:val="none"/>
          <w:lang w:val="en-US" w:eastAsia="zh-CN"/>
        </w:rPr>
        <w:t>1359.46</w:t>
      </w:r>
      <w:r>
        <w:rPr>
          <w:rFonts w:hint="default" w:ascii="仿宋_GB2312" w:hAnsi="仿宋" w:eastAsia="仿宋_GB2312"/>
          <w:sz w:val="32"/>
          <w:szCs w:val="32"/>
          <w:highlight w:val="none"/>
          <w:lang w:val="en-US" w:eastAsia="zh-CN"/>
        </w:rPr>
        <w:t>万元，其中基本支出</w:t>
      </w:r>
      <w:r>
        <w:rPr>
          <w:rFonts w:hint="eastAsia" w:ascii="仿宋_GB2312" w:hAnsi="仿宋" w:eastAsia="仿宋_GB2312"/>
          <w:sz w:val="32"/>
          <w:szCs w:val="32"/>
          <w:highlight w:val="none"/>
          <w:lang w:val="en-US" w:eastAsia="zh-CN"/>
        </w:rPr>
        <w:t>998.09</w:t>
      </w:r>
      <w:r>
        <w:rPr>
          <w:rFonts w:hint="default" w:ascii="仿宋_GB2312" w:hAnsi="仿宋" w:eastAsia="仿宋_GB2312"/>
          <w:sz w:val="32"/>
          <w:szCs w:val="32"/>
          <w:highlight w:val="none"/>
          <w:lang w:val="en-US" w:eastAsia="zh-CN"/>
        </w:rPr>
        <w:t>万元，项目支出</w:t>
      </w:r>
      <w:r>
        <w:rPr>
          <w:rFonts w:hint="eastAsia" w:ascii="仿宋_GB2312" w:hAnsi="仿宋" w:eastAsia="仿宋_GB2312"/>
          <w:sz w:val="32"/>
          <w:szCs w:val="32"/>
          <w:highlight w:val="none"/>
          <w:lang w:val="en-US" w:eastAsia="zh-CN"/>
        </w:rPr>
        <w:t>361.37</w:t>
      </w:r>
      <w:r>
        <w:rPr>
          <w:rFonts w:hint="default" w:ascii="仿宋_GB2312" w:hAnsi="仿宋" w:eastAsia="仿宋_GB2312"/>
          <w:sz w:val="32"/>
          <w:szCs w:val="32"/>
          <w:highlight w:val="none"/>
          <w:lang w:val="en-US" w:eastAsia="zh-CN"/>
        </w:rPr>
        <w:t>万元，结余结转</w:t>
      </w:r>
      <w:r>
        <w:rPr>
          <w:rFonts w:hint="eastAsia" w:ascii="仿宋_GB2312" w:hAnsi="仿宋" w:eastAsia="仿宋_GB2312"/>
          <w:sz w:val="32"/>
          <w:szCs w:val="32"/>
          <w:highlight w:val="none"/>
          <w:lang w:val="en-US" w:eastAsia="zh-CN"/>
        </w:rPr>
        <w:t>0</w:t>
      </w:r>
      <w:r>
        <w:rPr>
          <w:rFonts w:hint="default" w:ascii="仿宋_GB2312" w:hAnsi="仿宋" w:eastAsia="仿宋_GB2312"/>
          <w:sz w:val="32"/>
          <w:szCs w:val="32"/>
          <w:highlight w:val="none"/>
          <w:lang w:val="en-US" w:eastAsia="zh-CN"/>
        </w:rPr>
        <w:t>万元。</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三、资金使用及绩效情况（包含单位管理的公共专项）</w:t>
      </w:r>
    </w:p>
    <w:p>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rPr>
        <w:t>（一）整体支出绩效情况</w:t>
      </w:r>
    </w:p>
    <w:p>
      <w:pPr>
        <w:numPr>
          <w:ilvl w:val="0"/>
          <w:numId w:val="0"/>
        </w:numPr>
        <w:snapToGrid w:val="0"/>
        <w:spacing w:line="520" w:lineRule="exact"/>
        <w:ind w:firstLine="640" w:firstLineChars="200"/>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2023年，全年整体支出1359.46万元。我单位</w:t>
      </w:r>
      <w:r>
        <w:rPr>
          <w:rFonts w:hint="default" w:ascii="仿宋_GB2312" w:hAnsi="仿宋" w:eastAsia="仿宋_GB2312"/>
          <w:sz w:val="32"/>
          <w:szCs w:val="32"/>
          <w:highlight w:val="none"/>
          <w:lang w:val="en-US" w:eastAsia="zh-CN"/>
        </w:rPr>
        <w:t>立足岗位、创新思路、敢闯敢干全年各项工作取得了明显成效，在全市打造“三个高地”竞赛评比中，夺得第四季度经营主体培育考核单项季军，被评为市文明建设先进单位。</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1.</w:t>
      </w:r>
      <w:r>
        <w:rPr>
          <w:rFonts w:hint="default" w:ascii="黑体" w:hAnsi="黑体" w:eastAsia="黑体" w:cs="黑体"/>
          <w:b w:val="0"/>
          <w:bCs w:val="0"/>
          <w:color w:val="000000"/>
          <w:sz w:val="32"/>
          <w:szCs w:val="32"/>
          <w:lang w:val="en-US" w:eastAsia="zh-CN"/>
        </w:rPr>
        <w:t>深化商事制度改革，经营活力不断迸发</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仿宋" w:eastAsia="仿宋_GB2312"/>
          <w:sz w:val="32"/>
          <w:szCs w:val="32"/>
          <w:highlight w:val="none"/>
          <w:lang w:val="en-US" w:eastAsia="zh-CN"/>
        </w:rPr>
      </w:pPr>
      <w:r>
        <w:rPr>
          <w:rFonts w:hint="default" w:ascii="Times New Roman" w:hAnsi="Times New Roman" w:eastAsia="仿宋_GB2312" w:cs="Times New Roman"/>
          <w:b/>
          <w:bCs/>
          <w:i w:val="0"/>
          <w:sz w:val="32"/>
          <w:szCs w:val="32"/>
          <w:lang w:val="en-US" w:eastAsia="zh-CN"/>
        </w:rPr>
        <w:t>一是提升登记审批便捷度。</w:t>
      </w:r>
      <w:r>
        <w:rPr>
          <w:rFonts w:hint="default" w:ascii="仿宋_GB2312" w:hAnsi="仿宋" w:eastAsia="仿宋_GB2312"/>
          <w:sz w:val="32"/>
          <w:szCs w:val="32"/>
          <w:highlight w:val="none"/>
          <w:lang w:val="en-US" w:eastAsia="zh-CN"/>
        </w:rPr>
        <w:t>持续推进企业开办、“证照分离”“一件事一次办”企业注销“三化”改革，全面实现线上“一网通办”、线下“一窗通办”融合，提升工作效能。2023年完成企业许可登记5487户，个体工商户许可登记7728户，食品餐饮许可登记1181户；办理电梯使用登记375台、叉车使用登记119台，特种设备安全管理和作业人员证新发证3081本、复审691本。</w:t>
      </w:r>
      <w:r>
        <w:rPr>
          <w:rFonts w:hint="default" w:ascii="Times New Roman" w:hAnsi="Times New Roman" w:eastAsia="仿宋_GB2312" w:cs="Times New Roman"/>
          <w:b/>
          <w:bCs/>
          <w:i w:val="0"/>
          <w:sz w:val="32"/>
          <w:szCs w:val="32"/>
          <w:lang w:val="en-US" w:eastAsia="zh-CN"/>
        </w:rPr>
        <w:t>二是开辟“个转企”绿色通道。</w:t>
      </w:r>
      <w:r>
        <w:rPr>
          <w:rFonts w:hint="default" w:ascii="仿宋_GB2312" w:hAnsi="仿宋" w:eastAsia="仿宋_GB2312"/>
          <w:sz w:val="32"/>
          <w:szCs w:val="32"/>
          <w:highlight w:val="none"/>
          <w:lang w:val="en-US" w:eastAsia="zh-CN"/>
        </w:rPr>
        <w:t>推动《促进个体工商户发展条例》落细落实，切实提高政策知晓度和惠及面，提振从业信心，2023年“个转企”新增251户，完成市下达任务的121.8%。</w:t>
      </w:r>
      <w:r>
        <w:rPr>
          <w:rFonts w:hint="default" w:ascii="Times New Roman" w:hAnsi="Times New Roman" w:eastAsia="仿宋_GB2312" w:cs="Times New Roman"/>
          <w:b/>
          <w:bCs/>
          <w:i w:val="0"/>
          <w:sz w:val="32"/>
          <w:szCs w:val="32"/>
          <w:lang w:val="en-US" w:eastAsia="zh-CN"/>
        </w:rPr>
        <w:t>三是多举措培育壮大经营主体。</w:t>
      </w:r>
      <w:r>
        <w:rPr>
          <w:rFonts w:hint="default" w:ascii="仿宋_GB2312" w:hAnsi="仿宋" w:eastAsia="仿宋_GB2312"/>
          <w:sz w:val="32"/>
          <w:szCs w:val="32"/>
          <w:highlight w:val="none"/>
          <w:lang w:val="en-US" w:eastAsia="zh-CN"/>
        </w:rPr>
        <w:t>着力推进企业裂变和特色街区培育行动，彰显石峰区域特色，全区净增市场主体9260户，完成率105.56%；其中企业净增3956户，完成率99.75%；实有企业占比37.05%；实有法人企业占比79.67%，在全市打造“三个高地”竞赛评比中，夺得2023年第四季度经营主体培育考核单项季军。</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2.</w:t>
      </w:r>
      <w:r>
        <w:rPr>
          <w:rFonts w:hint="default" w:ascii="黑体" w:hAnsi="黑体" w:eastAsia="黑体" w:cs="黑体"/>
          <w:b w:val="0"/>
          <w:bCs w:val="0"/>
          <w:color w:val="000000"/>
          <w:sz w:val="32"/>
          <w:szCs w:val="32"/>
          <w:lang w:val="en-US" w:eastAsia="zh-CN"/>
        </w:rPr>
        <w:t>加强市场秩序治理，消费环境不断优化</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仿宋" w:eastAsia="仿宋_GB2312"/>
          <w:sz w:val="32"/>
          <w:szCs w:val="32"/>
          <w:highlight w:val="none"/>
          <w:lang w:val="en-US" w:eastAsia="zh-CN"/>
        </w:rPr>
      </w:pPr>
      <w:r>
        <w:rPr>
          <w:rFonts w:hint="default" w:ascii="Times New Roman" w:hAnsi="Times New Roman" w:eastAsia="仿宋_GB2312" w:cs="Times New Roman"/>
          <w:b/>
          <w:bCs/>
          <w:i w:val="0"/>
          <w:sz w:val="32"/>
          <w:szCs w:val="32"/>
          <w:lang w:val="en-US" w:eastAsia="zh-CN"/>
        </w:rPr>
        <w:t>一是</w:t>
      </w:r>
      <w:r>
        <w:rPr>
          <w:rFonts w:hint="default" w:ascii="Times New Roman" w:hAnsi="Times New Roman" w:eastAsia="仿宋_GB2312" w:cs="Times New Roman"/>
          <w:b/>
          <w:bCs/>
          <w:sz w:val="32"/>
          <w:szCs w:val="32"/>
          <w:lang w:val="en-US" w:eastAsia="zh-CN"/>
        </w:rPr>
        <w:t>消费维权履责尽职。</w:t>
      </w:r>
      <w:r>
        <w:rPr>
          <w:rFonts w:hint="default" w:ascii="仿宋_GB2312" w:hAnsi="仿宋" w:eastAsia="仿宋_GB2312"/>
          <w:sz w:val="32"/>
          <w:szCs w:val="32"/>
          <w:highlight w:val="none"/>
          <w:lang w:val="en-US" w:eastAsia="zh-CN"/>
        </w:rPr>
        <w:t>2023年，受理各平台投诉举报共计6369起，争议金额429.93万元，为消费者挽回经济损失6.9万元，全国12315平台办结率97.46%，区12345消费者投诉举报办结率100%。积极查办投诉集中的网络教培机构案件1119起（其中信访171起、投诉举报948起），立案调查4起，列入经营异常11户，挽回经济损失252万元。</w:t>
      </w:r>
      <w:r>
        <w:rPr>
          <w:rFonts w:hint="default" w:ascii="Times New Roman" w:hAnsi="Times New Roman" w:eastAsia="仿宋_GB2312" w:cs="Times New Roman"/>
          <w:b/>
          <w:bCs/>
          <w:sz w:val="32"/>
          <w:szCs w:val="32"/>
          <w:highlight w:val="none"/>
          <w:lang w:val="en-US" w:eastAsia="zh-CN"/>
        </w:rPr>
        <w:t>二是公平竞争秩序规范。</w:t>
      </w:r>
      <w:r>
        <w:rPr>
          <w:rFonts w:hint="default" w:ascii="仿宋_GB2312" w:hAnsi="仿宋" w:eastAsia="仿宋_GB2312"/>
          <w:sz w:val="32"/>
          <w:szCs w:val="32"/>
          <w:highlight w:val="none"/>
          <w:lang w:val="en-US" w:eastAsia="zh-CN"/>
        </w:rPr>
        <w:t>深入落实公平竞争审查制度，牵头推进全区公平竞争审查工作，清理政策措施文件305件，废止问题文件5件；清理招投标、政采云公开竞价等事项48件，审查率100%。</w:t>
      </w:r>
      <w:r>
        <w:rPr>
          <w:rFonts w:hint="default" w:ascii="Times New Roman" w:hAnsi="Times New Roman" w:eastAsia="仿宋_GB2312" w:cs="Times New Roman"/>
          <w:b/>
          <w:bCs/>
          <w:i w:val="0"/>
          <w:sz w:val="32"/>
          <w:szCs w:val="32"/>
          <w:lang w:val="en-US" w:eastAsia="zh-CN"/>
        </w:rPr>
        <w:t>三是信用监管深入推进。</w:t>
      </w:r>
      <w:r>
        <w:rPr>
          <w:rFonts w:hint="default" w:ascii="仿宋_GB2312" w:hAnsi="仿宋" w:eastAsia="仿宋_GB2312"/>
          <w:sz w:val="32"/>
          <w:szCs w:val="32"/>
          <w:highlight w:val="none"/>
          <w:lang w:val="en-US" w:eastAsia="zh-CN"/>
        </w:rPr>
        <w:t>扎实做好企业年报和“互联网+监管”工作，强化信用约束措施，完善信用监管机制。企业年报率达94.72%，创全市纪录，在全市各县市区中排名第一，“互联网+监管”事项覆盖率达100%，目录清单梳理100%，行政检查完成率和详实率均为100%。全面实施“双随机、一公开”监管，推动信用监管、食品安全监管、质量认证认等监管领域开展“双随机</w:t>
      </w:r>
      <w:r>
        <w:rPr>
          <w:rFonts w:hint="eastAsia" w:ascii="仿宋_GB2312" w:hAnsi="仿宋" w:eastAsia="仿宋_GB2312"/>
          <w:sz w:val="32"/>
          <w:szCs w:val="32"/>
          <w:highlight w:val="none"/>
          <w:lang w:val="en-US" w:eastAsia="zh-CN"/>
        </w:rPr>
        <w:t>、</w:t>
      </w:r>
      <w:r>
        <w:rPr>
          <w:rFonts w:hint="default" w:ascii="仿宋_GB2312" w:hAnsi="仿宋" w:eastAsia="仿宋_GB2312"/>
          <w:sz w:val="32"/>
          <w:szCs w:val="32"/>
          <w:highlight w:val="none"/>
          <w:lang w:val="en-US" w:eastAsia="zh-CN"/>
        </w:rPr>
        <w:t>一公开”监督抽查工作，抽查工作覆盖率达100%，公示率100%。</w:t>
      </w:r>
      <w:r>
        <w:rPr>
          <w:rFonts w:hint="default" w:ascii="Times New Roman" w:hAnsi="Times New Roman" w:eastAsia="仿宋_GB2312" w:cs="Times New Roman"/>
          <w:b/>
          <w:bCs/>
          <w:i w:val="0"/>
          <w:sz w:val="32"/>
          <w:szCs w:val="32"/>
          <w:lang w:val="en-US" w:eastAsia="zh-CN"/>
        </w:rPr>
        <w:t>三是价格监管扎实有效。</w:t>
      </w:r>
      <w:r>
        <w:rPr>
          <w:rFonts w:hint="default" w:ascii="仿宋_GB2312" w:hAnsi="仿宋" w:eastAsia="仿宋_GB2312"/>
          <w:sz w:val="32"/>
          <w:szCs w:val="32"/>
          <w:highlight w:val="none"/>
          <w:lang w:val="en-US" w:eastAsia="zh-CN"/>
        </w:rPr>
        <w:t>开展涉疫药品和医疗用品稳价保质专项行动，在全市率先查处1起违法高价销售涉疫用品案件；牵头对养老机构、保健品店等经营主体共计39家开展价格检查，整治教育乱收费学校7家、培训机构2家。</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3.</w:t>
      </w:r>
      <w:r>
        <w:rPr>
          <w:rFonts w:hint="default" w:ascii="黑体" w:hAnsi="黑体" w:eastAsia="黑体" w:cs="黑体"/>
          <w:b w:val="0"/>
          <w:bCs w:val="0"/>
          <w:color w:val="000000"/>
          <w:sz w:val="32"/>
          <w:szCs w:val="32"/>
          <w:lang w:val="en-US" w:eastAsia="zh-CN"/>
        </w:rPr>
        <w:t>着力“两强”战略，发展质量不断增强</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仿宋" w:eastAsia="仿宋_GB2312"/>
          <w:sz w:val="32"/>
          <w:szCs w:val="32"/>
          <w:highlight w:val="none"/>
          <w:lang w:val="en-US" w:eastAsia="zh-CN"/>
        </w:rPr>
      </w:pPr>
      <w:r>
        <w:rPr>
          <w:rFonts w:hint="default" w:ascii="Times New Roman" w:hAnsi="Times New Roman" w:eastAsia="仿宋_GB2312" w:cs="Times New Roman"/>
          <w:b/>
          <w:bCs w:val="0"/>
          <w:i w:val="0"/>
          <w:sz w:val="32"/>
          <w:szCs w:val="32"/>
          <w:lang w:val="en-US" w:eastAsia="zh-CN"/>
        </w:rPr>
        <w:t>一是推进知识产权强区战略，强化知产权保护。</w:t>
      </w:r>
      <w:r>
        <w:rPr>
          <w:rFonts w:hint="default" w:ascii="仿宋_GB2312" w:hAnsi="仿宋" w:eastAsia="仿宋_GB2312"/>
          <w:sz w:val="32"/>
          <w:szCs w:val="32"/>
          <w:highlight w:val="none"/>
          <w:lang w:val="en-US" w:eastAsia="zh-CN"/>
        </w:rPr>
        <w:t>举办知识产权宣传周活动、推进知识产权进企业、进社区、进校门“三进”活动，强化新政策新精神的宣传，提升公众对知识产权保护的认知度；广泛开展普及型教育和专业培训指导企事业单位知识产权业务，指导企业保护好、运用好商标品牌，为企业提供精准商标注册便利化服务。2023年全区专利累计授权量1438件（其中发明专利授权610件，实用新型710件，外观设计118件），有效发明专利量4796件，每万人发明专利拥有量142件，每万人发明专利拥有量县区排名全市第一，全省第二，高价值发明专利拥有量2297件，占全市的51%。</w:t>
      </w:r>
      <w:r>
        <w:rPr>
          <w:rFonts w:hint="default" w:ascii="Times New Roman" w:hAnsi="Times New Roman" w:eastAsia="仿宋_GB2312" w:cs="Times New Roman"/>
          <w:b/>
          <w:bCs w:val="0"/>
          <w:i w:val="0"/>
          <w:sz w:val="32"/>
          <w:szCs w:val="32"/>
          <w:lang w:val="en-US" w:eastAsia="zh-CN"/>
        </w:rPr>
        <w:t>二是着力质量强区战略，致力质量发展提升。</w:t>
      </w:r>
      <w:r>
        <w:rPr>
          <w:rFonts w:hint="default" w:ascii="仿宋_GB2312" w:hAnsi="仿宋" w:eastAsia="仿宋_GB2312"/>
          <w:sz w:val="32"/>
          <w:szCs w:val="32"/>
          <w:highlight w:val="none"/>
          <w:lang w:val="en-US" w:eastAsia="zh-CN"/>
        </w:rPr>
        <w:t>抓组织领导，成立石峰区质量强区工作领导小组，制定《2023年度质量强区工作实施方案》《石峰区品牌提升工程行动计划》，对质量强区建设作出统一安排部署。抓认证认可，组织小微企业参加培训，鼓励指导138家企业申报并通过ISO9001质量体系认证。抓质量标准化，促进标准化工程发展，协调落实“主导制定国际标准IEC63076：2019”“城市轨道交通中低速磁浮车辆悬浮控制系统技术条件”两项目专项资金10万元。抓一站式服务，与第三方质量科学研究机构合作，开展质量建设系列工作，搭建质量基础设施一站式服务云平台，打造质量“一站式”服务站，打破企业服务孤岛，实现企业服务“一站通”。</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4.</w:t>
      </w:r>
      <w:r>
        <w:rPr>
          <w:rFonts w:hint="default" w:ascii="黑体" w:hAnsi="黑体" w:eastAsia="黑体" w:cs="黑体"/>
          <w:b w:val="0"/>
          <w:bCs w:val="0"/>
          <w:color w:val="000000"/>
          <w:sz w:val="32"/>
          <w:szCs w:val="32"/>
          <w:lang w:val="en-US" w:eastAsia="zh-CN"/>
        </w:rPr>
        <w:t>加大执法监管力度，安全底线持续巩固</w:t>
      </w:r>
    </w:p>
    <w:p>
      <w:pPr>
        <w:tabs>
          <w:tab w:val="left" w:pos="7560"/>
        </w:tabs>
        <w:adjustRightInd w:val="0"/>
        <w:snapToGrid w:val="0"/>
        <w:spacing w:line="540" w:lineRule="exact"/>
        <w:ind w:firstLine="640" w:firstLineChars="200"/>
        <w:jc w:val="left"/>
        <w:rPr>
          <w:rFonts w:hint="default" w:ascii="仿宋_GB2312" w:hAnsi="仿宋" w:eastAsia="仿宋_GB2312"/>
          <w:sz w:val="32"/>
          <w:szCs w:val="32"/>
          <w:highlight w:val="none"/>
          <w:lang w:val="en-US" w:eastAsia="zh-CN"/>
        </w:rPr>
      </w:pPr>
      <w:r>
        <w:rPr>
          <w:rFonts w:hint="default" w:ascii="Times New Roman" w:hAnsi="Times New Roman" w:eastAsia="仿宋_GB2312" w:cs="Times New Roman"/>
          <w:b/>
          <w:bCs w:val="0"/>
          <w:i w:val="0"/>
          <w:sz w:val="32"/>
          <w:szCs w:val="32"/>
          <w:lang w:val="en-US" w:eastAsia="zh-CN"/>
        </w:rPr>
        <w:t>一是严格</w:t>
      </w:r>
      <w:r>
        <w:rPr>
          <w:rFonts w:hint="default" w:ascii="Times New Roman" w:hAnsi="Times New Roman" w:eastAsia="仿宋_GB2312" w:cs="Times New Roman"/>
          <w:b/>
          <w:bCs/>
          <w:kern w:val="2"/>
          <w:sz w:val="32"/>
          <w:szCs w:val="32"/>
          <w:lang w:val="en-US" w:eastAsia="zh-CN" w:bidi="ar-SA"/>
        </w:rPr>
        <w:t>食品安全监管。</w:t>
      </w:r>
      <w:r>
        <w:rPr>
          <w:rFonts w:hint="default" w:ascii="仿宋_GB2312" w:hAnsi="仿宋" w:eastAsia="仿宋_GB2312"/>
          <w:sz w:val="32"/>
          <w:szCs w:val="32"/>
          <w:highlight w:val="none"/>
          <w:lang w:val="en-US" w:eastAsia="zh-CN"/>
        </w:rPr>
        <w:t>落实食品安全“两个责任”机制，建立完善包保制度；成立创文巩卫食品安全督察组，抽调全局精干力量，沉入到创文巩卫一线检查整改；科学监督抽检工作，累计完成食品及食用农产品监督抽检753批次，依法依规办结各级核查处置54起，同时针对烧烤夜宵经营主体开展专项抽检全覆盖；积极开展“机关事业单位食堂专项整治行动”等20余个食品安全执法专项行动。</w:t>
      </w:r>
      <w:r>
        <w:rPr>
          <w:rFonts w:hint="default" w:ascii="Times New Roman" w:hAnsi="Times New Roman" w:eastAsia="仿宋_GB2312" w:cs="Times New Roman"/>
          <w:b/>
          <w:bCs/>
          <w:sz w:val="32"/>
          <w:szCs w:val="32"/>
          <w:lang w:val="en-US" w:eastAsia="zh-CN"/>
        </w:rPr>
        <w:t>二是强化药品器械安全监管。</w:t>
      </w:r>
      <w:r>
        <w:rPr>
          <w:rFonts w:hint="default" w:ascii="仿宋_GB2312" w:hAnsi="仿宋" w:eastAsia="仿宋_GB2312"/>
          <w:sz w:val="32"/>
          <w:szCs w:val="32"/>
          <w:highlight w:val="none"/>
          <w:lang w:val="en-US" w:eastAsia="zh-CN"/>
        </w:rPr>
        <w:t>强化部门联合执法，推动药械化全链条监管，办理一般程序药械化行政处罚案件34起，下达行政处罚决定书34起，结案34起。</w:t>
      </w:r>
      <w:r>
        <w:rPr>
          <w:rFonts w:hint="default" w:ascii="Times New Roman" w:hAnsi="Times New Roman" w:eastAsia="仿宋_GB2312" w:cs="Times New Roman"/>
          <w:b/>
          <w:bCs/>
          <w:sz w:val="32"/>
          <w:szCs w:val="32"/>
          <w:highlight w:val="none"/>
          <w:lang w:val="en-US" w:eastAsia="zh-CN"/>
        </w:rPr>
        <w:t>三是加强特种设备安全监管。</w:t>
      </w:r>
      <w:r>
        <w:rPr>
          <w:rFonts w:hint="default" w:ascii="仿宋_GB2312" w:hAnsi="仿宋" w:eastAsia="仿宋_GB2312"/>
          <w:sz w:val="32"/>
          <w:szCs w:val="32"/>
          <w:highlight w:val="none"/>
          <w:lang w:val="en-US" w:eastAsia="zh-CN"/>
        </w:rPr>
        <w:t>组织特种设备重大事故隐患排查，发现并及时整治安全隐患44处，下达安全监察指令书44份；重拳整治市场叉车使用不规范的乱象立案17起，已结案10起。</w:t>
      </w:r>
      <w:r>
        <w:rPr>
          <w:rFonts w:hint="default" w:ascii="Times New Roman" w:hAnsi="Times New Roman" w:eastAsia="仿宋_GB2312" w:cs="Times New Roman"/>
          <w:b/>
          <w:bCs/>
          <w:sz w:val="32"/>
          <w:szCs w:val="32"/>
          <w:highlight w:val="none"/>
          <w:lang w:val="en-US" w:eastAsia="zh-CN"/>
        </w:rPr>
        <w:t>四是加强工业产品质量安全监管。</w:t>
      </w:r>
      <w:r>
        <w:rPr>
          <w:rFonts w:hint="default" w:ascii="仿宋_GB2312" w:hAnsi="仿宋" w:eastAsia="仿宋_GB2312"/>
          <w:sz w:val="32"/>
          <w:szCs w:val="32"/>
          <w:highlight w:val="none"/>
          <w:lang w:val="en-US" w:eastAsia="zh-CN"/>
        </w:rPr>
        <w:t>完成100个批次的重点工业产品质量抽检工作；开展燃气器具及相关产品质量安全、交通顽瘴痼疾电动车质量安全风险、加油站计量专项检查行动等一系列专项整治行动；组织成立醇基燃料专项整治办公室，对全区91家醇基燃料使用单位和4家经营单位进行全覆盖摸排，完成隐患整改32家。全年没有发生一起一般以上安全生产事故。</w:t>
      </w:r>
    </w:p>
    <w:p>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（二）项目支出绩效情况</w:t>
      </w:r>
    </w:p>
    <w:p>
      <w:pPr>
        <w:tabs>
          <w:tab w:val="left" w:pos="7560"/>
        </w:tabs>
        <w:adjustRightInd w:val="0"/>
        <w:snapToGrid w:val="0"/>
        <w:spacing w:line="540" w:lineRule="exact"/>
        <w:ind w:firstLine="640" w:firstLineChars="200"/>
        <w:jc w:val="left"/>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2023年我单位项目支出总金额为361.37万元，具体情况下如下：</w:t>
      </w:r>
    </w:p>
    <w:p>
      <w:pPr>
        <w:tabs>
          <w:tab w:val="left" w:pos="7560"/>
        </w:tabs>
        <w:adjustRightInd w:val="0"/>
        <w:snapToGrid w:val="0"/>
        <w:spacing w:line="540" w:lineRule="exact"/>
        <w:ind w:firstLine="640" w:firstLineChars="200"/>
        <w:jc w:val="left"/>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1.“市场及食品药品监管专项”</w:t>
      </w:r>
      <w:r>
        <w:rPr>
          <w:rFonts w:hint="default" w:ascii="仿宋_GB2312" w:hAnsi="仿宋" w:eastAsia="仿宋_GB2312"/>
          <w:sz w:val="32"/>
          <w:szCs w:val="32"/>
          <w:highlight w:val="none"/>
          <w:lang w:val="en-US" w:eastAsia="zh-CN"/>
        </w:rPr>
        <w:t>年初预算金额</w:t>
      </w:r>
      <w:r>
        <w:rPr>
          <w:rFonts w:hint="eastAsia" w:ascii="仿宋_GB2312" w:hAnsi="仿宋" w:eastAsia="仿宋_GB2312"/>
          <w:sz w:val="32"/>
          <w:szCs w:val="32"/>
          <w:highlight w:val="none"/>
          <w:lang w:val="en-US" w:eastAsia="zh-CN"/>
        </w:rPr>
        <w:t>70</w:t>
      </w:r>
      <w:r>
        <w:rPr>
          <w:rFonts w:hint="default" w:ascii="仿宋_GB2312" w:hAnsi="仿宋" w:eastAsia="仿宋_GB2312"/>
          <w:sz w:val="32"/>
          <w:szCs w:val="32"/>
          <w:highlight w:val="none"/>
          <w:lang w:val="en-US" w:eastAsia="zh-CN"/>
        </w:rPr>
        <w:t>万元</w:t>
      </w:r>
      <w:r>
        <w:rPr>
          <w:rFonts w:hint="eastAsia" w:ascii="仿宋_GB2312" w:hAnsi="仿宋" w:eastAsia="仿宋_GB2312"/>
          <w:sz w:val="32"/>
          <w:szCs w:val="32"/>
          <w:highlight w:val="none"/>
          <w:lang w:val="en-US" w:eastAsia="zh-CN"/>
        </w:rPr>
        <w:t>,追加69.88万元，实际支出139.98万元。项目实施及绩效情况如下：</w:t>
      </w:r>
    </w:p>
    <w:p>
      <w:pPr>
        <w:tabs>
          <w:tab w:val="left" w:pos="7560"/>
        </w:tabs>
        <w:adjustRightInd w:val="0"/>
        <w:snapToGrid w:val="0"/>
        <w:spacing w:line="540" w:lineRule="exact"/>
        <w:ind w:firstLine="640" w:firstLineChars="200"/>
        <w:jc w:val="left"/>
        <w:rPr>
          <w:rFonts w:hint="eastAsia" w:ascii="仿宋_GB2312" w:hAnsi="仿宋" w:eastAsia="仿宋_GB2312"/>
          <w:sz w:val="32"/>
          <w:szCs w:val="32"/>
          <w:highlight w:val="none"/>
          <w:lang w:val="en-US" w:eastAsia="zh-CN"/>
        </w:rPr>
      </w:pPr>
      <w:r>
        <w:rPr>
          <w:rFonts w:hint="default" w:ascii="仿宋_GB2312" w:hAnsi="仿宋" w:eastAsia="仿宋_GB2312"/>
          <w:sz w:val="32"/>
          <w:szCs w:val="32"/>
          <w:highlight w:val="none"/>
          <w:lang w:val="en-US" w:eastAsia="zh-CN"/>
        </w:rPr>
        <w:t>一是深化商事制度改革，经营活力不断迸发</w:t>
      </w:r>
      <w:r>
        <w:rPr>
          <w:rFonts w:hint="eastAsia" w:ascii="仿宋_GB2312" w:hAnsi="仿宋" w:eastAsia="仿宋_GB2312"/>
          <w:sz w:val="32"/>
          <w:szCs w:val="32"/>
          <w:highlight w:val="none"/>
          <w:lang w:val="en-US" w:eastAsia="zh-CN"/>
        </w:rPr>
        <w:t>。</w:t>
      </w:r>
      <w:r>
        <w:rPr>
          <w:rFonts w:hint="default" w:ascii="仿宋_GB2312" w:hAnsi="仿宋" w:eastAsia="仿宋_GB2312"/>
          <w:sz w:val="32"/>
          <w:szCs w:val="32"/>
          <w:highlight w:val="none"/>
          <w:lang w:val="en-US" w:eastAsia="zh-CN"/>
        </w:rPr>
        <w:t>2023年完成企业许可登记5487户，个体工商户许可登记7728户，食品餐饮许可登记1181户；推动《促进个体工商户发展条例》落细落实，切实提高政策知晓度和惠及面，提振从业信心，2023年“个转企”新增251户，完成市下达任务的121.8%。</w:t>
      </w:r>
      <w:r>
        <w:rPr>
          <w:rFonts w:hint="eastAsia" w:ascii="仿宋_GB2312" w:hAnsi="仿宋" w:eastAsia="仿宋_GB2312"/>
          <w:sz w:val="32"/>
          <w:szCs w:val="32"/>
          <w:highlight w:val="none"/>
          <w:lang w:val="en-US" w:eastAsia="zh-CN"/>
        </w:rPr>
        <w:t>全面推进企业登记全程电子化改革及电子营业执照的应用，通过加大宣传力度，加强全程电子化系统操作业务指导，提高全区电子化率。2023年共受理全程电子化登记</w:t>
      </w:r>
      <w:r>
        <w:rPr>
          <w:rFonts w:hint="default" w:ascii="仿宋_GB2312" w:hAnsi="仿宋" w:eastAsia="仿宋_GB2312"/>
          <w:sz w:val="32"/>
          <w:szCs w:val="32"/>
          <w:highlight w:val="none"/>
          <w:lang w:val="en-US" w:eastAsia="zh-CN"/>
        </w:rPr>
        <w:t>7959</w:t>
      </w:r>
      <w:r>
        <w:rPr>
          <w:rFonts w:hint="eastAsia" w:ascii="仿宋_GB2312" w:hAnsi="仿宋" w:eastAsia="仿宋_GB2312"/>
          <w:sz w:val="32"/>
          <w:szCs w:val="32"/>
          <w:highlight w:val="none"/>
          <w:lang w:val="en-US" w:eastAsia="zh-CN"/>
        </w:rPr>
        <w:t>件，审核通过</w:t>
      </w:r>
      <w:r>
        <w:rPr>
          <w:rFonts w:hint="default" w:ascii="仿宋_GB2312" w:hAnsi="仿宋" w:eastAsia="仿宋_GB2312"/>
          <w:sz w:val="32"/>
          <w:szCs w:val="32"/>
          <w:highlight w:val="none"/>
          <w:lang w:val="en-US" w:eastAsia="zh-CN"/>
        </w:rPr>
        <w:t>7721</w:t>
      </w:r>
      <w:r>
        <w:rPr>
          <w:rFonts w:hint="eastAsia" w:ascii="仿宋_GB2312" w:hAnsi="仿宋" w:eastAsia="仿宋_GB2312"/>
          <w:sz w:val="32"/>
          <w:szCs w:val="32"/>
          <w:highlight w:val="none"/>
          <w:lang w:val="en-US" w:eastAsia="zh-CN"/>
        </w:rPr>
        <w:t>件，企业开办电子化率达83.26%。</w:t>
      </w:r>
    </w:p>
    <w:p>
      <w:pPr>
        <w:tabs>
          <w:tab w:val="left" w:pos="7560"/>
        </w:tabs>
        <w:adjustRightInd w:val="0"/>
        <w:snapToGrid w:val="0"/>
        <w:spacing w:line="540" w:lineRule="exact"/>
        <w:ind w:firstLine="640" w:firstLineChars="200"/>
        <w:jc w:val="left"/>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二是</w:t>
      </w:r>
      <w:r>
        <w:rPr>
          <w:rFonts w:hint="default" w:ascii="仿宋_GB2312" w:hAnsi="仿宋" w:eastAsia="仿宋_GB2312"/>
          <w:sz w:val="32"/>
          <w:szCs w:val="32"/>
          <w:highlight w:val="none"/>
          <w:lang w:val="en-US" w:eastAsia="zh-CN"/>
        </w:rPr>
        <w:t>加强市场秩序治理，消费环境不断优化</w:t>
      </w:r>
      <w:r>
        <w:rPr>
          <w:rFonts w:hint="eastAsia" w:ascii="仿宋_GB2312" w:hAnsi="仿宋" w:eastAsia="仿宋_GB2312"/>
          <w:sz w:val="32"/>
          <w:szCs w:val="32"/>
          <w:highlight w:val="none"/>
          <w:lang w:val="en-US" w:eastAsia="zh-CN"/>
        </w:rPr>
        <w:t>。1.</w:t>
      </w:r>
      <w:r>
        <w:rPr>
          <w:rFonts w:hint="default" w:ascii="仿宋_GB2312" w:hAnsi="仿宋" w:eastAsia="仿宋_GB2312"/>
          <w:sz w:val="32"/>
          <w:szCs w:val="32"/>
          <w:highlight w:val="none"/>
          <w:lang w:val="en-US" w:eastAsia="zh-CN"/>
        </w:rPr>
        <w:t>消费维权履责尽职。2023年，受理各平台投诉举报共计6369起，争议金额429.93万元，为消费者挽回经济损失6.9万元，全国12315平台办结率97.46%，区12345消费者投诉举报办结率100%。积极查办投诉集中的网络教培机构案件1119起（其中信访171起、投诉举报948起），立案调查4起，列入经营异常11户，挽回经济损失252万元。</w:t>
      </w:r>
      <w:r>
        <w:rPr>
          <w:rFonts w:hint="eastAsia" w:ascii="仿宋_GB2312" w:hAnsi="仿宋" w:eastAsia="仿宋_GB2312"/>
          <w:sz w:val="32"/>
          <w:szCs w:val="32"/>
          <w:highlight w:val="none"/>
          <w:lang w:val="en-US" w:eastAsia="zh-CN"/>
        </w:rPr>
        <w:t>2.</w:t>
      </w:r>
      <w:r>
        <w:rPr>
          <w:rFonts w:hint="default" w:ascii="仿宋_GB2312" w:hAnsi="仿宋" w:eastAsia="仿宋_GB2312"/>
          <w:sz w:val="32"/>
          <w:szCs w:val="32"/>
          <w:highlight w:val="none"/>
          <w:lang w:val="en-US" w:eastAsia="zh-CN"/>
        </w:rPr>
        <w:t>公平竞争秩序规范。深入落实公平竞争审查制度，牵头推进全区公平竞争审查工作，清理政策措施文件305件，废止问题文件5件；清理招投标、政采云公开竞价等事项48件，审查率100%。</w:t>
      </w:r>
      <w:r>
        <w:rPr>
          <w:rFonts w:hint="eastAsia" w:ascii="仿宋_GB2312" w:hAnsi="仿宋" w:eastAsia="仿宋_GB2312"/>
          <w:sz w:val="32"/>
          <w:szCs w:val="32"/>
          <w:highlight w:val="none"/>
          <w:lang w:val="en-US" w:eastAsia="zh-CN"/>
        </w:rPr>
        <w:t>3.</w:t>
      </w:r>
      <w:r>
        <w:rPr>
          <w:rFonts w:hint="default" w:ascii="仿宋_GB2312" w:hAnsi="仿宋" w:eastAsia="仿宋_GB2312"/>
          <w:sz w:val="32"/>
          <w:szCs w:val="32"/>
          <w:highlight w:val="none"/>
          <w:lang w:val="en-US" w:eastAsia="zh-CN"/>
        </w:rPr>
        <w:t>信用监管深入推进。扎实做好企业年报和“互联网+监管”工作，强化信用约束措施，完善信用监管机制。企业年报率达94.72%，创全市纪录，在全市各县市区中排名第一，“互联网+监管”事项覆盖率达100%，目录清单梳理100%，行政检查完成率和详实率均为100%。全面实施“双随机、一公开”监管，推动信用监管、食品安全监管、质量认证认等监管领域开展“双随机</w:t>
      </w:r>
      <w:r>
        <w:rPr>
          <w:rFonts w:hint="eastAsia" w:ascii="仿宋_GB2312" w:hAnsi="仿宋" w:eastAsia="仿宋_GB2312"/>
          <w:sz w:val="32"/>
          <w:szCs w:val="32"/>
          <w:highlight w:val="none"/>
          <w:lang w:val="en-US" w:eastAsia="zh-CN"/>
        </w:rPr>
        <w:t>、</w:t>
      </w:r>
      <w:r>
        <w:rPr>
          <w:rFonts w:hint="default" w:ascii="仿宋_GB2312" w:hAnsi="仿宋" w:eastAsia="仿宋_GB2312"/>
          <w:sz w:val="32"/>
          <w:szCs w:val="32"/>
          <w:highlight w:val="none"/>
          <w:lang w:val="en-US" w:eastAsia="zh-CN"/>
        </w:rPr>
        <w:t>一公开”监督抽查工作，抽查工作覆盖率达100%，公示率100%。</w:t>
      </w:r>
      <w:r>
        <w:rPr>
          <w:rFonts w:hint="eastAsia" w:ascii="仿宋_GB2312" w:hAnsi="仿宋" w:eastAsia="仿宋_GB2312"/>
          <w:sz w:val="32"/>
          <w:szCs w:val="32"/>
          <w:highlight w:val="none"/>
          <w:lang w:val="en-US" w:eastAsia="zh-CN"/>
        </w:rPr>
        <w:t>4.</w:t>
      </w:r>
      <w:r>
        <w:rPr>
          <w:rFonts w:hint="default" w:ascii="仿宋_GB2312" w:hAnsi="仿宋" w:eastAsia="仿宋_GB2312"/>
          <w:sz w:val="32"/>
          <w:szCs w:val="32"/>
          <w:highlight w:val="none"/>
          <w:lang w:val="en-US" w:eastAsia="zh-CN"/>
        </w:rPr>
        <w:t>价格监管扎实有效。开展涉疫药品和医疗用品稳价保质专项行动，在全市率先查处1起违法高价销售涉疫用品案件；牵头对养老机构、保健品店等经营主体共计39家开展价格检查，整治教育乱收费学校7家、培训机构2家。</w:t>
      </w:r>
    </w:p>
    <w:p>
      <w:pPr>
        <w:tabs>
          <w:tab w:val="left" w:pos="7560"/>
        </w:tabs>
        <w:adjustRightInd w:val="0"/>
        <w:snapToGrid w:val="0"/>
        <w:spacing w:line="540" w:lineRule="exact"/>
        <w:ind w:firstLine="640" w:firstLineChars="200"/>
        <w:jc w:val="left"/>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三是抓好创文巩卫工作。制定下发《石峰区2023—2024年国家卫生城市巩固提升食品安全专项整治工作实施方案》和《石峰区开展文明城市全域创建实施方案》，起草《石峰区开展文明城市全域创建专业化市场专项行动工作方案》。</w:t>
      </w:r>
      <w:bookmarkStart w:id="0" w:name="_GoBack"/>
      <w:bookmarkEnd w:id="0"/>
      <w:r>
        <w:rPr>
          <w:rFonts w:hint="eastAsia" w:ascii="仿宋_GB2312" w:hAnsi="仿宋" w:eastAsia="仿宋_GB2312"/>
          <w:sz w:val="32"/>
          <w:szCs w:val="32"/>
          <w:highlight w:val="none"/>
          <w:lang w:val="en-US" w:eastAsia="zh-CN"/>
        </w:rPr>
        <w:t>召开专题会议，明确工作目标，压实工作责任，认真落实各项工作任务；</w:t>
      </w:r>
      <w:r>
        <w:rPr>
          <w:rFonts w:hint="default" w:ascii="仿宋_GB2312" w:hAnsi="仿宋" w:eastAsia="仿宋_GB2312"/>
          <w:sz w:val="32"/>
          <w:szCs w:val="32"/>
          <w:highlight w:val="none"/>
          <w:lang w:val="en-US" w:eastAsia="zh-CN"/>
        </w:rPr>
        <w:t>成立创文巩卫食品安全督察组，抽调全局精干力量，沉入到创文巩卫一线</w:t>
      </w:r>
      <w:r>
        <w:rPr>
          <w:rFonts w:hint="eastAsia" w:ascii="仿宋_GB2312" w:hAnsi="仿宋" w:eastAsia="仿宋_GB2312"/>
          <w:sz w:val="32"/>
          <w:szCs w:val="32"/>
          <w:highlight w:val="none"/>
          <w:lang w:val="en-US" w:eastAsia="zh-CN"/>
        </w:rPr>
        <w:t>对辖区内经营场所进行督查，并要求及时整改。发现问题150余个，均已现场整改完毕；对市区指挥部督查交办的364个涉及健康证过期、三防设施不全、卫生差、物品摆放未离地离墙、散装食品无标签等问题，逐一整改到位。</w:t>
      </w:r>
    </w:p>
    <w:p>
      <w:pPr>
        <w:tabs>
          <w:tab w:val="left" w:pos="7560"/>
        </w:tabs>
        <w:adjustRightInd w:val="0"/>
        <w:snapToGrid w:val="0"/>
        <w:spacing w:line="540" w:lineRule="exact"/>
        <w:ind w:firstLine="640" w:firstLineChars="200"/>
        <w:jc w:val="left"/>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四是</w:t>
      </w:r>
      <w:r>
        <w:rPr>
          <w:rFonts w:hint="default" w:ascii="仿宋_GB2312" w:hAnsi="仿宋" w:eastAsia="仿宋_GB2312"/>
          <w:sz w:val="32"/>
          <w:szCs w:val="32"/>
          <w:highlight w:val="none"/>
          <w:lang w:val="en-US" w:eastAsia="zh-CN"/>
        </w:rPr>
        <w:t>严格食品安全监管</w:t>
      </w:r>
      <w:r>
        <w:rPr>
          <w:rFonts w:hint="eastAsia" w:ascii="仿宋_GB2312" w:hAnsi="仿宋" w:eastAsia="仿宋_GB2312"/>
          <w:sz w:val="32"/>
          <w:szCs w:val="32"/>
          <w:highlight w:val="none"/>
          <w:lang w:val="en-US" w:eastAsia="zh-CN"/>
        </w:rPr>
        <w:t>，</w:t>
      </w:r>
      <w:r>
        <w:rPr>
          <w:rFonts w:hint="default" w:ascii="仿宋_GB2312" w:hAnsi="仿宋" w:eastAsia="仿宋_GB2312"/>
          <w:sz w:val="32"/>
          <w:szCs w:val="32"/>
          <w:highlight w:val="none"/>
          <w:lang w:val="en-US" w:eastAsia="zh-CN"/>
        </w:rPr>
        <w:t>强化药品器械安全监管。</w:t>
      </w:r>
      <w:r>
        <w:rPr>
          <w:rFonts w:hint="eastAsia" w:ascii="仿宋_GB2312" w:hAnsi="仿宋" w:eastAsia="仿宋_GB2312"/>
          <w:sz w:val="32"/>
          <w:szCs w:val="32"/>
          <w:highlight w:val="none"/>
          <w:lang w:val="en-US" w:eastAsia="zh-CN"/>
        </w:rPr>
        <w:t>1.食品安全监管。</w:t>
      </w:r>
      <w:r>
        <w:rPr>
          <w:rFonts w:hint="default" w:ascii="仿宋_GB2312" w:hAnsi="仿宋" w:eastAsia="仿宋_GB2312"/>
          <w:sz w:val="32"/>
          <w:szCs w:val="32"/>
          <w:highlight w:val="none"/>
          <w:lang w:val="en-US" w:eastAsia="zh-CN"/>
        </w:rPr>
        <w:t>落实食品安全“两个责任”机制，</w:t>
      </w:r>
      <w:r>
        <w:rPr>
          <w:rFonts w:hint="eastAsia" w:ascii="仿宋_GB2312" w:hAnsi="仿宋" w:eastAsia="仿宋_GB2312"/>
          <w:sz w:val="32"/>
          <w:szCs w:val="32"/>
          <w:highlight w:val="none"/>
          <w:lang w:val="en-US" w:eastAsia="zh-CN"/>
        </w:rPr>
        <w:t>顺利完成8个乡级、68个村级分层分级认领工作，确定271位包保干部，责任清单、承诺书上传率达100%，包保主体设立食品安全总监50人，食品安全员4881人，23年督导率完成率100%；督促BC级主体落实日管控周排查月调度工作，23年覆盖率100%，执行率95%以上。</w:t>
      </w:r>
    </w:p>
    <w:p>
      <w:pPr>
        <w:tabs>
          <w:tab w:val="left" w:pos="7560"/>
        </w:tabs>
        <w:adjustRightInd w:val="0"/>
        <w:snapToGrid w:val="0"/>
        <w:spacing w:line="540" w:lineRule="exact"/>
        <w:ind w:firstLine="640" w:firstLineChars="200"/>
        <w:jc w:val="left"/>
        <w:rPr>
          <w:rFonts w:hint="eastAsia" w:ascii="仿宋_GB2312" w:hAnsi="仿宋" w:eastAsia="仿宋_GB2312"/>
          <w:sz w:val="32"/>
          <w:szCs w:val="32"/>
          <w:highlight w:val="none"/>
          <w:lang w:val="en-US" w:eastAsia="zh-CN"/>
        </w:rPr>
      </w:pPr>
      <w:r>
        <w:rPr>
          <w:rFonts w:hint="default" w:ascii="仿宋_GB2312" w:hAnsi="仿宋" w:eastAsia="仿宋_GB2312"/>
          <w:sz w:val="32"/>
          <w:szCs w:val="32"/>
          <w:highlight w:val="none"/>
          <w:lang w:val="en-US" w:eastAsia="zh-CN"/>
        </w:rPr>
        <w:t>积极开展“机关事业单位食堂专项整治行动”等20余个食品安全执法专项行动</w:t>
      </w:r>
      <w:r>
        <w:rPr>
          <w:rFonts w:hint="eastAsia" w:ascii="仿宋_GB2312" w:hAnsi="仿宋" w:eastAsia="仿宋_GB2312"/>
          <w:sz w:val="32"/>
          <w:szCs w:val="32"/>
          <w:highlight w:val="none"/>
          <w:lang w:val="en-US" w:eastAsia="zh-CN"/>
        </w:rPr>
        <w:t>，根据食品安全监管平台数据显示，共计检查4854户次，任务完成率99.3%，企业整改完成率100%。截至目前查处食品相关案件44起，办结44起；办结不合格报告核查处置61件，落实食品领域检查建议7份；利用“野生蘑菇中毒防控日”宣传、“科学用碘”知识科普宣传以及“食品安全宣传周”等科普活动，组织各所开展食品安全进校园、进养老机构、进社区、进景区等系列宣传活动，宣传“预防野生蘑菇中毒”“科学食用保健食品”等食品安全知识。发放各类食品安全宣传3000余份。广泛组织食安线上培训。通过微信群、电话、上门告知等渠道广泛动员辖区餐饮服务提供者负责人、食品安全管理人员积极参加线上学习，规范餐饮服务单位经营行为，提升从业人员素质及餐饮业质量安全水平。2.药品药械监管。</w:t>
      </w:r>
      <w:r>
        <w:rPr>
          <w:rFonts w:hint="default" w:ascii="仿宋_GB2312" w:hAnsi="仿宋" w:eastAsia="仿宋_GB2312"/>
          <w:sz w:val="32"/>
          <w:szCs w:val="32"/>
          <w:highlight w:val="none"/>
          <w:lang w:val="en-US" w:eastAsia="zh-CN"/>
        </w:rPr>
        <w:t>依法依规实施药品经营行政许可12起，实施医疗器械经营许可/备案16起。并在办证中融入市场主体培育工作，指导新证申请单位办理企业登记率100%，要求旧证延续或变更单位办理企业登记率100%。开展涉疫药品和医疗用品稳价保质专项行动、涉医麻醉药品和精神药品管理专项整治行动、“利剑护蕾”2023专项行动、医疗器械质量安全整治专项行为、医疗器械经营使用单位飞行检查专项行为等。强化部门联合执法，推动药械化全链条监管，办理一般程序药械化行政处罚案件34起，下达行政处罚决定书34起，结案34起。</w:t>
      </w:r>
      <w:r>
        <w:rPr>
          <w:rFonts w:hint="eastAsia" w:ascii="仿宋_GB2312" w:hAnsi="仿宋" w:eastAsia="仿宋_GB2312"/>
          <w:sz w:val="32"/>
          <w:szCs w:val="32"/>
          <w:highlight w:val="none"/>
          <w:lang w:val="en-US" w:eastAsia="zh-CN"/>
        </w:rPr>
        <w:t>一般程序行政处罚案件办案率在全市排名第三。</w:t>
      </w:r>
    </w:p>
    <w:p>
      <w:pPr>
        <w:tabs>
          <w:tab w:val="left" w:pos="7560"/>
        </w:tabs>
        <w:adjustRightInd w:val="0"/>
        <w:snapToGrid w:val="0"/>
        <w:spacing w:line="540" w:lineRule="exact"/>
        <w:ind w:firstLine="640" w:firstLineChars="200"/>
        <w:jc w:val="left"/>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2.“知识产权专项”</w:t>
      </w:r>
      <w:r>
        <w:rPr>
          <w:rFonts w:hint="default" w:ascii="仿宋_GB2312" w:hAnsi="仿宋" w:eastAsia="仿宋_GB2312"/>
          <w:sz w:val="32"/>
          <w:szCs w:val="32"/>
          <w:highlight w:val="none"/>
          <w:lang w:val="en-US" w:eastAsia="zh-CN"/>
        </w:rPr>
        <w:t>年初预算金额</w:t>
      </w:r>
      <w:r>
        <w:rPr>
          <w:rFonts w:hint="eastAsia" w:ascii="仿宋_GB2312" w:hAnsi="仿宋" w:eastAsia="仿宋_GB2312"/>
          <w:sz w:val="32"/>
          <w:szCs w:val="32"/>
          <w:highlight w:val="none"/>
          <w:lang w:val="en-US" w:eastAsia="zh-CN"/>
        </w:rPr>
        <w:t>20</w:t>
      </w:r>
      <w:r>
        <w:rPr>
          <w:rFonts w:hint="default" w:ascii="仿宋_GB2312" w:hAnsi="仿宋" w:eastAsia="仿宋_GB2312"/>
          <w:sz w:val="32"/>
          <w:szCs w:val="32"/>
          <w:highlight w:val="none"/>
          <w:lang w:val="en-US" w:eastAsia="zh-CN"/>
        </w:rPr>
        <w:t>万元</w:t>
      </w:r>
      <w:r>
        <w:rPr>
          <w:rFonts w:hint="eastAsia" w:ascii="仿宋_GB2312" w:hAnsi="仿宋" w:eastAsia="仿宋_GB2312"/>
          <w:sz w:val="32"/>
          <w:szCs w:val="32"/>
          <w:highlight w:val="none"/>
          <w:lang w:val="en-US" w:eastAsia="zh-CN"/>
        </w:rPr>
        <w:t>，追加45.47万元，实际支出65.47元。项目实施及绩效情况如下：拨付株洲万博龙商业广场有限责任公司用于知识产权保护规范化市场建设资金10万；拨付中车株洲电力机车研究所有限公司用于风光储产业关键技术转隶分析与布局研究项目合计20万元。</w:t>
      </w:r>
    </w:p>
    <w:p>
      <w:pPr>
        <w:tabs>
          <w:tab w:val="left" w:pos="7560"/>
        </w:tabs>
        <w:adjustRightInd w:val="0"/>
        <w:snapToGrid w:val="0"/>
        <w:spacing w:line="540" w:lineRule="exact"/>
        <w:ind w:firstLine="640" w:firstLineChars="200"/>
        <w:jc w:val="left"/>
        <w:rPr>
          <w:rFonts w:hint="eastAsia" w:ascii="仿宋_GB2312" w:hAnsi="仿宋" w:eastAsia="仿宋_GB2312"/>
          <w:sz w:val="32"/>
          <w:szCs w:val="32"/>
          <w:highlight w:val="none"/>
          <w:lang w:val="en-US" w:eastAsia="zh-CN"/>
        </w:rPr>
      </w:pPr>
      <w:r>
        <w:rPr>
          <w:rFonts w:hint="default" w:ascii="仿宋_GB2312" w:hAnsi="仿宋" w:eastAsia="仿宋_GB2312"/>
          <w:sz w:val="32"/>
          <w:szCs w:val="32"/>
          <w:highlight w:val="none"/>
          <w:lang w:val="en-US" w:eastAsia="zh-CN"/>
        </w:rPr>
        <w:t>举办知识产权宣传周活动、推进知识产权进企业、进社区、进校门“三进”活动，强化新政策新精神的宣传，提升公众对知识产权保护的认知度；广泛开展普及型教育和专业培训指导企事业单位知识产权业务，指导企业保护好、运用好商标品牌，为企业提供精准商标注册便利化服务。2023年全区专利累计授权量1438件（其中发明专利授权610件，实用新型710件，外观设计118件），有效发明专利量4796件，每万人发明专利拥有量142件，每万人发明专利拥有量县区排名全市第一，全省第二，高价值发明专利拥有量2297件，占全市的51%。</w:t>
      </w:r>
      <w:r>
        <w:rPr>
          <w:rFonts w:hint="eastAsia" w:ascii="仿宋_GB2312" w:hAnsi="仿宋" w:eastAsia="仿宋_GB2312"/>
          <w:sz w:val="32"/>
          <w:szCs w:val="32"/>
          <w:highlight w:val="none"/>
          <w:lang w:val="en-US" w:eastAsia="zh-CN"/>
        </w:rPr>
        <w:t>专利转让受让389件，专利开放许可成交3件，专利质押融资项目3个，融资金额4538万元。全年有214件非正常专利申请，监督撤回209件，撤回率98%，高于全省平均水平。办结1件专利侵权纠纷案件，2件假冒专利案件。商标注册申请547件，商标有效注册量2652件，拥有“联诚”、“天桥”两件驰名商标。壹星科技、联诚轨道装备晋级国家知识产权示范企业，新增九方装备、国创轨道科技、中晟全肽3家国家知识产权优势企业，辖区内已有5家国家知识产权示范企业，6家国家知识产权优势企业。</w:t>
      </w:r>
    </w:p>
    <w:p>
      <w:pPr>
        <w:tabs>
          <w:tab w:val="left" w:pos="7560"/>
        </w:tabs>
        <w:adjustRightInd w:val="0"/>
        <w:snapToGrid w:val="0"/>
        <w:spacing w:line="540" w:lineRule="exact"/>
        <w:ind w:firstLine="640" w:firstLineChars="200"/>
        <w:jc w:val="left"/>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3.“食品安全监督抽检及工作经费”支出48.57万元。项目实施及绩效情况如下：2023年启动食品及食用农产品监督抽检工作，结合上级要求和石峰区实际，制定年度抽检计划，以学校、农贸市场等关键区域为重点，以大米、蔬菜、水产品、餐饮具为重点品种，科学强化监督抽检工作。石峰区已累计完成抽检753批次。其中食品抽检326批次，食用农产品抽检427批次。产生不合格报告61件，对检出不合格的主体依法依规进行核查处置，抽检结果及核查处置办理情况全部在区政府门户网站上公示。共检查食品生产经营者5000余家次，重点对5家农贸市场，8家养老机构、90家学校食堂，校园及周边358家食品经营单位进行排查，发放《致校园周边食品经营者的一封信》、签订《校园周边食品经营承诺书》400余份。</w:t>
      </w:r>
    </w:p>
    <w:p>
      <w:pPr>
        <w:tabs>
          <w:tab w:val="left" w:pos="7560"/>
        </w:tabs>
        <w:adjustRightInd w:val="0"/>
        <w:snapToGrid w:val="0"/>
        <w:spacing w:line="540" w:lineRule="exact"/>
        <w:ind w:firstLine="640" w:firstLineChars="200"/>
        <w:jc w:val="left"/>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4.“经开区市场监督管理专项”支出44.31万元。项目实施及绩效情况如下：1.针对大型超市、大型农贸市场、方特及水上乐园等单位进行食品安全专项检查，对和人民群众生活息息相关的粮油、肉、蔬菜、水果、保健食品、禽类及其制品等为重点检查品种，共检查300余家单位，出动执法人员800余人次。2.扎实开展春季秋季学校及托幼机构食堂食品安全工作。按照“全面覆盖、突出重点”的原则，对辖区内的33家大中小幼所有院校食堂实现“地毯式全覆盖”全方位检查。此项工作主要查验食品留样、食盐购进、肉制品、冷链食品、主食粮油的进货渠道、台账记录等问题；检查过程中，制作了现场检查笔录(餐饮服务日常监督检查要点表)66份，对有食品安全隐患的，责令其限期整改，对严重存在食品安全问题的，予以立案查处。共检查66家单位，出动执法人员180余人次。3.切实做好“三考”期间食品安全保障工作，消除食品安全隐患，保障广大师生饮食安全，我所提前对各个考点进行食品安全隐患排查，并把《重大活动食品安全保障任务通知书》、《重大活动餐饮服务提供者食品安全责任告知书》下发给学校，跟校方签订《重大活动餐饮服务食品安全责任承诺书》；在考试中每天安排2名工作人员值守考点监督检查。全力落实“生鲜灯”禁用及保障辖区内节假日物价稳定行动。对辖区内售卖肉类、果蔬、熟食相关市场主体开展“生鲜灯”专项排查和整治，将农贸市场、商场超市、生鲜肉菜店等销售主体列为重点对象，同时，为保障各节日期间重要民生商品市场秩序平稳有序，持续加强对超市、农贸市场等重要民生物资供应主体的价格监管，督促各经营主体做好明码标价等工作。共检查各类商超、农贸市场50余次，出动执法人员200余人次。4.开展经营性自建房排查。积极配合街道、住建及区直其他部门开展经营性自建房排查建账工作，共完成经营性自建房排查整治近300户。</w:t>
      </w:r>
    </w:p>
    <w:p>
      <w:pPr>
        <w:tabs>
          <w:tab w:val="left" w:pos="7560"/>
        </w:tabs>
        <w:adjustRightInd w:val="0"/>
        <w:snapToGrid w:val="0"/>
        <w:spacing w:line="540" w:lineRule="exact"/>
        <w:ind w:firstLine="640" w:firstLineChars="200"/>
        <w:jc w:val="left"/>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5.“标准化及质量专项经费”支出34.32万元。项目实施及绩效情况如下：</w:t>
      </w:r>
      <w:r>
        <w:rPr>
          <w:rFonts w:hint="default" w:ascii="仿宋_GB2312" w:hAnsi="仿宋" w:eastAsia="仿宋_GB2312"/>
          <w:sz w:val="32"/>
          <w:szCs w:val="32"/>
          <w:highlight w:val="none"/>
          <w:lang w:val="en-US" w:eastAsia="zh-CN"/>
        </w:rPr>
        <w:t>成立石峰区质量强区工作领导小组，制定《2023年度质量强区工作实施方案》《石峰区品牌提升工程行动计划》，对质量强区建设作出统一安排部署。抓认证认可，组织小微企业参加培训，鼓励指导138家企业申报并通过ISO9001质量体系认证。抓质量标准化，促进标准化工程发展，协调落实“主导制定国际标准IEC63076：2019”“城市轨道交通中低速磁浮车辆悬浮控制系统技术条件”两项目专项资金</w:t>
      </w:r>
      <w:r>
        <w:rPr>
          <w:rFonts w:hint="eastAsia" w:ascii="仿宋_GB2312" w:hAnsi="仿宋" w:eastAsia="仿宋_GB2312"/>
          <w:sz w:val="32"/>
          <w:szCs w:val="32"/>
          <w:highlight w:val="none"/>
          <w:lang w:val="en-US" w:eastAsia="zh-CN"/>
        </w:rPr>
        <w:t>14</w:t>
      </w:r>
      <w:r>
        <w:rPr>
          <w:rFonts w:hint="default" w:ascii="仿宋_GB2312" w:hAnsi="仿宋" w:eastAsia="仿宋_GB2312"/>
          <w:sz w:val="32"/>
          <w:szCs w:val="32"/>
          <w:highlight w:val="none"/>
          <w:lang w:val="en-US" w:eastAsia="zh-CN"/>
        </w:rPr>
        <w:t>万元</w:t>
      </w:r>
      <w:r>
        <w:rPr>
          <w:rFonts w:hint="eastAsia" w:ascii="仿宋_GB2312" w:hAnsi="仿宋" w:eastAsia="仿宋_GB2312"/>
          <w:sz w:val="32"/>
          <w:szCs w:val="32"/>
          <w:highlight w:val="none"/>
          <w:lang w:val="en-US" w:eastAsia="zh-CN"/>
        </w:rPr>
        <w:t>；标准化项目《铝电解多功能机组》国家标准专项资金10万元。</w:t>
      </w:r>
      <w:r>
        <w:rPr>
          <w:rFonts w:hint="default" w:ascii="仿宋_GB2312" w:hAnsi="仿宋" w:eastAsia="仿宋_GB2312"/>
          <w:sz w:val="32"/>
          <w:szCs w:val="32"/>
          <w:highlight w:val="none"/>
          <w:lang w:val="en-US" w:eastAsia="zh-CN"/>
        </w:rPr>
        <w:t>抓一站式服务，与第三方质量科学研究机构合作，开展质量建设系列工作，搭建质量基础设施一站式服务云平台，打造质量“一站式”服务站，打破企业服务孤岛，实现企业服务“一站通”。实施重点工业产品抽检计划，2023年共完成100个批次的产品质量抽检，有4个批次产品不合格，我局已要求商家下架相关产品，并将不合格产品的情况通报至生产厂商当地市场监管局。</w:t>
      </w:r>
    </w:p>
    <w:p>
      <w:pPr>
        <w:tabs>
          <w:tab w:val="left" w:pos="7560"/>
        </w:tabs>
        <w:adjustRightInd w:val="0"/>
        <w:snapToGrid w:val="0"/>
        <w:spacing w:line="540" w:lineRule="exact"/>
        <w:ind w:firstLine="640" w:firstLineChars="200"/>
        <w:jc w:val="left"/>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6.“市场主体培育纳税申报服务工作经费”支出28.72万元，项目实施及绩效情况如下：</w:t>
      </w:r>
      <w:r>
        <w:rPr>
          <w:rFonts w:hint="eastAsia" w:ascii="仿宋_GB2312" w:hAnsi="仿宋" w:eastAsia="仿宋_GB2312"/>
          <w:sz w:val="32"/>
          <w:szCs w:val="32"/>
          <w:highlight w:val="none"/>
          <w:lang w:val="en-US" w:eastAsia="zh-Hans"/>
        </w:rPr>
        <w:t>积极开展市场主体培育业务指导。对街镇及区职能部门在市场主体培育工作中遇到的问题及时指导和予以解决。</w:t>
      </w:r>
      <w:r>
        <w:rPr>
          <w:rFonts w:hint="eastAsia" w:ascii="仿宋_GB2312" w:hAnsi="仿宋" w:eastAsia="仿宋_GB2312"/>
          <w:sz w:val="32"/>
          <w:szCs w:val="32"/>
          <w:highlight w:val="none"/>
          <w:lang w:val="en-US" w:eastAsia="zh-CN"/>
        </w:rPr>
        <w:t>较好地完成市场主体培育各项任务。</w:t>
      </w:r>
      <w:r>
        <w:rPr>
          <w:rFonts w:hint="default" w:ascii="仿宋_GB2312" w:hAnsi="仿宋" w:eastAsia="仿宋_GB2312"/>
          <w:sz w:val="32"/>
          <w:szCs w:val="32"/>
          <w:highlight w:val="none"/>
          <w:lang w:val="en-US" w:eastAsia="zh-CN"/>
        </w:rPr>
        <w:t>着力推进企业裂变和特色街区培育行动，彰显石峰区域特色，全区净增市场主体9260户，完成率105.56%；其中企业净增3956户，完成率99.75%；实有企业占比37.05%；实有法人企业占比79.67%，在全市打造“三个高地”竞赛评比中，夺得2023年第四季度经营主体培育考核单项季军。</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四、绩效管理存在的问题及下一步改进措施</w:t>
      </w:r>
    </w:p>
    <w:p>
      <w:pPr>
        <w:tabs>
          <w:tab w:val="left" w:pos="7560"/>
        </w:tabs>
        <w:adjustRightInd w:val="0"/>
        <w:snapToGrid w:val="0"/>
        <w:spacing w:line="540" w:lineRule="exact"/>
        <w:ind w:firstLine="640" w:firstLineChars="200"/>
        <w:jc w:val="left"/>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1、绩效目标设定不够科学、完整。一是业务部门对绩效管理及评价的理解和认识不够，使目标的设置缺乏系统性；二是对任务目标的分解不彻底，使目标设置不够完整；三是工作计划及任务安排与年度目标申报存在时间差，使目标设置不够科学合理。</w:t>
      </w:r>
    </w:p>
    <w:p>
      <w:pPr>
        <w:tabs>
          <w:tab w:val="left" w:pos="7560"/>
        </w:tabs>
        <w:adjustRightInd w:val="0"/>
        <w:snapToGrid w:val="0"/>
        <w:spacing w:line="540" w:lineRule="exact"/>
        <w:ind w:firstLine="640" w:firstLineChars="200"/>
        <w:jc w:val="left"/>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2、绩效目标管理制度需要进一步完善。需从制度上完善考核方式和手段，完善绩效管理考核细则，确保制定科学、合理的考核项目及标准。</w:t>
      </w:r>
    </w:p>
    <w:p>
      <w:pPr>
        <w:tabs>
          <w:tab w:val="left" w:pos="7560"/>
        </w:tabs>
        <w:adjustRightInd w:val="0"/>
        <w:snapToGrid w:val="0"/>
        <w:spacing w:line="540" w:lineRule="exact"/>
        <w:ind w:firstLine="640" w:firstLineChars="200"/>
        <w:jc w:val="left"/>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（二）下一步改进措施</w:t>
      </w:r>
    </w:p>
    <w:p>
      <w:pPr>
        <w:tabs>
          <w:tab w:val="left" w:pos="7560"/>
        </w:tabs>
        <w:adjustRightInd w:val="0"/>
        <w:snapToGrid w:val="0"/>
        <w:spacing w:line="540" w:lineRule="exact"/>
        <w:ind w:firstLine="640" w:firstLineChars="200"/>
        <w:jc w:val="left"/>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1、强化源头管理，提高绩效目标设立的科学性。在编制年度预算时，多与业务科室加强沟通，明确设立目的、所要达到的绩效目标，且查看绩效目标是否有设立的必要，设立的目标是否科学，是否切合实际，是否符合设立的要求等，共同制定年度绩效目标。</w:t>
      </w:r>
    </w:p>
    <w:p>
      <w:pPr>
        <w:tabs>
          <w:tab w:val="left" w:pos="7560"/>
        </w:tabs>
        <w:adjustRightInd w:val="0"/>
        <w:snapToGrid w:val="0"/>
        <w:spacing w:line="540" w:lineRule="exact"/>
        <w:ind w:firstLine="640" w:firstLineChars="200"/>
        <w:jc w:val="left"/>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2、强化专项资金的监督管理，确保资金使用有规可依，有规必依。针对我单位的各项业务职能和专项资金，制定相关的财务管理制度和专项资金管理办法，强化资金使用过程中管理和监督。</w:t>
      </w:r>
    </w:p>
    <w:p>
      <w:pPr>
        <w:numPr>
          <w:ilvl w:val="0"/>
          <w:numId w:val="2"/>
        </w:num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其他需要说明的情况</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szCs w:val="32"/>
          <w:lang w:eastAsia="zh-CN"/>
        </w:rPr>
        <w:t>无其他需要说明的情况</w:t>
      </w:r>
      <w:r>
        <w:rPr>
          <w:rFonts w:hint="eastAsia" w:ascii="Times New Roman" w:hAnsi="Times New Roman" w:eastAsia="仿宋_GB2312" w:cs="Times New Roman"/>
          <w:color w:val="auto"/>
          <w:sz w:val="32"/>
          <w:szCs w:val="32"/>
          <w:lang w:eastAsia="zh-CN"/>
        </w:rPr>
        <w:t>。</w:t>
      </w:r>
    </w:p>
    <w:p>
      <w:pPr>
        <w:tabs>
          <w:tab w:val="left" w:pos="7560"/>
        </w:tabs>
        <w:adjustRightInd w:val="0"/>
        <w:snapToGrid w:val="0"/>
        <w:spacing w:line="540" w:lineRule="exact"/>
        <w:jc w:val="left"/>
        <w:rPr>
          <w:rFonts w:hint="default"/>
          <w:lang w:eastAsia="zh-CN"/>
        </w:rPr>
      </w:pPr>
    </w:p>
    <w:sectPr>
      <w:footerReference r:id="rId4" w:type="default"/>
      <w:pgSz w:w="11906" w:h="16838"/>
      <w:pgMar w:top="1531" w:right="1531" w:bottom="1531" w:left="1531" w:header="851" w:footer="1191"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false">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tVrULtgEAAFUDAAAOAAAAAAAAAAEAIAAAADQBAABkcnMvZTJv&#10;RG9jLnhtbFBLBQYAAAAABgAGAFkBAABcBQAAAAA=&#10;">
              <v:fill on="f" focussize="0,0"/>
              <v:stroke on="f"/>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false">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83PtkbcBAABVAwAADgAAAAAAAAABACAAAAA0AQAAZHJzL2Uy&#10;b0RvYy54bWxQSwUGAAAAAAYABgBZAQAAXQUAAAAA&#10;">
              <v:fill on="f" focussize="0,0"/>
              <v:stroke on="f"/>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FFD4F"/>
    <w:multiLevelType w:val="singleLevel"/>
    <w:tmpl w:val="955FFD4F"/>
    <w:lvl w:ilvl="0" w:tentative="0">
      <w:start w:val="5"/>
      <w:numFmt w:val="chineseCounting"/>
      <w:suff w:val="nothing"/>
      <w:lvlText w:val="%1、"/>
      <w:lvlJc w:val="left"/>
      <w:rPr>
        <w:rFonts w:hint="eastAsia"/>
      </w:rPr>
    </w:lvl>
  </w:abstractNum>
  <w:abstractNum w:abstractNumId="1">
    <w:nsid w:val="FD20CB7A"/>
    <w:multiLevelType w:val="singleLevel"/>
    <w:tmpl w:val="FD20CB7A"/>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oNotDisplayPageBoundaries w:val="true"/>
  <w:embedSystemFonts/>
  <w:bordersDoNotSurroundHeader w:val="false"/>
  <w:bordersDoNotSurroundFooter w:val="false"/>
  <w:documentProtection w:enforcement="0"/>
  <w:defaultTabStop w:val="420"/>
  <w:doNotHyphenateCaps/>
  <w:drawingGridHorizontalSpacing w:val="105"/>
  <w:drawingGridVerticalSpacing w:val="156"/>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NzQ5MTAwNzQ2MDExYjQ4Mjc2OTkxMmRmZDZlM2MifQ=="/>
  </w:docVars>
  <w:rsids>
    <w:rsidRoot w:val="008E6491"/>
    <w:rsid w:val="000248EA"/>
    <w:rsid w:val="000A3A1B"/>
    <w:rsid w:val="000E17EC"/>
    <w:rsid w:val="00220AC5"/>
    <w:rsid w:val="002476BD"/>
    <w:rsid w:val="002C1873"/>
    <w:rsid w:val="002C2128"/>
    <w:rsid w:val="002F4169"/>
    <w:rsid w:val="00304E26"/>
    <w:rsid w:val="003055F8"/>
    <w:rsid w:val="0031281F"/>
    <w:rsid w:val="00341D1C"/>
    <w:rsid w:val="00380CD5"/>
    <w:rsid w:val="003C549F"/>
    <w:rsid w:val="003F01CC"/>
    <w:rsid w:val="0043193B"/>
    <w:rsid w:val="00433B4B"/>
    <w:rsid w:val="004E64C2"/>
    <w:rsid w:val="005A6F70"/>
    <w:rsid w:val="00634606"/>
    <w:rsid w:val="00634CB8"/>
    <w:rsid w:val="006B1B13"/>
    <w:rsid w:val="00753562"/>
    <w:rsid w:val="007830AB"/>
    <w:rsid w:val="00797513"/>
    <w:rsid w:val="007C5100"/>
    <w:rsid w:val="00806E32"/>
    <w:rsid w:val="00832C97"/>
    <w:rsid w:val="00897CA2"/>
    <w:rsid w:val="008A4C72"/>
    <w:rsid w:val="008C3049"/>
    <w:rsid w:val="008D5121"/>
    <w:rsid w:val="008E6491"/>
    <w:rsid w:val="008E7E2D"/>
    <w:rsid w:val="00940193"/>
    <w:rsid w:val="00952B81"/>
    <w:rsid w:val="00955478"/>
    <w:rsid w:val="00956E78"/>
    <w:rsid w:val="009715BF"/>
    <w:rsid w:val="00975B8F"/>
    <w:rsid w:val="009B2A1B"/>
    <w:rsid w:val="009E7525"/>
    <w:rsid w:val="00A07D45"/>
    <w:rsid w:val="00A14938"/>
    <w:rsid w:val="00A330BC"/>
    <w:rsid w:val="00A7389A"/>
    <w:rsid w:val="00A76B5D"/>
    <w:rsid w:val="00AB106C"/>
    <w:rsid w:val="00AF6751"/>
    <w:rsid w:val="00BC5463"/>
    <w:rsid w:val="00C02A97"/>
    <w:rsid w:val="00C52AFF"/>
    <w:rsid w:val="00C87654"/>
    <w:rsid w:val="00CC3803"/>
    <w:rsid w:val="00D942F4"/>
    <w:rsid w:val="00D96B47"/>
    <w:rsid w:val="00DE300B"/>
    <w:rsid w:val="00E07250"/>
    <w:rsid w:val="00E61034"/>
    <w:rsid w:val="00EC433B"/>
    <w:rsid w:val="00ED34BC"/>
    <w:rsid w:val="00EF3CBB"/>
    <w:rsid w:val="00F94C4E"/>
    <w:rsid w:val="00FA12BD"/>
    <w:rsid w:val="00FB79DC"/>
    <w:rsid w:val="01730CDE"/>
    <w:rsid w:val="01CC3C00"/>
    <w:rsid w:val="0300092A"/>
    <w:rsid w:val="030F3E6D"/>
    <w:rsid w:val="03157FF6"/>
    <w:rsid w:val="04270403"/>
    <w:rsid w:val="04A23AD7"/>
    <w:rsid w:val="04E8122B"/>
    <w:rsid w:val="05244B59"/>
    <w:rsid w:val="07F26B0E"/>
    <w:rsid w:val="081D72B1"/>
    <w:rsid w:val="089E5151"/>
    <w:rsid w:val="08E475C6"/>
    <w:rsid w:val="09314228"/>
    <w:rsid w:val="09351A48"/>
    <w:rsid w:val="0942192E"/>
    <w:rsid w:val="09BB4712"/>
    <w:rsid w:val="0A443A42"/>
    <w:rsid w:val="0A6D78B3"/>
    <w:rsid w:val="0B466AC3"/>
    <w:rsid w:val="0C2E6972"/>
    <w:rsid w:val="0D5077BE"/>
    <w:rsid w:val="0D972270"/>
    <w:rsid w:val="0DA01BE2"/>
    <w:rsid w:val="0DAF708E"/>
    <w:rsid w:val="0EA03BB9"/>
    <w:rsid w:val="0F74026E"/>
    <w:rsid w:val="0FB02EE6"/>
    <w:rsid w:val="103F11C1"/>
    <w:rsid w:val="10561432"/>
    <w:rsid w:val="10E71038"/>
    <w:rsid w:val="110C7443"/>
    <w:rsid w:val="11562771"/>
    <w:rsid w:val="11CB1D14"/>
    <w:rsid w:val="11D90D72"/>
    <w:rsid w:val="12CB3584"/>
    <w:rsid w:val="132C7419"/>
    <w:rsid w:val="13461F88"/>
    <w:rsid w:val="13801C78"/>
    <w:rsid w:val="14777C70"/>
    <w:rsid w:val="14CF0490"/>
    <w:rsid w:val="151B4301"/>
    <w:rsid w:val="15647297"/>
    <w:rsid w:val="1565539D"/>
    <w:rsid w:val="15B41D83"/>
    <w:rsid w:val="16525605"/>
    <w:rsid w:val="1663351B"/>
    <w:rsid w:val="174E4C23"/>
    <w:rsid w:val="1750216C"/>
    <w:rsid w:val="179D57AB"/>
    <w:rsid w:val="18B17961"/>
    <w:rsid w:val="192B318F"/>
    <w:rsid w:val="19A417B7"/>
    <w:rsid w:val="1A1E487B"/>
    <w:rsid w:val="1A3B2435"/>
    <w:rsid w:val="1A5E2762"/>
    <w:rsid w:val="1A6B02C6"/>
    <w:rsid w:val="1A7954E3"/>
    <w:rsid w:val="1AEC4F67"/>
    <w:rsid w:val="1B070EDC"/>
    <w:rsid w:val="1BB54765"/>
    <w:rsid w:val="1BEF0709"/>
    <w:rsid w:val="1C6E2FB7"/>
    <w:rsid w:val="1D842E68"/>
    <w:rsid w:val="1E1F6BF7"/>
    <w:rsid w:val="1E476632"/>
    <w:rsid w:val="20562A02"/>
    <w:rsid w:val="20B37FA3"/>
    <w:rsid w:val="20BF3573"/>
    <w:rsid w:val="20D86258"/>
    <w:rsid w:val="20DA7FA1"/>
    <w:rsid w:val="20DD4A99"/>
    <w:rsid w:val="21292C53"/>
    <w:rsid w:val="215E4F0F"/>
    <w:rsid w:val="21776705"/>
    <w:rsid w:val="21EB549F"/>
    <w:rsid w:val="22001A42"/>
    <w:rsid w:val="225613D4"/>
    <w:rsid w:val="22F0649A"/>
    <w:rsid w:val="23BC5A33"/>
    <w:rsid w:val="24285D8F"/>
    <w:rsid w:val="242C216C"/>
    <w:rsid w:val="24E616F5"/>
    <w:rsid w:val="24E70084"/>
    <w:rsid w:val="24FA6475"/>
    <w:rsid w:val="252B2FED"/>
    <w:rsid w:val="25384864"/>
    <w:rsid w:val="25E652BD"/>
    <w:rsid w:val="278A5206"/>
    <w:rsid w:val="278E5496"/>
    <w:rsid w:val="281811F6"/>
    <w:rsid w:val="289F4D7D"/>
    <w:rsid w:val="28A279DD"/>
    <w:rsid w:val="28B613A3"/>
    <w:rsid w:val="28F104F6"/>
    <w:rsid w:val="29D41291"/>
    <w:rsid w:val="2A8C7939"/>
    <w:rsid w:val="2B2E1227"/>
    <w:rsid w:val="2B80630B"/>
    <w:rsid w:val="2B917500"/>
    <w:rsid w:val="2BF7282F"/>
    <w:rsid w:val="2C0113CB"/>
    <w:rsid w:val="2D8A136A"/>
    <w:rsid w:val="2E770DFB"/>
    <w:rsid w:val="2E9665FD"/>
    <w:rsid w:val="2F1763DE"/>
    <w:rsid w:val="3002077B"/>
    <w:rsid w:val="300B0291"/>
    <w:rsid w:val="311E625A"/>
    <w:rsid w:val="31522E49"/>
    <w:rsid w:val="31E77A21"/>
    <w:rsid w:val="327D5EDF"/>
    <w:rsid w:val="32BF66DA"/>
    <w:rsid w:val="32CC12ED"/>
    <w:rsid w:val="33324BC0"/>
    <w:rsid w:val="338F36C8"/>
    <w:rsid w:val="33CD2E7D"/>
    <w:rsid w:val="34674742"/>
    <w:rsid w:val="348059AF"/>
    <w:rsid w:val="34A733C3"/>
    <w:rsid w:val="35D16D46"/>
    <w:rsid w:val="36AB48EE"/>
    <w:rsid w:val="36CB0E19"/>
    <w:rsid w:val="37410FF2"/>
    <w:rsid w:val="377D4BC1"/>
    <w:rsid w:val="37C11B48"/>
    <w:rsid w:val="380C4020"/>
    <w:rsid w:val="38385FFD"/>
    <w:rsid w:val="38873138"/>
    <w:rsid w:val="3915133C"/>
    <w:rsid w:val="396A687C"/>
    <w:rsid w:val="3A1A4EB3"/>
    <w:rsid w:val="3A6C373A"/>
    <w:rsid w:val="3AC30DF9"/>
    <w:rsid w:val="3B3C6E45"/>
    <w:rsid w:val="3B69738B"/>
    <w:rsid w:val="3BA452C2"/>
    <w:rsid w:val="3CAE3F93"/>
    <w:rsid w:val="3CCE2173"/>
    <w:rsid w:val="3CFF26A1"/>
    <w:rsid w:val="3D09739D"/>
    <w:rsid w:val="3D387759"/>
    <w:rsid w:val="3E7F51E4"/>
    <w:rsid w:val="3EE94F30"/>
    <w:rsid w:val="3F253C0B"/>
    <w:rsid w:val="3F570588"/>
    <w:rsid w:val="3F5B111B"/>
    <w:rsid w:val="3FC877A7"/>
    <w:rsid w:val="4059750B"/>
    <w:rsid w:val="40894179"/>
    <w:rsid w:val="408F3EBF"/>
    <w:rsid w:val="409860B0"/>
    <w:rsid w:val="413C6D6B"/>
    <w:rsid w:val="41FE6046"/>
    <w:rsid w:val="42347456"/>
    <w:rsid w:val="42720F81"/>
    <w:rsid w:val="427B2141"/>
    <w:rsid w:val="43587B65"/>
    <w:rsid w:val="44264DEE"/>
    <w:rsid w:val="44332554"/>
    <w:rsid w:val="44527E3B"/>
    <w:rsid w:val="44A7431B"/>
    <w:rsid w:val="44DA00F4"/>
    <w:rsid w:val="44E419D4"/>
    <w:rsid w:val="457F7A78"/>
    <w:rsid w:val="458E4325"/>
    <w:rsid w:val="46625214"/>
    <w:rsid w:val="46C85E76"/>
    <w:rsid w:val="46FD5CE6"/>
    <w:rsid w:val="47126E17"/>
    <w:rsid w:val="477D1E01"/>
    <w:rsid w:val="4837025C"/>
    <w:rsid w:val="486C2D19"/>
    <w:rsid w:val="48C164A5"/>
    <w:rsid w:val="48D96419"/>
    <w:rsid w:val="4907074D"/>
    <w:rsid w:val="49072B3D"/>
    <w:rsid w:val="499E39EC"/>
    <w:rsid w:val="49AA2F42"/>
    <w:rsid w:val="49F43376"/>
    <w:rsid w:val="49F52274"/>
    <w:rsid w:val="4B7D53D4"/>
    <w:rsid w:val="4B802306"/>
    <w:rsid w:val="4BB559D8"/>
    <w:rsid w:val="4BC64CF7"/>
    <w:rsid w:val="4C1E7F82"/>
    <w:rsid w:val="4C915EB9"/>
    <w:rsid w:val="4DE65243"/>
    <w:rsid w:val="4E3E7768"/>
    <w:rsid w:val="4E7B4F9A"/>
    <w:rsid w:val="4EF83924"/>
    <w:rsid w:val="4F4041E0"/>
    <w:rsid w:val="4FA97C0B"/>
    <w:rsid w:val="505C3AA6"/>
    <w:rsid w:val="50CF697A"/>
    <w:rsid w:val="510D7DB6"/>
    <w:rsid w:val="517F0763"/>
    <w:rsid w:val="51D1739A"/>
    <w:rsid w:val="527D12F0"/>
    <w:rsid w:val="537222B5"/>
    <w:rsid w:val="539E2A68"/>
    <w:rsid w:val="540E1038"/>
    <w:rsid w:val="54583E48"/>
    <w:rsid w:val="56602BE6"/>
    <w:rsid w:val="56AE3CF8"/>
    <w:rsid w:val="56B35C8C"/>
    <w:rsid w:val="56ED1418"/>
    <w:rsid w:val="57874E14"/>
    <w:rsid w:val="5788198F"/>
    <w:rsid w:val="579532EC"/>
    <w:rsid w:val="579A6409"/>
    <w:rsid w:val="57BD48C8"/>
    <w:rsid w:val="57F4387E"/>
    <w:rsid w:val="58841072"/>
    <w:rsid w:val="58D611A3"/>
    <w:rsid w:val="590B2972"/>
    <w:rsid w:val="59A77C75"/>
    <w:rsid w:val="5A0F1FE2"/>
    <w:rsid w:val="5ACE500F"/>
    <w:rsid w:val="5B777609"/>
    <w:rsid w:val="5B8135BF"/>
    <w:rsid w:val="5D3673BF"/>
    <w:rsid w:val="5D974E3E"/>
    <w:rsid w:val="5D9B4911"/>
    <w:rsid w:val="5FA76FE8"/>
    <w:rsid w:val="5FC17D62"/>
    <w:rsid w:val="601F704F"/>
    <w:rsid w:val="60336F5F"/>
    <w:rsid w:val="60351D24"/>
    <w:rsid w:val="60E56779"/>
    <w:rsid w:val="61241942"/>
    <w:rsid w:val="614C7899"/>
    <w:rsid w:val="61A44426"/>
    <w:rsid w:val="61FB341B"/>
    <w:rsid w:val="625E5182"/>
    <w:rsid w:val="62C1521F"/>
    <w:rsid w:val="62ED6E83"/>
    <w:rsid w:val="633E4244"/>
    <w:rsid w:val="63785F66"/>
    <w:rsid w:val="63903F3A"/>
    <w:rsid w:val="64802980"/>
    <w:rsid w:val="64F03848"/>
    <w:rsid w:val="66BD30AA"/>
    <w:rsid w:val="677A293B"/>
    <w:rsid w:val="67A443BD"/>
    <w:rsid w:val="68F776E4"/>
    <w:rsid w:val="6927577B"/>
    <w:rsid w:val="69394480"/>
    <w:rsid w:val="6A023290"/>
    <w:rsid w:val="6AD05FDE"/>
    <w:rsid w:val="6AD65D9C"/>
    <w:rsid w:val="6B095F81"/>
    <w:rsid w:val="6B1B4D90"/>
    <w:rsid w:val="6B4662F0"/>
    <w:rsid w:val="6B7E01F7"/>
    <w:rsid w:val="6BC106E2"/>
    <w:rsid w:val="6C2978BD"/>
    <w:rsid w:val="6C53275F"/>
    <w:rsid w:val="6C606AE7"/>
    <w:rsid w:val="6C6A76A4"/>
    <w:rsid w:val="6C740601"/>
    <w:rsid w:val="6DCB0391"/>
    <w:rsid w:val="6DD11E60"/>
    <w:rsid w:val="6E55001A"/>
    <w:rsid w:val="6E653953"/>
    <w:rsid w:val="6E870266"/>
    <w:rsid w:val="6EB35808"/>
    <w:rsid w:val="6ED87861"/>
    <w:rsid w:val="6EEC5CCF"/>
    <w:rsid w:val="6F034D12"/>
    <w:rsid w:val="6F4C3CE0"/>
    <w:rsid w:val="70B062BF"/>
    <w:rsid w:val="70EE2A07"/>
    <w:rsid w:val="71805A0D"/>
    <w:rsid w:val="728218C8"/>
    <w:rsid w:val="72C53241"/>
    <w:rsid w:val="73323209"/>
    <w:rsid w:val="73BF32E5"/>
    <w:rsid w:val="745C21FC"/>
    <w:rsid w:val="748222C0"/>
    <w:rsid w:val="751F698F"/>
    <w:rsid w:val="75216C76"/>
    <w:rsid w:val="765E7252"/>
    <w:rsid w:val="76880C59"/>
    <w:rsid w:val="77520CB2"/>
    <w:rsid w:val="77FC1EB0"/>
    <w:rsid w:val="787C5627"/>
    <w:rsid w:val="78DD3E8B"/>
    <w:rsid w:val="78E57C7B"/>
    <w:rsid w:val="79344D9C"/>
    <w:rsid w:val="7973570C"/>
    <w:rsid w:val="799C07A5"/>
    <w:rsid w:val="79AB2C1B"/>
    <w:rsid w:val="79C5370F"/>
    <w:rsid w:val="7A1E3449"/>
    <w:rsid w:val="7A3D5122"/>
    <w:rsid w:val="7B9873A6"/>
    <w:rsid w:val="7BF056D7"/>
    <w:rsid w:val="7C346A84"/>
    <w:rsid w:val="7C9524F8"/>
    <w:rsid w:val="7C9731D2"/>
    <w:rsid w:val="7CE7577C"/>
    <w:rsid w:val="7D670134"/>
    <w:rsid w:val="7D695474"/>
    <w:rsid w:val="7D7C3D3A"/>
    <w:rsid w:val="7DF55347"/>
    <w:rsid w:val="7E64772D"/>
    <w:rsid w:val="7E8E2937"/>
    <w:rsid w:val="7F0B4803"/>
    <w:rsid w:val="7F68316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文字"/>
    <w:basedOn w:val="1"/>
    <w:next w:val="1"/>
    <w:qFormat/>
    <w:uiPriority w:val="99"/>
    <w:pPr>
      <w:spacing w:after="120"/>
    </w:pPr>
  </w:style>
  <w:style w:type="paragraph" w:styleId="3">
    <w:name w:val="Body Text"/>
    <w:basedOn w:val="1"/>
    <w:qFormat/>
    <w:uiPriority w:val="0"/>
    <w:pPr>
      <w:spacing w:after="120" w:afterLines="0"/>
    </w:pPr>
    <w:rPr>
      <w:rFonts w:ascii="Times New Roman" w:hAnsi="Times New Roman" w:eastAsia="宋体" w:cs="Times New Roman"/>
    </w:rPr>
  </w:style>
  <w:style w:type="paragraph" w:styleId="4">
    <w:name w:val="Body Text Indent"/>
    <w:basedOn w:val="1"/>
    <w:qFormat/>
    <w:uiPriority w:val="0"/>
    <w:pPr>
      <w:spacing w:after="120" w:afterLines="0" w:afterAutospacing="0"/>
      <w:ind w:left="420" w:leftChars="200"/>
    </w:pPr>
  </w:style>
  <w:style w:type="paragraph" w:styleId="5">
    <w:name w:val="Date"/>
    <w:basedOn w:val="1"/>
    <w:next w:val="1"/>
    <w:link w:val="15"/>
    <w:semiHidden/>
    <w:qFormat/>
    <w:uiPriority w:val="99"/>
    <w:pPr>
      <w:ind w:left="100" w:leftChars="2500"/>
    </w:p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3"/>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qFormat/>
    <w:uiPriority w:val="0"/>
    <w:pPr>
      <w:keepNext w:val="0"/>
      <w:keepLines w:val="0"/>
      <w:widowControl w:val="0"/>
      <w:suppressLineNumbers w:val="0"/>
      <w:spacing w:before="0" w:beforeAutospacing="0" w:after="0" w:afterAutospacing="0"/>
      <w:ind w:left="0" w:right="0" w:firstLine="420"/>
      <w:jc w:val="both"/>
    </w:pPr>
    <w:rPr>
      <w:rFonts w:hint="eastAsia" w:ascii="仿宋_GB2312" w:hAnsi="Times New Roman" w:eastAsia="仿宋_GB2312" w:cs="仿宋_GB2312"/>
      <w:b/>
      <w:kern w:val="2"/>
      <w:sz w:val="32"/>
      <w:szCs w:val="32"/>
      <w:lang w:val="en-US" w:eastAsia="zh-CN" w:bidi="ar"/>
    </w:rPr>
  </w:style>
  <w:style w:type="character" w:styleId="11">
    <w:name w:val="Strong"/>
    <w:basedOn w:val="10"/>
    <w:qFormat/>
    <w:locked/>
    <w:uiPriority w:val="0"/>
    <w:rPr>
      <w:b/>
    </w:rPr>
  </w:style>
  <w:style w:type="character" w:styleId="12">
    <w:name w:val="page number"/>
    <w:basedOn w:val="10"/>
    <w:qFormat/>
    <w:uiPriority w:val="99"/>
  </w:style>
  <w:style w:type="character" w:customStyle="1" w:styleId="13">
    <w:name w:val="Header Char"/>
    <w:basedOn w:val="10"/>
    <w:link w:val="7"/>
    <w:semiHidden/>
    <w:qFormat/>
    <w:locked/>
    <w:uiPriority w:val="99"/>
    <w:rPr>
      <w:sz w:val="18"/>
      <w:szCs w:val="18"/>
    </w:rPr>
  </w:style>
  <w:style w:type="character" w:customStyle="1" w:styleId="14">
    <w:name w:val="Footer Char"/>
    <w:basedOn w:val="10"/>
    <w:link w:val="6"/>
    <w:qFormat/>
    <w:locked/>
    <w:uiPriority w:val="99"/>
    <w:rPr>
      <w:sz w:val="18"/>
      <w:szCs w:val="18"/>
    </w:rPr>
  </w:style>
  <w:style w:type="character" w:customStyle="1" w:styleId="15">
    <w:name w:val="Date Char"/>
    <w:basedOn w:val="10"/>
    <w:link w:val="5"/>
    <w:semiHidden/>
    <w:qFormat/>
    <w:locked/>
    <w:uiPriority w:val="99"/>
  </w:style>
  <w:style w:type="character" w:customStyle="1" w:styleId="16">
    <w:name w:val="font41"/>
    <w:basedOn w:val="10"/>
    <w:qFormat/>
    <w:uiPriority w:val="99"/>
    <w:rPr>
      <w:rFonts w:ascii="宋体" w:hAnsi="宋体" w:eastAsia="宋体" w:cs="宋体"/>
      <w:b/>
      <w:bCs/>
      <w:color w:val="000000"/>
      <w:sz w:val="44"/>
      <w:szCs w:val="44"/>
      <w:u w:val="none"/>
    </w:rPr>
  </w:style>
  <w:style w:type="character" w:customStyle="1" w:styleId="17">
    <w:name w:val="font11"/>
    <w:basedOn w:val="10"/>
    <w:qFormat/>
    <w:uiPriority w:val="99"/>
    <w:rPr>
      <w:rFonts w:ascii="宋体" w:hAnsi="宋体" w:eastAsia="宋体" w:cs="宋体"/>
      <w:b/>
      <w:bCs/>
      <w:color w:val="000000"/>
      <w:sz w:val="32"/>
      <w:szCs w:val="32"/>
      <w:u w:val="none"/>
    </w:rPr>
  </w:style>
  <w:style w:type="paragraph" w:customStyle="1" w:styleId="18">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13</Pages>
  <Words>7260</Words>
  <Characters>7864</Characters>
  <Lines>0</Lines>
  <Paragraphs>0</Paragraphs>
  <TotalTime>48</TotalTime>
  <ScaleCrop>false</ScaleCrop>
  <LinksUpToDate>false</LinksUpToDate>
  <CharactersWithSpaces>7865</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2019-01-15T11:17:00Z</dcterms:created>
  <dc:creator>Windows 用户</dc:creator>
  <cp:lastModifiedBy>user</cp:lastModifiedBy>
  <cp:lastPrinted>2024-07-05T12:54:00Z</cp:lastPrinted>
  <dcterms:modified xsi:type="dcterms:W3CDTF">2024-11-18T14:59:31Z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106FAD8E9179441A937BA45173638C5E_13</vt:lpwstr>
  </property>
</Properties>
</file>