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adjustRightInd w:val="0"/>
        <w:snapToGrid w:val="0"/>
        <w:spacing w:line="560" w:lineRule="exact"/>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附件1</w:t>
      </w:r>
    </w:p>
    <w:p>
      <w:pPr>
        <w:tabs>
          <w:tab w:val="left" w:pos="7560"/>
        </w:tabs>
        <w:adjustRightInd w:val="0"/>
        <w:snapToGrid w:val="0"/>
        <w:spacing w:line="560" w:lineRule="exact"/>
        <w:jc w:val="center"/>
        <w:rPr>
          <w:rFonts w:hint="default" w:ascii="Times New Roman" w:hAnsi="Times New Roman" w:eastAsia="方正小标宋简体" w:cs="Times New Roman"/>
          <w:color w:val="auto"/>
          <w:sz w:val="44"/>
          <w:szCs w:val="32"/>
        </w:rPr>
      </w:pPr>
    </w:p>
    <w:p>
      <w:pPr>
        <w:tabs>
          <w:tab w:val="left" w:pos="7560"/>
        </w:tabs>
        <w:adjustRightInd w:val="0"/>
        <w:snapToGrid w:val="0"/>
        <w:spacing w:line="560" w:lineRule="exact"/>
        <w:jc w:val="both"/>
        <w:rPr>
          <w:rFonts w:hint="default" w:ascii="Times New Roman" w:hAnsi="Times New Roman" w:eastAsia="方正小标宋简体" w:cs="Times New Roman"/>
          <w:color w:val="auto"/>
          <w:sz w:val="44"/>
          <w:szCs w:val="32"/>
        </w:rPr>
      </w:pPr>
    </w:p>
    <w:p>
      <w:pPr>
        <w:tabs>
          <w:tab w:val="left" w:pos="7560"/>
        </w:tabs>
        <w:adjustRightInd w:val="0"/>
        <w:snapToGrid w:val="0"/>
        <w:spacing w:line="560" w:lineRule="exact"/>
        <w:jc w:val="center"/>
        <w:rPr>
          <w:rFonts w:hint="default" w:ascii="Times New Roman" w:hAnsi="Times New Roman" w:eastAsia="方正小标宋简体" w:cs="Times New Roman"/>
          <w:color w:val="auto"/>
          <w:sz w:val="44"/>
          <w:szCs w:val="32"/>
        </w:rPr>
      </w:pPr>
      <w:r>
        <w:rPr>
          <w:rFonts w:hint="eastAsia" w:ascii="Times New Roman" w:hAnsi="Times New Roman" w:eastAsia="方正小标宋简体" w:cs="Times New Roman"/>
          <w:color w:val="auto"/>
          <w:sz w:val="44"/>
          <w:szCs w:val="32"/>
          <w:lang w:eastAsia="zh-CN"/>
        </w:rPr>
        <w:t>2023</w:t>
      </w:r>
      <w:r>
        <w:rPr>
          <w:rFonts w:hint="default" w:ascii="Times New Roman" w:hAnsi="Times New Roman" w:eastAsia="方正小标宋简体" w:cs="Times New Roman"/>
          <w:color w:val="auto"/>
          <w:sz w:val="44"/>
          <w:szCs w:val="32"/>
        </w:rPr>
        <w:t>年度部门整体支出绩效自评报告</w:t>
      </w: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center"/>
        <w:rPr>
          <w:rFonts w:hint="default" w:ascii="Times New Roman" w:hAnsi="Times New Roman" w:eastAsia="黑体" w:cs="Times New Roman"/>
          <w:color w:val="auto"/>
          <w:sz w:val="36"/>
          <w:szCs w:val="44"/>
        </w:rPr>
      </w:pPr>
      <w:r>
        <w:rPr>
          <w:rFonts w:hint="default" w:ascii="Times New Roman" w:hAnsi="Times New Roman" w:eastAsia="黑体" w:cs="Times New Roman"/>
          <w:color w:val="auto"/>
          <w:sz w:val="36"/>
          <w:szCs w:val="44"/>
        </w:rPr>
        <w:t>株洲市石峰区</w:t>
      </w:r>
      <w:r>
        <w:rPr>
          <w:rFonts w:hint="eastAsia" w:ascii="Times New Roman" w:hAnsi="Times New Roman" w:eastAsia="黑体" w:cs="Times New Roman"/>
          <w:color w:val="auto"/>
          <w:sz w:val="36"/>
          <w:szCs w:val="44"/>
          <w:lang w:eastAsia="zh-CN"/>
        </w:rPr>
        <w:t>疾病预防控制中心</w:t>
      </w:r>
      <w:r>
        <w:rPr>
          <w:rFonts w:hint="default" w:ascii="Times New Roman" w:hAnsi="Times New Roman" w:eastAsia="黑体" w:cs="Times New Roman"/>
          <w:color w:val="auto"/>
          <w:sz w:val="36"/>
          <w:szCs w:val="44"/>
        </w:rPr>
        <w:t>（盖章）</w:t>
      </w: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40" w:lineRule="exact"/>
        <w:ind w:firstLine="640" w:firstLineChars="200"/>
        <w:jc w:val="left"/>
        <w:rPr>
          <w:rFonts w:hint="default" w:ascii="Times New Roman" w:hAnsi="Times New Roman" w:eastAsia="黑体" w:cs="Times New Roman"/>
          <w:color w:val="auto"/>
          <w:sz w:val="32"/>
          <w:szCs w:val="32"/>
        </w:rPr>
        <w:sectPr>
          <w:footerReference r:id="rId3" w:type="default"/>
          <w:pgSz w:w="11906" w:h="16838"/>
          <w:pgMar w:top="1984" w:right="1531" w:bottom="1701" w:left="1531" w:header="851" w:footer="992" w:gutter="0"/>
          <w:pgNumType w:fmt="decimal"/>
          <w:cols w:space="425" w:num="1"/>
          <w:docGrid w:type="linesAndChars" w:linePitch="312" w:charSpace="0"/>
        </w:sectPr>
      </w:pPr>
    </w:p>
    <w:p>
      <w:pPr>
        <w:tabs>
          <w:tab w:val="left" w:pos="7560"/>
        </w:tabs>
        <w:adjustRightInd w:val="0"/>
        <w:snapToGrid w:val="0"/>
        <w:spacing w:line="540" w:lineRule="exact"/>
        <w:ind w:firstLine="640" w:firstLineChars="200"/>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一、预算单位基本情况</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根据中共株洲市石峰区委办公室、株洲市石峰区人民政府办公室关于印发《株洲市石峰区卫生健康局职能配置、内设机构和人员编制规定》的通知，区疾病预防控制中心的主要职责是：拟订全区重大疾病防治规划、免疫规划、严重危害人民健康的公共卫生问题的干预措施并组织实施，承担传染病疫情管理，开展传染性疾病的检测检验；进行健康危害因素监测与干预，开展健康教育、健康促进工作；做好慢性非传染性疾病和重性精神病管理；组织开展学校卫生、地方病、饮用水、食品安全风险监测和交流；承担卫生应急演练的组织实施和指导工作，做好突发公共卫生事件和灾害疫情卫生应急处置；协调组织职业卫生、放射卫生相关政策、标准实施，开展重点职业病监测、专项调查、职业健康风险评估和职业人群健康管理工作；承担全区公共卫生、医疗卫生、职业卫生、计划生育综合监督、打击“两非”工作；组织开展生活饮用水二次供水卫生、学校卫生、传染病防治监督检查；会同有关部门对食品安全标准执行过程中的问题及时指导、解答和开展食品安全标准跟踪评价；规范执法行为，查处医疗服务市场违法行为，完善综合监督体系;负责重要来宾、重要会议与重大活动的卫生应急工作，完善疾病预防控制体系。</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本部门共有编制人数34人，实有人数2</w:t>
      </w:r>
      <w:r>
        <w:rPr>
          <w:rFonts w:hint="eastAsia" w:ascii="Times New Roman" w:hAnsi="Times New Roman" w:eastAsia="仿宋_GB2312" w:cs="Times New Roman"/>
          <w:color w:val="auto"/>
          <w:sz w:val="32"/>
          <w:szCs w:val="32"/>
          <w:lang w:val="en-US" w:eastAsia="zh-CN"/>
        </w:rPr>
        <w:t>9</w:t>
      </w:r>
      <w:r>
        <w:rPr>
          <w:rFonts w:hint="default" w:ascii="Times New Roman" w:hAnsi="Times New Roman" w:eastAsia="仿宋_GB2312" w:cs="Times New Roman"/>
          <w:color w:val="auto"/>
          <w:sz w:val="32"/>
          <w:szCs w:val="32"/>
        </w:rPr>
        <w:t>人。内设科室8个，分别为：办公室、监督一科、监督二科、疾控一科、疾控二科、疾控三科、检验科、质量稽查科。</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二、预算收支出情况（按单位预算口径）</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2023</w:t>
      </w:r>
      <w:r>
        <w:rPr>
          <w:rFonts w:hint="default" w:ascii="Times New Roman" w:hAnsi="Times New Roman" w:eastAsia="仿宋_GB2312" w:cs="Times New Roman"/>
          <w:color w:val="auto"/>
          <w:sz w:val="32"/>
          <w:szCs w:val="32"/>
        </w:rPr>
        <w:t>年预算收入</w:t>
      </w:r>
      <w:r>
        <w:rPr>
          <w:rFonts w:hint="eastAsia" w:ascii="Times New Roman" w:hAnsi="Times New Roman" w:eastAsia="仿宋_GB2312" w:cs="Times New Roman"/>
          <w:color w:val="auto"/>
          <w:sz w:val="32"/>
          <w:szCs w:val="32"/>
          <w:lang w:val="en-US" w:eastAsia="zh-CN"/>
        </w:rPr>
        <w:t>4483.58</w:t>
      </w:r>
      <w:r>
        <w:rPr>
          <w:rFonts w:hint="default" w:ascii="Times New Roman" w:hAnsi="Times New Roman" w:eastAsia="仿宋_GB2312" w:cs="Times New Roman"/>
          <w:color w:val="auto"/>
          <w:sz w:val="32"/>
          <w:szCs w:val="32"/>
        </w:rPr>
        <w:t>万元，其中年初预算</w:t>
      </w:r>
      <w:r>
        <w:rPr>
          <w:rFonts w:hint="eastAsia" w:ascii="Times New Roman" w:hAnsi="Times New Roman" w:eastAsia="仿宋_GB2312" w:cs="Times New Roman"/>
          <w:color w:val="auto"/>
          <w:sz w:val="32"/>
          <w:szCs w:val="32"/>
          <w:lang w:val="en-US" w:eastAsia="zh-CN"/>
        </w:rPr>
        <w:t>1152.5</w:t>
      </w:r>
      <w:r>
        <w:rPr>
          <w:rFonts w:hint="default" w:ascii="Times New Roman" w:hAnsi="Times New Roman" w:eastAsia="仿宋_GB2312" w:cs="Times New Roman"/>
          <w:color w:val="auto"/>
          <w:sz w:val="32"/>
          <w:szCs w:val="32"/>
        </w:rPr>
        <w:t>万元，调整追加</w:t>
      </w:r>
      <w:r>
        <w:rPr>
          <w:rFonts w:hint="eastAsia" w:ascii="Times New Roman" w:hAnsi="Times New Roman" w:eastAsia="仿宋_GB2312" w:cs="Times New Roman"/>
          <w:color w:val="auto"/>
          <w:sz w:val="32"/>
          <w:szCs w:val="32"/>
          <w:lang w:val="en-US" w:eastAsia="zh-CN"/>
        </w:rPr>
        <w:t>3246.31</w:t>
      </w:r>
      <w:r>
        <w:rPr>
          <w:rFonts w:hint="default" w:ascii="Times New Roman" w:hAnsi="Times New Roman" w:eastAsia="仿宋_GB2312" w:cs="Times New Roman"/>
          <w:color w:val="auto"/>
          <w:sz w:val="32"/>
          <w:szCs w:val="32"/>
        </w:rPr>
        <w:t>万元。其他资金来源</w:t>
      </w:r>
      <w:r>
        <w:rPr>
          <w:rFonts w:hint="eastAsia" w:ascii="Times New Roman" w:hAnsi="Times New Roman" w:eastAsia="仿宋_GB2312" w:cs="Times New Roman"/>
          <w:color w:val="auto"/>
          <w:sz w:val="32"/>
          <w:szCs w:val="32"/>
          <w:lang w:val="en-US" w:eastAsia="zh-CN"/>
        </w:rPr>
        <w:t>84.77</w:t>
      </w:r>
      <w:r>
        <w:rPr>
          <w:rFonts w:hint="default" w:ascii="Times New Roman" w:hAnsi="Times New Roman" w:eastAsia="仿宋_GB2312" w:cs="Times New Roman"/>
          <w:color w:val="auto"/>
          <w:sz w:val="32"/>
          <w:szCs w:val="32"/>
        </w:rPr>
        <w:t>万元。</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2023</w:t>
      </w:r>
      <w:r>
        <w:rPr>
          <w:rFonts w:hint="default" w:ascii="Times New Roman" w:hAnsi="Times New Roman" w:eastAsia="仿宋_GB2312" w:cs="Times New Roman"/>
          <w:color w:val="auto"/>
          <w:sz w:val="32"/>
          <w:szCs w:val="32"/>
        </w:rPr>
        <w:t>年支出</w:t>
      </w:r>
      <w:r>
        <w:rPr>
          <w:rFonts w:hint="eastAsia" w:ascii="Times New Roman" w:hAnsi="Times New Roman" w:eastAsia="仿宋_GB2312" w:cs="Times New Roman"/>
          <w:color w:val="auto"/>
          <w:sz w:val="32"/>
          <w:szCs w:val="32"/>
          <w:lang w:val="en-US" w:eastAsia="zh-CN"/>
        </w:rPr>
        <w:t>4483.58</w:t>
      </w:r>
      <w:r>
        <w:rPr>
          <w:rFonts w:hint="default" w:ascii="Times New Roman" w:hAnsi="Times New Roman" w:eastAsia="仿宋_GB2312" w:cs="Times New Roman"/>
          <w:color w:val="auto"/>
          <w:sz w:val="32"/>
          <w:szCs w:val="32"/>
        </w:rPr>
        <w:t>万元，其中基本支出</w:t>
      </w:r>
      <w:r>
        <w:rPr>
          <w:rFonts w:hint="eastAsia" w:ascii="Times New Roman" w:hAnsi="Times New Roman" w:eastAsia="仿宋_GB2312" w:cs="Times New Roman"/>
          <w:color w:val="auto"/>
          <w:sz w:val="32"/>
          <w:szCs w:val="32"/>
          <w:lang w:val="en-US" w:eastAsia="zh-CN"/>
        </w:rPr>
        <w:t>523.08</w:t>
      </w:r>
      <w:r>
        <w:rPr>
          <w:rFonts w:hint="default" w:ascii="Times New Roman" w:hAnsi="Times New Roman" w:eastAsia="仿宋_GB2312" w:cs="Times New Roman"/>
          <w:color w:val="auto"/>
          <w:sz w:val="32"/>
          <w:szCs w:val="32"/>
        </w:rPr>
        <w:t>万元，项目支出</w:t>
      </w:r>
      <w:r>
        <w:rPr>
          <w:rFonts w:hint="eastAsia" w:ascii="Times New Roman" w:hAnsi="Times New Roman" w:eastAsia="仿宋_GB2312" w:cs="Times New Roman"/>
          <w:color w:val="auto"/>
          <w:sz w:val="32"/>
          <w:szCs w:val="32"/>
          <w:lang w:val="en-US" w:eastAsia="zh-CN"/>
        </w:rPr>
        <w:t>3960.5</w:t>
      </w:r>
      <w:r>
        <w:rPr>
          <w:rFonts w:hint="default" w:ascii="Times New Roman" w:hAnsi="Times New Roman" w:eastAsia="仿宋_GB2312" w:cs="Times New Roman"/>
          <w:color w:val="auto"/>
          <w:sz w:val="32"/>
          <w:szCs w:val="32"/>
        </w:rPr>
        <w:t>万元，结余结转</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w:t>
      </w:r>
    </w:p>
    <w:p>
      <w:pPr>
        <w:tabs>
          <w:tab w:val="left" w:pos="7560"/>
        </w:tabs>
        <w:adjustRightInd w:val="0"/>
        <w:snapToGrid w:val="0"/>
        <w:spacing w:line="540" w:lineRule="exact"/>
        <w:ind w:firstLine="640" w:firstLineChars="200"/>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三、资金使用及绩效情况（包含单位管理的公共专项）</w:t>
      </w:r>
    </w:p>
    <w:p>
      <w:pPr>
        <w:tabs>
          <w:tab w:val="left" w:pos="7560"/>
        </w:tabs>
        <w:adjustRightInd w:val="0"/>
        <w:snapToGrid w:val="0"/>
        <w:spacing w:line="540" w:lineRule="exact"/>
        <w:ind w:firstLine="640" w:firstLineChars="200"/>
        <w:jc w:val="left"/>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（一）整体支出绩效情况</w:t>
      </w:r>
    </w:p>
    <w:p>
      <w:pPr>
        <w:tabs>
          <w:tab w:val="left" w:pos="7560"/>
        </w:tabs>
        <w:adjustRightInd w:val="0"/>
        <w:snapToGrid w:val="0"/>
        <w:spacing w:line="540" w:lineRule="exact"/>
        <w:ind w:firstLine="640" w:firstLineChars="200"/>
        <w:jc w:val="left"/>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一、重点工作</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建立非免疫规划疫苗专款专用。针对宫颈癌疫苗等紧俏疫苗供货量少、群众需求大、预约接种困难的问题，通过多方努力，畅通非税疫苗回款机制，非税收入能及时回款到供货商，非免疫规划疫苗货源供应增加。2023年1-12月累计采购宫颈癌疫苗24209支。</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应急处置迅速，杜绝疫情传播。8月份我中心接到第一例猴痘病例及登革热病例后，立即启动应急响应，并赶赴现场开展相应的流行病学调查、样本采集及隔离治疗处置，有效制止了疫情的扩散蔓延，充分体现了我区传染病监测系统的敏感性以及传染病疫情处置的及时性。我区处置的第1例登革热，在全省培训班上被列为典型处置案例。</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开设中心公众号。充分利用新媒体优势，开设“石峰疾控”微信公众号，上线6天时间关注公众号人数达到2.2万，其中《石峰区学校（幼儿园）传染病防控家长告知书》阅读量近2万。“石峰疾控”公众号开通半年近四万人关注，发布文章102篇。</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7月20日，省血吸虫病防治督导组采取了现场督查、听取汇报、查阅资料的方式对我区进行汛期血吸虫病防治工作督导进行，对我区血防工作所取得的成绩给予了充分肯定。</w:t>
      </w:r>
    </w:p>
    <w:p>
      <w:pPr>
        <w:tabs>
          <w:tab w:val="left" w:pos="7560"/>
        </w:tabs>
        <w:adjustRightInd w:val="0"/>
        <w:snapToGrid w:val="0"/>
        <w:spacing w:line="540" w:lineRule="exact"/>
        <w:ind w:firstLine="640" w:firstLineChars="200"/>
        <w:jc w:val="left"/>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二</w:t>
      </w:r>
      <w:r>
        <w:rPr>
          <w:rFonts w:hint="eastAsia" w:ascii="Times New Roman" w:hAnsi="Times New Roman" w:eastAsia="仿宋_GB2312" w:cs="Times New Roman"/>
          <w:color w:val="auto"/>
          <w:sz w:val="32"/>
          <w:szCs w:val="32"/>
          <w:lang w:eastAsia="zh-CN"/>
        </w:rPr>
        <w:t>、主要工作成效</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提高应急处置能力，把好传染防控关口。成立了4支突发公共卫生事件应急处置机动队，每个机动队明确带队领导，每个队员配置了应急箱、准备了应急物资。截至12月11日我区报告传染病19种共6223例，报告发病率为1813.06/10万。5月12日开展石峰区新形势下新冠病毒疫情防控应急演练，此次演练不仅井然有序的完成了新冠病毒致病力增强变异株聚集性疫情处置的各个环节，同时还根据新形势下的新要求来对部门环节进行调整。</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有效落实免疫规划，共筑株洲免疫长城。按时完成全区免疫规划工作技术培训，规范冷链运转工作，按计划分配免疫规划疫苗、非免疫规划疫苗，实行专帐管理，做到了苗帐相符。按计划开展年度接种率调查，我区常住儿童、流动儿童疫苗接种率均保持在95%以上。加强疑似预防接种异常反应监测处理工作，目前，全区共监测处理AEFI126例。完成4个季度麻风病症状监测任务43人、完成调查332人。</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聚焦慢病防控管理，守护群众身体健康。根据慢病防控管理要求，结合5.20学生营养日、6.6全国爱眼日以及9月全民健康生活方式月和10月份精神卫生宣传日等形式全年开展宣传活动25场，惠及群众5300人。完成124人的健康素养调查；完成了2020年肿瘤年报数据上报工作，完成了597例肿瘤病例收集整理与编码；及时完成死亡病例的审核工作，目前完成死亡病例审核共计2257条，及时对接了公安部门和民政殡葬部门死亡数据，进行比对、删重、下发录入系统工作。</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持好蓝盾卫士利剑，当好卫生健康护卫。全年开展普法宣传7场，发放宣传资料6920份，接受群众咨询680人次。全年累计开展执法检查活动2118家次、出动执法人员5456人次、下达卫生监督意见书1232余份、办理案件92起（其中简易程序81起、一般程序11起），罚款3.15万元。全年办理卫生行政许可227件。完成国家双随机任务71家、区“</w:t>
      </w:r>
      <w:r>
        <w:rPr>
          <w:rFonts w:hint="eastAsia" w:ascii="Times New Roman" w:hAnsi="Times New Roman" w:eastAsia="仿宋_GB2312" w:cs="Times New Roman"/>
          <w:color w:val="auto"/>
          <w:sz w:val="32"/>
          <w:szCs w:val="32"/>
          <w:lang w:eastAsia="zh-CN"/>
        </w:rPr>
        <w:t>“双随机、一公开”</w:t>
      </w:r>
      <w:r>
        <w:rPr>
          <w:rFonts w:hint="default" w:ascii="Times New Roman" w:hAnsi="Times New Roman" w:eastAsia="仿宋_GB2312" w:cs="Times New Roman"/>
          <w:color w:val="auto"/>
          <w:sz w:val="32"/>
          <w:szCs w:val="32"/>
        </w:rPr>
        <w:t>”任务52家，并将监督监测结果于石峰区政府门户网公示。</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按时完成常规动作，各项工作成绩斐然。统筹推进结核病、艾滋病及性病、血吸虫病、麻风病、碘缺乏病、严重精神障碍性疾病等防控工作。着力提升实验室能力水平，今年完成1828份监测工作。</w:t>
      </w:r>
    </w:p>
    <w:p>
      <w:pPr>
        <w:tabs>
          <w:tab w:val="left" w:pos="7560"/>
        </w:tabs>
        <w:adjustRightInd w:val="0"/>
        <w:snapToGrid w:val="0"/>
        <w:spacing w:line="540" w:lineRule="exact"/>
        <w:ind w:firstLine="640" w:firstLineChars="200"/>
        <w:jc w:val="left"/>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（二）项目支出绩效情况</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项目“</w:t>
      </w:r>
      <w:r>
        <w:rPr>
          <w:rFonts w:hint="eastAsia" w:ascii="Times New Roman" w:hAnsi="Times New Roman" w:eastAsia="仿宋_GB2312" w:cs="Times New Roman"/>
          <w:color w:val="auto"/>
          <w:sz w:val="32"/>
          <w:szCs w:val="32"/>
          <w:lang w:eastAsia="zh-CN"/>
        </w:rPr>
        <w:t>疾控公共卫生专项</w:t>
      </w:r>
      <w:r>
        <w:rPr>
          <w:rFonts w:hint="default" w:ascii="Times New Roman" w:hAnsi="Times New Roman" w:eastAsia="仿宋_GB2312" w:cs="Times New Roman"/>
          <w:color w:val="auto"/>
          <w:sz w:val="32"/>
          <w:szCs w:val="32"/>
        </w:rPr>
        <w:t>”年初预算金额</w:t>
      </w:r>
      <w:r>
        <w:rPr>
          <w:rFonts w:hint="eastAsia"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上级转移支付</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万元，年中调增（减）</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追加（减）</w:t>
      </w:r>
      <w:r>
        <w:rPr>
          <w:rFonts w:hint="eastAsia" w:ascii="Times New Roman" w:hAnsi="Times New Roman" w:eastAsia="仿宋_GB2312" w:cs="Times New Roman"/>
          <w:color w:val="auto"/>
          <w:sz w:val="32"/>
          <w:szCs w:val="32"/>
          <w:lang w:val="en-US" w:eastAsia="zh-CN"/>
        </w:rPr>
        <w:t>0万元，</w:t>
      </w:r>
      <w:r>
        <w:rPr>
          <w:rFonts w:hint="default" w:ascii="Times New Roman" w:hAnsi="Times New Roman" w:eastAsia="仿宋_GB2312" w:cs="Times New Roman"/>
          <w:color w:val="auto"/>
          <w:sz w:val="32"/>
          <w:szCs w:val="32"/>
        </w:rPr>
        <w:t>实际支出</w:t>
      </w:r>
      <w:r>
        <w:rPr>
          <w:rFonts w:hint="eastAsia"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rPr>
        <w:t>万元，结余结转</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万元。项目实施及绩效情况如下：</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项目支出7万元，主要用于健康素养调查</w:t>
      </w:r>
      <w:r>
        <w:rPr>
          <w:rFonts w:hint="eastAsia" w:ascii="Times New Roman" w:hAnsi="Times New Roman" w:eastAsia="仿宋_GB2312" w:cs="Times New Roman"/>
          <w:color w:val="auto"/>
          <w:sz w:val="32"/>
          <w:szCs w:val="32"/>
          <w:lang w:eastAsia="zh-CN"/>
        </w:rPr>
        <w:t>以及</w:t>
      </w:r>
      <w:r>
        <w:rPr>
          <w:rFonts w:hint="default" w:ascii="Times New Roman" w:hAnsi="Times New Roman" w:eastAsia="仿宋_GB2312" w:cs="Times New Roman"/>
          <w:color w:val="auto"/>
          <w:sz w:val="32"/>
          <w:szCs w:val="32"/>
        </w:rPr>
        <w:t>健康教育与健康促进工作。</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项目实施：我中心认真贯彻落实八项规定，厉行节约，制定了《内部控制制度》和《专项资金管理办法》，严格资金使用范围和审批程序，专项核算，有效保障此项工作顺利开展，完成年度工作任务。严格执行政府采购程序。</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项目绩效情况：我区完成了372人的调查工作，完成率100%。我区城乡居民健康素养基本知识和技能总知晓率为26.51%</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我区居民健康素养水平提高了。</w:t>
      </w:r>
    </w:p>
    <w:p>
      <w:pPr>
        <w:tabs>
          <w:tab w:val="left" w:pos="7560"/>
        </w:tabs>
        <w:adjustRightInd w:val="0"/>
        <w:snapToGrid w:val="0"/>
        <w:spacing w:line="540" w:lineRule="exact"/>
        <w:ind w:firstLine="640" w:firstLineChars="200"/>
        <w:jc w:val="left"/>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项目“</w:t>
      </w:r>
      <w:r>
        <w:rPr>
          <w:rFonts w:hint="eastAsia" w:ascii="Times New Roman" w:hAnsi="Times New Roman" w:eastAsia="仿宋_GB2312" w:cs="Times New Roman"/>
          <w:color w:val="auto"/>
          <w:sz w:val="32"/>
          <w:szCs w:val="32"/>
          <w:lang w:eastAsia="zh-CN"/>
        </w:rPr>
        <w:t>疫情防控专项</w:t>
      </w:r>
      <w:r>
        <w:rPr>
          <w:rFonts w:hint="default" w:ascii="Times New Roman" w:hAnsi="Times New Roman" w:eastAsia="仿宋_GB2312" w:cs="Times New Roman"/>
          <w:color w:val="auto"/>
          <w:sz w:val="32"/>
          <w:szCs w:val="32"/>
        </w:rPr>
        <w:t>”年初预算金额</w:t>
      </w:r>
      <w:r>
        <w:rPr>
          <w:rFonts w:hint="eastAsia" w:ascii="Times New Roman" w:hAnsi="Times New Roman" w:eastAsia="仿宋_GB2312" w:cs="Times New Roman"/>
          <w:color w:val="auto"/>
          <w:sz w:val="32"/>
          <w:szCs w:val="32"/>
          <w:lang w:val="en-US" w:eastAsia="zh-CN"/>
        </w:rPr>
        <w:t>800</w:t>
      </w:r>
      <w:r>
        <w:rPr>
          <w:rFonts w:hint="default"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上级转移支付</w:t>
      </w:r>
      <w:r>
        <w:rPr>
          <w:rFonts w:hint="eastAsia" w:ascii="Times New Roman" w:hAnsi="Times New Roman" w:eastAsia="仿宋_GB2312" w:cs="Times New Roman"/>
          <w:color w:val="auto"/>
          <w:sz w:val="32"/>
          <w:szCs w:val="32"/>
          <w:lang w:val="en-US" w:eastAsia="zh-CN"/>
        </w:rPr>
        <w:t>510.34</w:t>
      </w:r>
      <w:r>
        <w:rPr>
          <w:rFonts w:hint="default" w:ascii="Times New Roman" w:hAnsi="Times New Roman" w:eastAsia="仿宋_GB2312" w:cs="Times New Roman"/>
          <w:color w:val="auto"/>
          <w:sz w:val="32"/>
          <w:szCs w:val="32"/>
        </w:rPr>
        <w:t>万元，年中调增</w:t>
      </w:r>
      <w:r>
        <w:rPr>
          <w:rFonts w:hint="eastAsia" w:ascii="Times New Roman" w:hAnsi="Times New Roman" w:eastAsia="仿宋_GB2312" w:cs="Times New Roman"/>
          <w:color w:val="auto"/>
          <w:sz w:val="32"/>
          <w:szCs w:val="32"/>
          <w:lang w:val="en-US" w:eastAsia="zh-CN"/>
        </w:rPr>
        <w:t>81.85</w:t>
      </w:r>
      <w:r>
        <w:rPr>
          <w:rFonts w:hint="default"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val="en-US" w:eastAsia="zh-CN"/>
        </w:rPr>
        <w:t>调</w:t>
      </w:r>
      <w:r>
        <w:rPr>
          <w:rFonts w:hint="eastAsia" w:ascii="Times New Roman" w:hAnsi="Times New Roman" w:eastAsia="仿宋_GB2312" w:cs="Times New Roman"/>
          <w:color w:val="auto"/>
          <w:sz w:val="32"/>
          <w:szCs w:val="32"/>
          <w:lang w:eastAsia="zh-CN"/>
        </w:rPr>
        <w:t>减</w:t>
      </w:r>
      <w:r>
        <w:rPr>
          <w:rFonts w:hint="eastAsia" w:ascii="Times New Roman" w:hAnsi="Times New Roman" w:eastAsia="仿宋_GB2312" w:cs="Times New Roman"/>
          <w:color w:val="auto"/>
          <w:sz w:val="32"/>
          <w:szCs w:val="32"/>
          <w:lang w:val="en-US" w:eastAsia="zh-CN"/>
        </w:rPr>
        <w:t>156.11</w:t>
      </w:r>
      <w:r>
        <w:rPr>
          <w:rFonts w:hint="eastAsia" w:ascii="Times New Roman" w:hAnsi="Times New Roman" w:eastAsia="仿宋_GB2312" w:cs="Times New Roman"/>
          <w:color w:val="auto"/>
          <w:sz w:val="32"/>
          <w:szCs w:val="32"/>
          <w:lang w:eastAsia="zh-CN"/>
        </w:rPr>
        <w:t>万元</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实际支出</w:t>
      </w:r>
      <w:r>
        <w:rPr>
          <w:rFonts w:hint="eastAsia" w:ascii="Times New Roman" w:hAnsi="Times New Roman" w:eastAsia="仿宋_GB2312" w:cs="Times New Roman"/>
          <w:color w:val="auto"/>
          <w:sz w:val="32"/>
          <w:szCs w:val="32"/>
          <w:lang w:val="en-US" w:eastAsia="zh-CN"/>
        </w:rPr>
        <w:t>723.44</w:t>
      </w:r>
      <w:r>
        <w:rPr>
          <w:rFonts w:hint="default" w:ascii="Times New Roman" w:hAnsi="Times New Roman" w:eastAsia="仿宋_GB2312" w:cs="Times New Roman"/>
          <w:color w:val="auto"/>
          <w:sz w:val="32"/>
          <w:szCs w:val="32"/>
        </w:rPr>
        <w:t>万元，结余结转</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剩余512.64万元年底被财政收回</w:t>
      </w:r>
      <w:r>
        <w:rPr>
          <w:rFonts w:hint="default" w:ascii="Times New Roman" w:hAnsi="Times New Roman" w:eastAsia="仿宋_GB2312" w:cs="Times New Roman"/>
          <w:color w:val="auto"/>
          <w:sz w:val="32"/>
          <w:szCs w:val="32"/>
        </w:rPr>
        <w:t>。项目实施及绩效情况如下：</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项目支出7</w:t>
      </w:r>
      <w:r>
        <w:rPr>
          <w:rFonts w:hint="eastAsia" w:ascii="Times New Roman" w:hAnsi="Times New Roman" w:eastAsia="仿宋_GB2312" w:cs="Times New Roman"/>
          <w:color w:val="auto"/>
          <w:sz w:val="32"/>
          <w:szCs w:val="32"/>
          <w:lang w:val="en-US" w:eastAsia="zh-CN"/>
        </w:rPr>
        <w:t>23.44</w:t>
      </w:r>
      <w:r>
        <w:rPr>
          <w:rFonts w:hint="default" w:ascii="Times New Roman" w:hAnsi="Times New Roman" w:eastAsia="仿宋_GB2312" w:cs="Times New Roman"/>
          <w:color w:val="auto"/>
          <w:sz w:val="32"/>
          <w:szCs w:val="32"/>
        </w:rPr>
        <w:t>万元，主要用于</w:t>
      </w:r>
      <w:r>
        <w:rPr>
          <w:rFonts w:hint="eastAsia" w:ascii="Times New Roman" w:hAnsi="Times New Roman" w:eastAsia="仿宋_GB2312" w:cs="Times New Roman"/>
          <w:color w:val="auto"/>
          <w:sz w:val="32"/>
          <w:szCs w:val="32"/>
          <w:lang w:eastAsia="zh-CN"/>
        </w:rPr>
        <w:t>2021-2022年度新冠疫情防控欠款支付</w:t>
      </w:r>
      <w:r>
        <w:rPr>
          <w:rFonts w:hint="default" w:ascii="Times New Roman" w:hAnsi="Times New Roman" w:eastAsia="仿宋_GB2312" w:cs="Times New Roman"/>
          <w:color w:val="auto"/>
          <w:sz w:val="32"/>
          <w:szCs w:val="32"/>
        </w:rPr>
        <w:t>。</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项目实施：我中心认真贯彻落实八项规定，厉行节约，制定了《内部控制制度》和《专项资金管理办法》，严格资金使用范围和审批程序，专项核算，有效保障此项工作顺利开展，完成年度工作任务。严格执行政府采购程序。</w:t>
      </w:r>
    </w:p>
    <w:p>
      <w:pPr>
        <w:tabs>
          <w:tab w:val="left" w:pos="7560"/>
        </w:tabs>
        <w:adjustRightInd w:val="0"/>
        <w:snapToGrid w:val="0"/>
        <w:spacing w:line="540" w:lineRule="exact"/>
        <w:ind w:left="638" w:leftChars="304" w:firstLine="0" w:firstLineChars="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项目绩效情况：</w:t>
      </w:r>
      <w:r>
        <w:rPr>
          <w:rFonts w:hint="eastAsia" w:ascii="Times New Roman" w:hAnsi="Times New Roman" w:eastAsia="仿宋_GB2312" w:cs="Times New Roman"/>
          <w:color w:val="auto"/>
          <w:sz w:val="32"/>
          <w:szCs w:val="32"/>
          <w:lang w:eastAsia="zh-CN"/>
        </w:rPr>
        <w:t>清偿了</w:t>
      </w:r>
      <w:r>
        <w:rPr>
          <w:rFonts w:hint="eastAsia" w:ascii="Times New Roman" w:hAnsi="Times New Roman" w:eastAsia="仿宋_GB2312" w:cs="Times New Roman"/>
          <w:color w:val="auto"/>
          <w:sz w:val="32"/>
          <w:szCs w:val="32"/>
          <w:lang w:val="en-US" w:eastAsia="zh-CN"/>
        </w:rPr>
        <w:t>723.44万以前年度疫情防控欠款</w:t>
      </w:r>
      <w:r>
        <w:rPr>
          <w:rFonts w:hint="default" w:ascii="Times New Roman" w:hAnsi="Times New Roman" w:eastAsia="仿宋_GB2312" w:cs="Times New Roman"/>
          <w:color w:val="auto"/>
          <w:sz w:val="32"/>
          <w:szCs w:val="32"/>
        </w:rPr>
        <w:t>。</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项目“</w:t>
      </w:r>
      <w:r>
        <w:rPr>
          <w:rFonts w:hint="eastAsia" w:ascii="Times New Roman" w:hAnsi="Times New Roman" w:eastAsia="仿宋_GB2312" w:cs="Times New Roman"/>
          <w:color w:val="auto"/>
          <w:sz w:val="32"/>
          <w:szCs w:val="32"/>
          <w:lang w:eastAsia="zh-CN"/>
        </w:rPr>
        <w:t>卫监公共卫生专项</w:t>
      </w:r>
      <w:r>
        <w:rPr>
          <w:rFonts w:hint="default" w:ascii="Times New Roman" w:hAnsi="Times New Roman" w:eastAsia="仿宋_GB2312" w:cs="Times New Roman"/>
          <w:color w:val="auto"/>
          <w:sz w:val="32"/>
          <w:szCs w:val="32"/>
        </w:rPr>
        <w:t>”年初预算金额</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w:t>
      </w:r>
      <w:r>
        <w:rPr>
          <w:rFonts w:hint="default" w:ascii="Times New Roman" w:hAnsi="Times New Roman" w:eastAsia="仿宋_GB2312" w:cs="Times New Roman"/>
          <w:color w:val="auto"/>
          <w:sz w:val="32"/>
          <w:szCs w:val="32"/>
          <w:lang w:val="en-US" w:eastAsia="zh-CN"/>
        </w:rPr>
        <w:t>实际支出</w:t>
      </w: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val="en-US" w:eastAsia="zh-CN"/>
        </w:rPr>
        <w:t>万元，结余结转</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lang w:val="en-US" w:eastAsia="zh-CN"/>
        </w:rPr>
        <w:t>万元。项目实施及绩效情况如下：</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项目支出</w:t>
      </w: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万元，主要用于</w:t>
      </w:r>
      <w:r>
        <w:rPr>
          <w:rFonts w:hint="eastAsia" w:ascii="Times New Roman" w:hAnsi="Times New Roman" w:eastAsia="仿宋_GB2312" w:cs="Times New Roman"/>
          <w:color w:val="auto"/>
          <w:sz w:val="32"/>
          <w:szCs w:val="32"/>
          <w:lang w:eastAsia="zh-CN"/>
        </w:rPr>
        <w:t>医疗废物专项整治行动、宣传职业病防治工作普法等</w:t>
      </w:r>
      <w:r>
        <w:rPr>
          <w:rFonts w:hint="default" w:ascii="Times New Roman" w:hAnsi="Times New Roman" w:eastAsia="仿宋_GB2312" w:cs="Times New Roman"/>
          <w:color w:val="auto"/>
          <w:sz w:val="32"/>
          <w:szCs w:val="32"/>
        </w:rPr>
        <w:t>。</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项目实施：我中心认真贯彻落实八项规定，厉行节约，制定了《内部控制制度》和《专项资金管理办法》，严格资金使用范围和审批程序，专项核算，有效保障此项工作顺利开展，完成年度工作任务。严格执行政府采购程序。</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项目绩效情况：</w:t>
      </w:r>
      <w:r>
        <w:rPr>
          <w:rFonts w:hint="eastAsia" w:ascii="Times New Roman" w:hAnsi="Times New Roman" w:eastAsia="仿宋_GB2312" w:cs="Times New Roman"/>
          <w:color w:val="auto"/>
          <w:sz w:val="32"/>
          <w:szCs w:val="32"/>
          <w:lang w:eastAsia="zh-CN"/>
        </w:rPr>
        <w:t>完成监督执法检查活动2118家次、出动执法人员5456人次、下达卫生监督意见书1232余份、办理案件92起（其中简易程序81起、一般程序11起），罚款3.15万元。完成国家双随机任务71家、“</w:t>
      </w:r>
      <w:bookmarkStart w:id="0" w:name="_GoBack"/>
      <w:bookmarkEnd w:id="0"/>
      <w:r>
        <w:rPr>
          <w:rFonts w:hint="eastAsia" w:ascii="Times New Roman" w:hAnsi="Times New Roman" w:eastAsia="仿宋_GB2312" w:cs="Times New Roman"/>
          <w:color w:val="auto"/>
          <w:sz w:val="32"/>
          <w:szCs w:val="32"/>
          <w:lang w:eastAsia="zh-CN"/>
        </w:rPr>
        <w:t>“双随机、一公开””任务52家，向用人单位和劳动者广泛宣传培训职业病防治法律法规基本知识和常见职业病危害预防等知识，共计发放宣传手册4000余册，开展6场专场普法宣贯活动等。</w:t>
      </w:r>
    </w:p>
    <w:p>
      <w:pPr>
        <w:numPr>
          <w:ilvl w:val="0"/>
          <w:numId w:val="0"/>
        </w:num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项目“</w:t>
      </w:r>
      <w:r>
        <w:rPr>
          <w:rFonts w:hint="eastAsia" w:ascii="Times New Roman" w:hAnsi="Times New Roman" w:eastAsia="仿宋_GB2312" w:cs="Times New Roman"/>
          <w:color w:val="auto"/>
          <w:sz w:val="32"/>
          <w:szCs w:val="32"/>
          <w:lang w:eastAsia="zh-CN"/>
        </w:rPr>
        <w:t>国卫复审</w:t>
      </w:r>
      <w:r>
        <w:rPr>
          <w:rFonts w:hint="default" w:ascii="Times New Roman" w:hAnsi="Times New Roman" w:eastAsia="仿宋_GB2312" w:cs="Times New Roman"/>
          <w:color w:val="auto"/>
          <w:sz w:val="32"/>
          <w:szCs w:val="32"/>
        </w:rPr>
        <w:t>”年初预算金额</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w:t>
      </w:r>
      <w:r>
        <w:rPr>
          <w:rFonts w:hint="default" w:ascii="Times New Roman" w:hAnsi="Times New Roman" w:eastAsia="仿宋_GB2312" w:cs="Times New Roman"/>
          <w:color w:val="auto"/>
          <w:sz w:val="32"/>
          <w:szCs w:val="32"/>
          <w:lang w:val="en-US" w:eastAsia="zh-CN"/>
        </w:rPr>
        <w:t>实际支出</w:t>
      </w:r>
      <w:r>
        <w:rPr>
          <w:rFonts w:hint="eastAsia" w:ascii="Times New Roman" w:hAnsi="Times New Roman" w:eastAsia="仿宋_GB2312" w:cs="Times New Roman"/>
          <w:color w:val="auto"/>
          <w:sz w:val="32"/>
          <w:szCs w:val="32"/>
          <w:lang w:val="en-US" w:eastAsia="zh-CN"/>
        </w:rPr>
        <w:t>19.75</w:t>
      </w:r>
      <w:r>
        <w:rPr>
          <w:rFonts w:hint="default" w:ascii="Times New Roman" w:hAnsi="Times New Roman" w:eastAsia="仿宋_GB2312" w:cs="Times New Roman"/>
          <w:color w:val="auto"/>
          <w:sz w:val="32"/>
          <w:szCs w:val="32"/>
          <w:lang w:val="en-US" w:eastAsia="zh-CN"/>
        </w:rPr>
        <w:t>万元，结余结转</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lang w:val="en-US" w:eastAsia="zh-CN"/>
        </w:rPr>
        <w:t>万元。项目实施及绩效情况如下：</w:t>
      </w:r>
    </w:p>
    <w:p>
      <w:pPr>
        <w:tabs>
          <w:tab w:val="left" w:pos="7560"/>
        </w:tabs>
        <w:adjustRightInd w:val="0"/>
        <w:snapToGrid w:val="0"/>
        <w:spacing w:line="540" w:lineRule="exact"/>
        <w:ind w:firstLine="640" w:firstLineChars="200"/>
        <w:jc w:val="left"/>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项目支出</w:t>
      </w:r>
      <w:r>
        <w:rPr>
          <w:rFonts w:hint="eastAsia" w:ascii="Times New Roman" w:hAnsi="Times New Roman" w:eastAsia="仿宋_GB2312" w:cs="Times New Roman"/>
          <w:color w:val="auto"/>
          <w:sz w:val="32"/>
          <w:szCs w:val="32"/>
          <w:lang w:val="en-US" w:eastAsia="zh-CN"/>
        </w:rPr>
        <w:t>19.75</w:t>
      </w:r>
      <w:r>
        <w:rPr>
          <w:rFonts w:hint="default" w:ascii="Times New Roman" w:hAnsi="Times New Roman" w:eastAsia="仿宋_GB2312" w:cs="Times New Roman"/>
          <w:color w:val="auto"/>
          <w:sz w:val="32"/>
          <w:szCs w:val="32"/>
        </w:rPr>
        <w:t>万元，主要用于</w:t>
      </w:r>
      <w:r>
        <w:rPr>
          <w:rFonts w:hint="eastAsia" w:ascii="Times New Roman" w:hAnsi="Times New Roman" w:eastAsia="仿宋_GB2312" w:cs="Times New Roman"/>
          <w:color w:val="auto"/>
          <w:sz w:val="32"/>
          <w:szCs w:val="32"/>
          <w:lang w:eastAsia="zh-CN"/>
        </w:rPr>
        <w:t>夯实石峰区创卫复审基础，顺利通过国卫复审工作。</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项目实施：我中心认真贯彻落实八项规定，厉行节约，制定了《内部控制制度》和《专项资金管理办法》，严格资金使用范围和审批程序，专项核算，有效保障此项工作顺利开展，完成年度工作任务。严格执行政府采购程序。</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项目绩效情况：</w:t>
      </w:r>
      <w:r>
        <w:rPr>
          <w:rFonts w:hint="eastAsia" w:ascii="Times New Roman" w:hAnsi="Times New Roman" w:eastAsia="仿宋_GB2312" w:cs="Times New Roman"/>
          <w:color w:val="auto"/>
          <w:sz w:val="32"/>
          <w:szCs w:val="32"/>
          <w:lang w:eastAsia="zh-CN"/>
        </w:rPr>
        <w:t>进一步提升了石峰区卫生健康品质，也提高了执法服务质量。为高标准完成全国文明城市复审工作，从而进一步规范了行业行为，极大程度改善了辖区城市卫生面貌和形象，加强公共场所卫生监督保障能力，做好重大节日、重大活动的公共场所卫生监督保障工作。</w:t>
      </w:r>
    </w:p>
    <w:p>
      <w:pPr>
        <w:numPr>
          <w:ilvl w:val="0"/>
          <w:numId w:val="0"/>
        </w:num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项目“</w:t>
      </w:r>
      <w:r>
        <w:rPr>
          <w:rFonts w:hint="eastAsia" w:ascii="Times New Roman" w:hAnsi="Times New Roman" w:eastAsia="仿宋_GB2312" w:cs="Times New Roman"/>
          <w:color w:val="auto"/>
          <w:sz w:val="32"/>
          <w:szCs w:val="32"/>
          <w:lang w:eastAsia="zh-CN"/>
        </w:rPr>
        <w:t>艾滋病防治</w:t>
      </w:r>
      <w:r>
        <w:rPr>
          <w:rFonts w:hint="default" w:ascii="Times New Roman" w:hAnsi="Times New Roman" w:eastAsia="仿宋_GB2312" w:cs="Times New Roman"/>
          <w:color w:val="auto"/>
          <w:sz w:val="32"/>
          <w:szCs w:val="32"/>
        </w:rPr>
        <w:t>”年初预算金额</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w:t>
      </w:r>
      <w:r>
        <w:rPr>
          <w:rFonts w:hint="default" w:ascii="Times New Roman" w:hAnsi="Times New Roman" w:eastAsia="仿宋_GB2312" w:cs="Times New Roman"/>
          <w:color w:val="auto"/>
          <w:sz w:val="32"/>
          <w:szCs w:val="32"/>
          <w:lang w:val="en-US" w:eastAsia="zh-CN"/>
        </w:rPr>
        <w:t>实际支出</w:t>
      </w:r>
      <w:r>
        <w:rPr>
          <w:rFonts w:hint="eastAsia" w:ascii="Times New Roman" w:hAnsi="Times New Roman" w:eastAsia="仿宋_GB2312" w:cs="Times New Roman"/>
          <w:color w:val="auto"/>
          <w:sz w:val="32"/>
          <w:szCs w:val="32"/>
          <w:lang w:val="en-US" w:eastAsia="zh-CN"/>
        </w:rPr>
        <w:t>37.49</w:t>
      </w:r>
      <w:r>
        <w:rPr>
          <w:rFonts w:hint="default" w:ascii="Times New Roman" w:hAnsi="Times New Roman" w:eastAsia="仿宋_GB2312" w:cs="Times New Roman"/>
          <w:color w:val="auto"/>
          <w:sz w:val="32"/>
          <w:szCs w:val="32"/>
          <w:lang w:val="en-US" w:eastAsia="zh-CN"/>
        </w:rPr>
        <w:t>万元，结余结转</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lang w:val="en-US" w:eastAsia="zh-CN"/>
        </w:rPr>
        <w:t>万元。项目实施及绩效情况如下：</w:t>
      </w:r>
    </w:p>
    <w:p>
      <w:pPr>
        <w:tabs>
          <w:tab w:val="left" w:pos="7560"/>
        </w:tabs>
        <w:adjustRightInd w:val="0"/>
        <w:snapToGrid w:val="0"/>
        <w:spacing w:line="540" w:lineRule="exact"/>
        <w:ind w:firstLine="640" w:firstLineChars="200"/>
        <w:jc w:val="left"/>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项目支出</w:t>
      </w:r>
      <w:r>
        <w:rPr>
          <w:rFonts w:hint="eastAsia" w:ascii="Times New Roman" w:hAnsi="Times New Roman" w:eastAsia="仿宋_GB2312" w:cs="Times New Roman"/>
          <w:color w:val="auto"/>
          <w:sz w:val="32"/>
          <w:szCs w:val="32"/>
          <w:lang w:val="en-US" w:eastAsia="zh-CN"/>
        </w:rPr>
        <w:t>37.49</w:t>
      </w:r>
      <w:r>
        <w:rPr>
          <w:rFonts w:hint="default" w:ascii="Times New Roman" w:hAnsi="Times New Roman" w:eastAsia="仿宋_GB2312" w:cs="Times New Roman"/>
          <w:color w:val="auto"/>
          <w:sz w:val="32"/>
          <w:szCs w:val="32"/>
        </w:rPr>
        <w:t>万元，主要用于</w:t>
      </w:r>
      <w:r>
        <w:rPr>
          <w:rFonts w:hint="eastAsia" w:ascii="Times New Roman" w:hAnsi="Times New Roman" w:eastAsia="仿宋_GB2312" w:cs="Times New Roman"/>
          <w:color w:val="auto"/>
          <w:sz w:val="32"/>
          <w:szCs w:val="32"/>
          <w:lang w:eastAsia="zh-CN"/>
        </w:rPr>
        <w:t>艾滋病、性病防治管理工作。</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项目实施：我中心认真贯彻落实八项规定，厉行节约，制定了《内部控制制度》和《专项资金管理办法》，严格资金使用范围和审批程序，专项核算，有效保障此项工作顺利开展，完成年度工作任务。严格执行政府采购程序。</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项目绩效情况：</w:t>
      </w:r>
      <w:r>
        <w:rPr>
          <w:rFonts w:hint="eastAsia" w:ascii="Times New Roman" w:hAnsi="Times New Roman" w:eastAsia="仿宋_GB2312" w:cs="Times New Roman"/>
          <w:color w:val="auto"/>
          <w:sz w:val="32"/>
          <w:szCs w:val="32"/>
          <w:lang w:eastAsia="zh-CN"/>
        </w:rPr>
        <w:t>完成艾滋病病毒抗体筛查6万人次，自愿咨询检测任务565人次。高危行为暗娼检测人数285人，男男检测人数0人，性病门诊检测700人。减少艾滋病新发感染，降低艾滋病病死率，全区存活的艾滋病感染者和病人得到了控制。</w:t>
      </w:r>
    </w:p>
    <w:p>
      <w:pPr>
        <w:numPr>
          <w:ilvl w:val="0"/>
          <w:numId w:val="0"/>
        </w:num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项目“</w:t>
      </w:r>
      <w:r>
        <w:rPr>
          <w:rFonts w:hint="eastAsia" w:ascii="Times New Roman" w:hAnsi="Times New Roman" w:eastAsia="仿宋_GB2312" w:cs="Times New Roman"/>
          <w:color w:val="auto"/>
          <w:sz w:val="32"/>
          <w:szCs w:val="32"/>
          <w:lang w:eastAsia="zh-CN"/>
        </w:rPr>
        <w:t>血吸虫病防治</w:t>
      </w:r>
      <w:r>
        <w:rPr>
          <w:rFonts w:hint="default" w:ascii="Times New Roman" w:hAnsi="Times New Roman" w:eastAsia="仿宋_GB2312" w:cs="Times New Roman"/>
          <w:color w:val="auto"/>
          <w:sz w:val="32"/>
          <w:szCs w:val="32"/>
        </w:rPr>
        <w:t>”年初预算金额</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w:t>
      </w:r>
      <w:r>
        <w:rPr>
          <w:rFonts w:hint="default" w:ascii="Times New Roman" w:hAnsi="Times New Roman" w:eastAsia="仿宋_GB2312" w:cs="Times New Roman"/>
          <w:color w:val="auto"/>
          <w:sz w:val="32"/>
          <w:szCs w:val="32"/>
          <w:lang w:val="en-US" w:eastAsia="zh-CN"/>
        </w:rPr>
        <w:t>实际支出</w:t>
      </w:r>
      <w:r>
        <w:rPr>
          <w:rFonts w:hint="eastAsia" w:ascii="Times New Roman" w:hAnsi="Times New Roman" w:eastAsia="仿宋_GB2312" w:cs="Times New Roman"/>
          <w:color w:val="auto"/>
          <w:sz w:val="32"/>
          <w:szCs w:val="32"/>
          <w:lang w:val="en-US" w:eastAsia="zh-CN"/>
        </w:rPr>
        <w:t>34.13</w:t>
      </w:r>
      <w:r>
        <w:rPr>
          <w:rFonts w:hint="default" w:ascii="Times New Roman" w:hAnsi="Times New Roman" w:eastAsia="仿宋_GB2312" w:cs="Times New Roman"/>
          <w:color w:val="auto"/>
          <w:sz w:val="32"/>
          <w:szCs w:val="32"/>
          <w:lang w:val="en-US" w:eastAsia="zh-CN"/>
        </w:rPr>
        <w:t>万元，结余结转</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lang w:val="en-US" w:eastAsia="zh-CN"/>
        </w:rPr>
        <w:t>万元。项目实施及绩效情况如下：</w:t>
      </w:r>
    </w:p>
    <w:p>
      <w:pPr>
        <w:tabs>
          <w:tab w:val="left" w:pos="7560"/>
        </w:tabs>
        <w:adjustRightInd w:val="0"/>
        <w:snapToGrid w:val="0"/>
        <w:spacing w:line="540" w:lineRule="exact"/>
        <w:ind w:firstLine="640" w:firstLineChars="200"/>
        <w:jc w:val="left"/>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项目支出</w:t>
      </w:r>
      <w:r>
        <w:rPr>
          <w:rFonts w:hint="eastAsia" w:ascii="Times New Roman" w:hAnsi="Times New Roman" w:eastAsia="仿宋_GB2312" w:cs="Times New Roman"/>
          <w:color w:val="auto"/>
          <w:sz w:val="32"/>
          <w:szCs w:val="32"/>
          <w:lang w:val="en-US" w:eastAsia="zh-CN"/>
        </w:rPr>
        <w:t>34.13</w:t>
      </w:r>
      <w:r>
        <w:rPr>
          <w:rFonts w:hint="default" w:ascii="Times New Roman" w:hAnsi="Times New Roman" w:eastAsia="仿宋_GB2312" w:cs="Times New Roman"/>
          <w:color w:val="auto"/>
          <w:sz w:val="32"/>
          <w:szCs w:val="32"/>
        </w:rPr>
        <w:t>万元，主要用于</w:t>
      </w:r>
      <w:r>
        <w:rPr>
          <w:rFonts w:hint="eastAsia" w:ascii="Times New Roman" w:hAnsi="Times New Roman" w:eastAsia="仿宋_GB2312" w:cs="Times New Roman"/>
          <w:color w:val="auto"/>
          <w:sz w:val="32"/>
          <w:szCs w:val="32"/>
          <w:lang w:eastAsia="zh-CN"/>
        </w:rPr>
        <w:t>进一步巩固血吸虫病消除达标成果，落实急性血吸虫感染防控，加强疫情监测,做好血防综合治理等工作。</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项目实施：我中心认真贯彻落实八项规定，厉行节约，制定了《内部控制制度》和《专项资金管理办法》，严格资金使用范围和审批程序，专项核算，有效保障此项工作顺利开展，完成年度工作任务。严格执行政府采购程序。</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项目绩效情况：</w:t>
      </w:r>
      <w:r>
        <w:rPr>
          <w:rFonts w:hint="eastAsia" w:ascii="Times New Roman" w:hAnsi="Times New Roman" w:eastAsia="仿宋_GB2312" w:cs="Times New Roman"/>
          <w:color w:val="auto"/>
          <w:sz w:val="32"/>
          <w:szCs w:val="32"/>
          <w:lang w:eastAsia="zh-CN"/>
        </w:rPr>
        <w:t>查螺：完成719.7451万㎡；灭螺：完成300.4915万㎡；查病：完成10825人，以村（社区）为单位人群感染率均为0。</w:t>
      </w:r>
    </w:p>
    <w:p>
      <w:pPr>
        <w:numPr>
          <w:ilvl w:val="0"/>
          <w:numId w:val="0"/>
        </w:num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rPr>
        <w:t>项目“</w:t>
      </w:r>
      <w:r>
        <w:rPr>
          <w:rFonts w:hint="eastAsia" w:ascii="Times New Roman" w:hAnsi="Times New Roman" w:eastAsia="仿宋_GB2312" w:cs="Times New Roman"/>
          <w:color w:val="auto"/>
          <w:sz w:val="32"/>
          <w:szCs w:val="32"/>
          <w:lang w:eastAsia="zh-CN"/>
        </w:rPr>
        <w:t>结核病防治</w:t>
      </w:r>
      <w:r>
        <w:rPr>
          <w:rFonts w:hint="default" w:ascii="Times New Roman" w:hAnsi="Times New Roman" w:eastAsia="仿宋_GB2312" w:cs="Times New Roman"/>
          <w:color w:val="auto"/>
          <w:sz w:val="32"/>
          <w:szCs w:val="32"/>
        </w:rPr>
        <w:t>”年初预算金额</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w:t>
      </w:r>
      <w:r>
        <w:rPr>
          <w:rFonts w:hint="default" w:ascii="Times New Roman" w:hAnsi="Times New Roman" w:eastAsia="仿宋_GB2312" w:cs="Times New Roman"/>
          <w:color w:val="auto"/>
          <w:sz w:val="32"/>
          <w:szCs w:val="32"/>
          <w:lang w:val="en-US" w:eastAsia="zh-CN"/>
        </w:rPr>
        <w:t>实际支出</w:t>
      </w:r>
      <w:r>
        <w:rPr>
          <w:rFonts w:hint="eastAsia" w:ascii="Times New Roman" w:hAnsi="Times New Roman" w:eastAsia="仿宋_GB2312" w:cs="Times New Roman"/>
          <w:color w:val="auto"/>
          <w:sz w:val="32"/>
          <w:szCs w:val="32"/>
          <w:lang w:val="en-US" w:eastAsia="zh-CN"/>
        </w:rPr>
        <w:t>20.62</w:t>
      </w:r>
      <w:r>
        <w:rPr>
          <w:rFonts w:hint="default" w:ascii="Times New Roman" w:hAnsi="Times New Roman" w:eastAsia="仿宋_GB2312" w:cs="Times New Roman"/>
          <w:color w:val="auto"/>
          <w:sz w:val="32"/>
          <w:szCs w:val="32"/>
          <w:lang w:val="en-US" w:eastAsia="zh-CN"/>
        </w:rPr>
        <w:t>万元，结余结转</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lang w:val="en-US" w:eastAsia="zh-CN"/>
        </w:rPr>
        <w:t>万元。项目实施及绩效情况如下：</w:t>
      </w:r>
    </w:p>
    <w:p>
      <w:pPr>
        <w:tabs>
          <w:tab w:val="left" w:pos="7560"/>
        </w:tabs>
        <w:adjustRightInd w:val="0"/>
        <w:snapToGrid w:val="0"/>
        <w:spacing w:line="540" w:lineRule="exact"/>
        <w:ind w:firstLine="640" w:firstLineChars="200"/>
        <w:jc w:val="left"/>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项目支出</w:t>
      </w:r>
      <w:r>
        <w:rPr>
          <w:rFonts w:hint="eastAsia" w:ascii="Times New Roman" w:hAnsi="Times New Roman" w:eastAsia="仿宋_GB2312" w:cs="Times New Roman"/>
          <w:color w:val="auto"/>
          <w:sz w:val="32"/>
          <w:szCs w:val="32"/>
          <w:lang w:val="en-US" w:eastAsia="zh-CN"/>
        </w:rPr>
        <w:t>20.62</w:t>
      </w:r>
      <w:r>
        <w:rPr>
          <w:rFonts w:hint="default" w:ascii="Times New Roman" w:hAnsi="Times New Roman" w:eastAsia="仿宋_GB2312" w:cs="Times New Roman"/>
          <w:color w:val="auto"/>
          <w:sz w:val="32"/>
          <w:szCs w:val="32"/>
        </w:rPr>
        <w:t>万元，主要用于</w:t>
      </w:r>
      <w:r>
        <w:rPr>
          <w:rFonts w:hint="eastAsia" w:ascii="Times New Roman" w:hAnsi="Times New Roman" w:eastAsia="仿宋_GB2312" w:cs="Times New Roman"/>
          <w:color w:val="auto"/>
          <w:sz w:val="32"/>
          <w:szCs w:val="32"/>
          <w:lang w:eastAsia="zh-CN"/>
        </w:rPr>
        <w:t>入学新生筛查、健教宣传、结核病治疗管理、药具管理、学校结核病防控等。</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项目实施：我中心认真贯彻落实八项规定，厉行节约，制定了《内部控制制度》和《专项资金管理办法》，严格资金使用范围和审批程序，专项核算，有效保障此项工作顺利开展，完成年度工作任务。严格执行政府采购程序。</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sz w:val="32"/>
          <w:szCs w:val="32"/>
        </w:rPr>
        <w:t>项目绩效情况：</w:t>
      </w:r>
      <w:r>
        <w:rPr>
          <w:rFonts w:hint="eastAsia" w:ascii="Times New Roman" w:hAnsi="Times New Roman" w:eastAsia="仿宋_GB2312" w:cs="Times New Roman"/>
          <w:color w:val="auto"/>
          <w:sz w:val="32"/>
          <w:szCs w:val="32"/>
          <w:lang w:eastAsia="zh-CN"/>
        </w:rPr>
        <w:t>全区登记治疗管理的肺结核患者（不含结胸）系统管理率100%，病原学阳性耐药筛查率98.6%，涂阳患者密切接触者筛查率100%，病原学阳性率73.76%，肺结核患者成功治疗率91.8%，高危人群耐药筛查率100%。2023年全区共有中小学、托幼机构、大中专院校94所，入学新生44368人，应筛查学生44368人，实筛查学生44368人。本次筛查发现单纯PPD强阳性10人、开展预防性服药0人，发现学生肺结核4例，已休学隔离治疗。</w:t>
      </w:r>
    </w:p>
    <w:p>
      <w:pPr>
        <w:numPr>
          <w:ilvl w:val="0"/>
          <w:numId w:val="0"/>
        </w:num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8、</w:t>
      </w:r>
      <w:r>
        <w:rPr>
          <w:rFonts w:hint="default" w:ascii="Times New Roman" w:hAnsi="Times New Roman" w:eastAsia="仿宋_GB2312" w:cs="Times New Roman"/>
          <w:color w:val="auto"/>
          <w:sz w:val="32"/>
          <w:szCs w:val="32"/>
        </w:rPr>
        <w:t>项目“</w:t>
      </w:r>
      <w:r>
        <w:rPr>
          <w:rFonts w:hint="eastAsia" w:ascii="Times New Roman" w:hAnsi="Times New Roman" w:eastAsia="仿宋_GB2312" w:cs="Times New Roman"/>
          <w:color w:val="auto"/>
          <w:sz w:val="32"/>
          <w:szCs w:val="32"/>
          <w:lang w:eastAsia="zh-CN"/>
        </w:rPr>
        <w:t>免疫规划</w:t>
      </w:r>
      <w:r>
        <w:rPr>
          <w:rFonts w:hint="default" w:ascii="Times New Roman" w:hAnsi="Times New Roman" w:eastAsia="仿宋_GB2312" w:cs="Times New Roman"/>
          <w:color w:val="auto"/>
          <w:sz w:val="32"/>
          <w:szCs w:val="32"/>
        </w:rPr>
        <w:t>项目”年初预算金额</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w:t>
      </w:r>
      <w:r>
        <w:rPr>
          <w:rFonts w:hint="default" w:ascii="Times New Roman" w:hAnsi="Times New Roman" w:eastAsia="仿宋_GB2312" w:cs="Times New Roman"/>
          <w:color w:val="auto"/>
          <w:sz w:val="32"/>
          <w:szCs w:val="32"/>
          <w:lang w:val="en-US" w:eastAsia="zh-CN"/>
        </w:rPr>
        <w:t>实际支出</w:t>
      </w:r>
      <w:r>
        <w:rPr>
          <w:rFonts w:hint="eastAsia" w:ascii="Times New Roman" w:hAnsi="Times New Roman" w:eastAsia="仿宋_GB2312" w:cs="Times New Roman"/>
          <w:color w:val="auto"/>
          <w:sz w:val="32"/>
          <w:szCs w:val="32"/>
          <w:lang w:val="en-US" w:eastAsia="zh-CN"/>
        </w:rPr>
        <w:t>4.78</w:t>
      </w:r>
      <w:r>
        <w:rPr>
          <w:rFonts w:hint="default" w:ascii="Times New Roman" w:hAnsi="Times New Roman" w:eastAsia="仿宋_GB2312" w:cs="Times New Roman"/>
          <w:color w:val="auto"/>
          <w:sz w:val="32"/>
          <w:szCs w:val="32"/>
          <w:lang w:val="en-US" w:eastAsia="zh-CN"/>
        </w:rPr>
        <w:t>万元，结余结转</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lang w:val="en-US" w:eastAsia="zh-CN"/>
        </w:rPr>
        <w:t>万元。项目实施及绩效情况如下：</w:t>
      </w:r>
    </w:p>
    <w:p>
      <w:pPr>
        <w:tabs>
          <w:tab w:val="left" w:pos="7560"/>
        </w:tabs>
        <w:adjustRightInd w:val="0"/>
        <w:snapToGrid w:val="0"/>
        <w:spacing w:line="540" w:lineRule="exact"/>
        <w:ind w:firstLine="640" w:firstLineChars="200"/>
        <w:jc w:val="left"/>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项目支出</w:t>
      </w:r>
      <w:r>
        <w:rPr>
          <w:rFonts w:hint="eastAsia" w:ascii="Times New Roman" w:hAnsi="Times New Roman" w:eastAsia="仿宋_GB2312" w:cs="Times New Roman"/>
          <w:color w:val="auto"/>
          <w:sz w:val="32"/>
          <w:szCs w:val="32"/>
          <w:lang w:val="en-US" w:eastAsia="zh-CN"/>
        </w:rPr>
        <w:t>4.78</w:t>
      </w:r>
      <w:r>
        <w:rPr>
          <w:rFonts w:hint="default" w:ascii="Times New Roman" w:hAnsi="Times New Roman" w:eastAsia="仿宋_GB2312" w:cs="Times New Roman"/>
          <w:color w:val="auto"/>
          <w:sz w:val="32"/>
          <w:szCs w:val="32"/>
        </w:rPr>
        <w:t>万元，主要用于</w:t>
      </w:r>
      <w:r>
        <w:rPr>
          <w:rFonts w:hint="eastAsia" w:ascii="Times New Roman" w:hAnsi="Times New Roman" w:eastAsia="仿宋_GB2312" w:cs="Times New Roman"/>
          <w:color w:val="auto"/>
          <w:sz w:val="32"/>
          <w:szCs w:val="32"/>
          <w:lang w:eastAsia="zh-CN"/>
        </w:rPr>
        <w:t>免疫规划相关工作的开展和宣传。</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项目实施：我中心认真贯彻落实八项规定，厉行节约，制定了《内部控制制度》和《专项资金管理办法》，严格资金使用范围和审批程序，专项核算，有效保障此项工作顺利开展，完成年度工作任务。严格执行政府采购程序。</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项目绩效情况：</w:t>
      </w:r>
      <w:r>
        <w:rPr>
          <w:rFonts w:hint="eastAsia" w:ascii="Times New Roman" w:hAnsi="Times New Roman" w:eastAsia="仿宋_GB2312" w:cs="Times New Roman"/>
          <w:color w:val="auto"/>
          <w:sz w:val="32"/>
          <w:szCs w:val="32"/>
          <w:lang w:eastAsia="zh-CN"/>
        </w:rPr>
        <w:t>落实麻疹疫苗接种工作，确保麻疹疫苗高水平的免疫接种率，按照新的国家免疫规划的免疫程序，执行“2针”免疫程序；2023年我区扩大国家免疫规划各项疫苗报告接种率保持较高水平；入托入学查验证顺利完成，对辖区小学全部进行查验，督促学校完成应种补种人员的疫苗接种，补种工作完成后，相关儿童免疫规划疫苗单苗全程接种率达到95%以上。</w:t>
      </w:r>
    </w:p>
    <w:p>
      <w:pPr>
        <w:numPr>
          <w:ilvl w:val="0"/>
          <w:numId w:val="0"/>
        </w:num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9、</w:t>
      </w:r>
      <w:r>
        <w:rPr>
          <w:rFonts w:hint="default" w:ascii="Times New Roman" w:hAnsi="Times New Roman" w:eastAsia="仿宋_GB2312" w:cs="Times New Roman"/>
          <w:color w:val="auto"/>
          <w:sz w:val="32"/>
          <w:szCs w:val="32"/>
        </w:rPr>
        <w:t>项目“</w:t>
      </w:r>
      <w:r>
        <w:rPr>
          <w:rFonts w:hint="eastAsia" w:ascii="Times New Roman" w:hAnsi="Times New Roman" w:eastAsia="仿宋_GB2312" w:cs="Times New Roman"/>
          <w:color w:val="auto"/>
          <w:sz w:val="32"/>
          <w:szCs w:val="32"/>
          <w:lang w:eastAsia="zh-CN"/>
        </w:rPr>
        <w:t>精神卫生和慢性非传染性疾病防治</w:t>
      </w:r>
      <w:r>
        <w:rPr>
          <w:rFonts w:hint="default" w:ascii="Times New Roman" w:hAnsi="Times New Roman" w:eastAsia="仿宋_GB2312" w:cs="Times New Roman"/>
          <w:color w:val="auto"/>
          <w:sz w:val="32"/>
          <w:szCs w:val="32"/>
        </w:rPr>
        <w:t>”年初预算金额</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w:t>
      </w:r>
      <w:r>
        <w:rPr>
          <w:rFonts w:hint="default" w:ascii="Times New Roman" w:hAnsi="Times New Roman" w:eastAsia="仿宋_GB2312" w:cs="Times New Roman"/>
          <w:color w:val="auto"/>
          <w:sz w:val="32"/>
          <w:szCs w:val="32"/>
          <w:lang w:val="en-US" w:eastAsia="zh-CN"/>
        </w:rPr>
        <w:t>实际支出</w:t>
      </w:r>
      <w:r>
        <w:rPr>
          <w:rFonts w:hint="eastAsia" w:ascii="Times New Roman" w:hAnsi="Times New Roman" w:eastAsia="仿宋_GB2312" w:cs="Times New Roman"/>
          <w:color w:val="auto"/>
          <w:sz w:val="32"/>
          <w:szCs w:val="32"/>
          <w:lang w:val="en-US" w:eastAsia="zh-CN"/>
        </w:rPr>
        <w:t>4.99</w:t>
      </w:r>
      <w:r>
        <w:rPr>
          <w:rFonts w:hint="default" w:ascii="Times New Roman" w:hAnsi="Times New Roman" w:eastAsia="仿宋_GB2312" w:cs="Times New Roman"/>
          <w:color w:val="auto"/>
          <w:sz w:val="32"/>
          <w:szCs w:val="32"/>
          <w:lang w:val="en-US" w:eastAsia="zh-CN"/>
        </w:rPr>
        <w:t>万元，结余结转</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lang w:val="en-US" w:eastAsia="zh-CN"/>
        </w:rPr>
        <w:t>万元。项目实施及绩效情况如下：</w:t>
      </w:r>
    </w:p>
    <w:p>
      <w:pPr>
        <w:tabs>
          <w:tab w:val="left" w:pos="7560"/>
        </w:tabs>
        <w:adjustRightInd w:val="0"/>
        <w:snapToGrid w:val="0"/>
        <w:spacing w:line="540" w:lineRule="exact"/>
        <w:ind w:firstLine="640" w:firstLineChars="200"/>
        <w:jc w:val="left"/>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项目支出</w:t>
      </w:r>
      <w:r>
        <w:rPr>
          <w:rFonts w:hint="eastAsia" w:ascii="Times New Roman" w:hAnsi="Times New Roman" w:eastAsia="仿宋_GB2312" w:cs="Times New Roman"/>
          <w:color w:val="auto"/>
          <w:sz w:val="32"/>
          <w:szCs w:val="32"/>
          <w:lang w:val="en-US" w:eastAsia="zh-CN"/>
        </w:rPr>
        <w:t>4.99</w:t>
      </w:r>
      <w:r>
        <w:rPr>
          <w:rFonts w:hint="default" w:ascii="Times New Roman" w:hAnsi="Times New Roman" w:eastAsia="仿宋_GB2312" w:cs="Times New Roman"/>
          <w:color w:val="auto"/>
          <w:sz w:val="32"/>
          <w:szCs w:val="32"/>
        </w:rPr>
        <w:t>万元，主要用于</w:t>
      </w:r>
      <w:r>
        <w:rPr>
          <w:rFonts w:hint="eastAsia" w:ascii="Times New Roman" w:hAnsi="Times New Roman" w:eastAsia="仿宋_GB2312" w:cs="Times New Roman"/>
          <w:color w:val="auto"/>
          <w:sz w:val="32"/>
          <w:szCs w:val="32"/>
          <w:lang w:eastAsia="zh-CN"/>
        </w:rPr>
        <w:t>慢病非传染性疾病防治工作以及精神卫生工作的开展和宣传。</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项目实施：我中心认真贯彻落实八项规定，厉行节约，制定了《内部控制制度》和《专项资金管理办法》，严格资金使用范围和审批程序，专项核算，有效保障此项工作顺利开展，完成年度工作任务。严格执行政府采购程序。</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项目绩效情况：</w:t>
      </w:r>
      <w:r>
        <w:rPr>
          <w:rFonts w:hint="eastAsia" w:ascii="Times New Roman" w:hAnsi="Times New Roman" w:eastAsia="仿宋_GB2312" w:cs="Times New Roman"/>
          <w:color w:val="auto"/>
          <w:sz w:val="32"/>
          <w:szCs w:val="32"/>
          <w:lang w:eastAsia="zh-CN"/>
        </w:rPr>
        <w:t>肿瘤新发病率为166/10万，死亡率121/10万，病理组织学诊断（MV%）所占比例＞66%，仅有死亡医学证明书比例（DCD%）＜10%，同期登记的全部恶性肿瘤发病与死亡数之比（M/I）在0.6-0.8之间，其它或未特指部位所占百分比（UNK%）＜5%。我区录入国家严重精神障碍患者信息系统的在册患者为1385人，检出率4.04‰；年在管患者1358人，管理率98.05%，规范管理率97.47%，面访1346人，面访率97.18%；服药率97.26%，规律服药率95.67%。</w:t>
      </w:r>
    </w:p>
    <w:p>
      <w:pPr>
        <w:numPr>
          <w:ilvl w:val="0"/>
          <w:numId w:val="0"/>
        </w:num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10、</w:t>
      </w:r>
      <w:r>
        <w:rPr>
          <w:rFonts w:hint="default" w:ascii="Times New Roman" w:hAnsi="Times New Roman" w:eastAsia="仿宋_GB2312" w:cs="Times New Roman"/>
          <w:color w:val="auto"/>
          <w:sz w:val="32"/>
          <w:szCs w:val="32"/>
        </w:rPr>
        <w:t>项目“</w:t>
      </w:r>
      <w:r>
        <w:rPr>
          <w:rFonts w:hint="eastAsia" w:ascii="Times New Roman" w:hAnsi="Times New Roman" w:eastAsia="仿宋_GB2312" w:cs="Times New Roman"/>
          <w:color w:val="auto"/>
          <w:sz w:val="32"/>
          <w:szCs w:val="32"/>
          <w:lang w:eastAsia="zh-CN"/>
        </w:rPr>
        <w:t>疫苗款</w:t>
      </w:r>
      <w:r>
        <w:rPr>
          <w:rFonts w:hint="default" w:ascii="Times New Roman" w:hAnsi="Times New Roman" w:eastAsia="仿宋_GB2312" w:cs="Times New Roman"/>
          <w:color w:val="auto"/>
          <w:sz w:val="32"/>
          <w:szCs w:val="32"/>
        </w:rPr>
        <w:t>”年初预算金额</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w:t>
      </w:r>
      <w:r>
        <w:rPr>
          <w:rFonts w:hint="default" w:ascii="Times New Roman" w:hAnsi="Times New Roman" w:eastAsia="仿宋_GB2312" w:cs="Times New Roman"/>
          <w:color w:val="auto"/>
          <w:sz w:val="32"/>
          <w:szCs w:val="32"/>
          <w:lang w:val="en-US" w:eastAsia="zh-CN"/>
        </w:rPr>
        <w:t>实际支出</w:t>
      </w:r>
      <w:r>
        <w:rPr>
          <w:rFonts w:hint="eastAsia" w:ascii="Times New Roman" w:hAnsi="Times New Roman" w:eastAsia="仿宋_GB2312" w:cs="Times New Roman"/>
          <w:color w:val="auto"/>
          <w:sz w:val="32"/>
          <w:szCs w:val="32"/>
          <w:lang w:val="en-US" w:eastAsia="zh-CN"/>
        </w:rPr>
        <w:t>2809.9</w:t>
      </w:r>
      <w:r>
        <w:rPr>
          <w:rFonts w:hint="default" w:ascii="Times New Roman" w:hAnsi="Times New Roman" w:eastAsia="仿宋_GB2312" w:cs="Times New Roman"/>
          <w:color w:val="auto"/>
          <w:sz w:val="32"/>
          <w:szCs w:val="32"/>
          <w:lang w:val="en-US" w:eastAsia="zh-CN"/>
        </w:rPr>
        <w:t>万元，结余结转</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lang w:val="en-US" w:eastAsia="zh-CN"/>
        </w:rPr>
        <w:t>万元。项目实施及绩效情况如下：</w:t>
      </w:r>
    </w:p>
    <w:p>
      <w:pPr>
        <w:tabs>
          <w:tab w:val="left" w:pos="7560"/>
        </w:tabs>
        <w:adjustRightInd w:val="0"/>
        <w:snapToGrid w:val="0"/>
        <w:spacing w:line="540" w:lineRule="exact"/>
        <w:ind w:firstLine="640" w:firstLineChars="200"/>
        <w:jc w:val="left"/>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项目支出</w:t>
      </w:r>
      <w:r>
        <w:rPr>
          <w:rFonts w:hint="eastAsia" w:ascii="Times New Roman" w:hAnsi="Times New Roman" w:eastAsia="仿宋_GB2312" w:cs="Times New Roman"/>
          <w:color w:val="auto"/>
          <w:sz w:val="32"/>
          <w:szCs w:val="32"/>
          <w:lang w:val="en-US" w:eastAsia="zh-CN"/>
        </w:rPr>
        <w:t>2809.9</w:t>
      </w:r>
      <w:r>
        <w:rPr>
          <w:rFonts w:hint="default" w:ascii="Times New Roman" w:hAnsi="Times New Roman" w:eastAsia="仿宋_GB2312" w:cs="Times New Roman"/>
          <w:color w:val="auto"/>
          <w:sz w:val="32"/>
          <w:szCs w:val="32"/>
        </w:rPr>
        <w:t>万元，主要用于</w:t>
      </w:r>
      <w:r>
        <w:rPr>
          <w:rFonts w:hint="eastAsia" w:ascii="Times New Roman" w:hAnsi="Times New Roman" w:eastAsia="仿宋_GB2312" w:cs="Times New Roman"/>
          <w:color w:val="auto"/>
          <w:sz w:val="32"/>
          <w:szCs w:val="32"/>
          <w:lang w:eastAsia="zh-CN"/>
        </w:rPr>
        <w:t>非免疫规划疫苗采购。</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项目实施：我中心认真贯彻落实八项规定，厉行节约，制定了《内部控制制度》和《专项资金管理办法》，严格资金使用范围和审批程序，专项核算，有效保障此项工作顺利开展，完成年度工作任务。严格执行政府采购程序。</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项目绩效情况：</w:t>
      </w:r>
      <w:r>
        <w:rPr>
          <w:rFonts w:hint="eastAsia" w:ascii="Times New Roman" w:hAnsi="Times New Roman" w:eastAsia="仿宋_GB2312" w:cs="Times New Roman"/>
          <w:color w:val="auto"/>
          <w:sz w:val="32"/>
          <w:szCs w:val="32"/>
          <w:lang w:eastAsia="zh-CN"/>
        </w:rPr>
        <w:t>预防、控制传染病的发生、流行，保障人体健康和公共卫生，广泛普及了预防接种知识，提升预防接种规范化管理水平。</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11、</w:t>
      </w:r>
      <w:r>
        <w:rPr>
          <w:rFonts w:hint="default" w:ascii="Times New Roman" w:hAnsi="Times New Roman" w:eastAsia="仿宋_GB2312" w:cs="Times New Roman"/>
          <w:color w:val="auto"/>
          <w:sz w:val="32"/>
          <w:szCs w:val="32"/>
          <w:lang w:val="en-US" w:eastAsia="zh-CN"/>
        </w:rPr>
        <w:t>项目“</w:t>
      </w:r>
      <w:r>
        <w:rPr>
          <w:rFonts w:hint="eastAsia" w:ascii="Times New Roman" w:hAnsi="Times New Roman" w:eastAsia="仿宋_GB2312" w:cs="Times New Roman"/>
          <w:color w:val="auto"/>
          <w:sz w:val="32"/>
          <w:szCs w:val="32"/>
          <w:lang w:val="en-US" w:eastAsia="zh-CN"/>
        </w:rPr>
        <w:t>非税列收列支</w:t>
      </w:r>
      <w:r>
        <w:rPr>
          <w:rFonts w:hint="default" w:ascii="Times New Roman" w:hAnsi="Times New Roman" w:eastAsia="仿宋_GB2312" w:cs="Times New Roman"/>
          <w:color w:val="auto"/>
          <w:sz w:val="32"/>
          <w:szCs w:val="32"/>
          <w:lang w:val="en-US" w:eastAsia="zh-CN"/>
        </w:rPr>
        <w:t>”年初预算金额0万元，实际支出</w:t>
      </w:r>
      <w:r>
        <w:rPr>
          <w:rFonts w:hint="eastAsia" w:ascii="Times New Roman" w:hAnsi="Times New Roman" w:eastAsia="仿宋_GB2312" w:cs="Times New Roman"/>
          <w:color w:val="auto"/>
          <w:sz w:val="32"/>
          <w:szCs w:val="32"/>
          <w:lang w:val="en-US" w:eastAsia="zh-CN"/>
        </w:rPr>
        <w:t>195.52</w:t>
      </w:r>
      <w:r>
        <w:rPr>
          <w:rFonts w:hint="default" w:ascii="Times New Roman" w:hAnsi="Times New Roman" w:eastAsia="仿宋_GB2312" w:cs="Times New Roman"/>
          <w:color w:val="auto"/>
          <w:sz w:val="32"/>
          <w:szCs w:val="32"/>
          <w:lang w:val="en-US" w:eastAsia="zh-CN"/>
        </w:rPr>
        <w:t>万元，结余结转0万元。项目实施及绩效情况如下：</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项目支出</w:t>
      </w:r>
      <w:r>
        <w:rPr>
          <w:rFonts w:hint="eastAsia" w:ascii="Times New Roman" w:hAnsi="Times New Roman" w:eastAsia="仿宋_GB2312" w:cs="Times New Roman"/>
          <w:color w:val="auto"/>
          <w:sz w:val="32"/>
          <w:szCs w:val="32"/>
          <w:lang w:val="en-US" w:eastAsia="zh-CN"/>
        </w:rPr>
        <w:t>195.52</w:t>
      </w:r>
      <w:r>
        <w:rPr>
          <w:rFonts w:hint="default" w:ascii="Times New Roman" w:hAnsi="Times New Roman" w:eastAsia="仿宋_GB2312" w:cs="Times New Roman"/>
          <w:color w:val="auto"/>
          <w:sz w:val="32"/>
          <w:szCs w:val="32"/>
          <w:lang w:val="en-US" w:eastAsia="zh-CN"/>
        </w:rPr>
        <w:t>万元，主要用于单位运维、员工伙食补助、</w:t>
      </w:r>
      <w:r>
        <w:rPr>
          <w:rFonts w:hint="eastAsia" w:ascii="Times New Roman" w:hAnsi="Times New Roman" w:eastAsia="仿宋_GB2312" w:cs="Times New Roman"/>
          <w:color w:val="auto"/>
          <w:sz w:val="32"/>
          <w:szCs w:val="32"/>
          <w:lang w:val="en-US" w:eastAsia="zh-CN"/>
        </w:rPr>
        <w:t>以及</w:t>
      </w:r>
      <w:r>
        <w:rPr>
          <w:rFonts w:hint="default" w:ascii="Times New Roman" w:hAnsi="Times New Roman" w:eastAsia="仿宋_GB2312" w:cs="Times New Roman"/>
          <w:color w:val="auto"/>
          <w:sz w:val="32"/>
          <w:szCs w:val="32"/>
          <w:lang w:val="en-US" w:eastAsia="zh-CN"/>
        </w:rPr>
        <w:t xml:space="preserve">弥补项目经费等的不足。 </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项目实施：我</w:t>
      </w:r>
      <w:r>
        <w:rPr>
          <w:rFonts w:hint="eastAsia" w:ascii="Times New Roman" w:hAnsi="Times New Roman" w:eastAsia="仿宋_GB2312" w:cs="Times New Roman"/>
          <w:color w:val="auto"/>
          <w:sz w:val="32"/>
          <w:szCs w:val="32"/>
          <w:lang w:val="en-US" w:eastAsia="zh-CN"/>
        </w:rPr>
        <w:t>中心</w:t>
      </w:r>
      <w:r>
        <w:rPr>
          <w:rFonts w:hint="default" w:ascii="Times New Roman" w:hAnsi="Times New Roman" w:eastAsia="仿宋_GB2312" w:cs="Times New Roman"/>
          <w:color w:val="auto"/>
          <w:sz w:val="32"/>
          <w:szCs w:val="32"/>
          <w:lang w:val="en-US" w:eastAsia="zh-CN"/>
        </w:rPr>
        <w:t>认真贯彻落实八项规定，厉行节约，制定了《内部控制制度》和《专项资金管理办法》，严格资金使用范围和审批程序，专项核算，有效保障此项工作顺利开展，完成年度工作任务。严格执行政府采购程序。</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项目绩效情况：确保了</w:t>
      </w:r>
      <w:r>
        <w:rPr>
          <w:rFonts w:hint="eastAsia" w:ascii="Times New Roman" w:hAnsi="Times New Roman" w:eastAsia="仿宋_GB2312" w:cs="Times New Roman"/>
          <w:color w:val="auto"/>
          <w:sz w:val="32"/>
          <w:szCs w:val="32"/>
          <w:lang w:val="en-US" w:eastAsia="zh-CN"/>
        </w:rPr>
        <w:t>单位</w:t>
      </w:r>
      <w:r>
        <w:rPr>
          <w:rFonts w:hint="default" w:ascii="Times New Roman" w:hAnsi="Times New Roman" w:eastAsia="仿宋_GB2312" w:cs="Times New Roman"/>
          <w:color w:val="auto"/>
          <w:sz w:val="32"/>
          <w:szCs w:val="32"/>
          <w:lang w:val="en-US" w:eastAsia="zh-CN"/>
        </w:rPr>
        <w:t>的正常运转及保障了职工工作的积极性及稳定性。</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12、</w:t>
      </w:r>
      <w:r>
        <w:rPr>
          <w:rFonts w:hint="default" w:ascii="Times New Roman" w:hAnsi="Times New Roman" w:eastAsia="仿宋_GB2312" w:cs="Times New Roman"/>
          <w:color w:val="auto"/>
          <w:sz w:val="32"/>
          <w:szCs w:val="32"/>
          <w:lang w:val="en-US" w:eastAsia="zh-CN"/>
        </w:rPr>
        <w:t>项目“</w:t>
      </w:r>
      <w:r>
        <w:rPr>
          <w:rFonts w:hint="eastAsia" w:ascii="Times New Roman" w:hAnsi="Times New Roman" w:eastAsia="仿宋_GB2312" w:cs="Times New Roman"/>
          <w:color w:val="auto"/>
          <w:sz w:val="32"/>
          <w:szCs w:val="32"/>
          <w:lang w:val="en-US" w:eastAsia="zh-CN"/>
        </w:rPr>
        <w:t>城乡饮用水监测</w:t>
      </w:r>
      <w:r>
        <w:rPr>
          <w:rFonts w:hint="default" w:ascii="Times New Roman" w:hAnsi="Times New Roman" w:eastAsia="仿宋_GB2312" w:cs="Times New Roman"/>
          <w:color w:val="auto"/>
          <w:sz w:val="32"/>
          <w:szCs w:val="32"/>
          <w:lang w:val="en-US" w:eastAsia="zh-CN"/>
        </w:rPr>
        <w:t>”年初预算金额0万元，实际支出</w:t>
      </w:r>
      <w:r>
        <w:rPr>
          <w:rFonts w:hint="eastAsia" w:ascii="Times New Roman" w:hAnsi="Times New Roman" w:eastAsia="仿宋_GB2312" w:cs="Times New Roman"/>
          <w:color w:val="auto"/>
          <w:sz w:val="32"/>
          <w:szCs w:val="32"/>
          <w:lang w:val="en-US" w:eastAsia="zh-CN"/>
        </w:rPr>
        <w:t>1.36</w:t>
      </w:r>
      <w:r>
        <w:rPr>
          <w:rFonts w:hint="default" w:ascii="Times New Roman" w:hAnsi="Times New Roman" w:eastAsia="仿宋_GB2312" w:cs="Times New Roman"/>
          <w:color w:val="auto"/>
          <w:sz w:val="32"/>
          <w:szCs w:val="32"/>
          <w:lang w:val="en-US" w:eastAsia="zh-CN"/>
        </w:rPr>
        <w:t>万元，结余结转0万元。项目实施及绩效情况如下：</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项目支出</w:t>
      </w:r>
      <w:r>
        <w:rPr>
          <w:rFonts w:hint="eastAsia" w:ascii="Times New Roman" w:hAnsi="Times New Roman" w:eastAsia="仿宋_GB2312" w:cs="Times New Roman"/>
          <w:color w:val="auto"/>
          <w:sz w:val="32"/>
          <w:szCs w:val="32"/>
          <w:lang w:val="en-US" w:eastAsia="zh-CN"/>
        </w:rPr>
        <w:t>1.36</w:t>
      </w:r>
      <w:r>
        <w:rPr>
          <w:rFonts w:hint="default" w:ascii="Times New Roman" w:hAnsi="Times New Roman" w:eastAsia="仿宋_GB2312" w:cs="Times New Roman"/>
          <w:color w:val="auto"/>
          <w:sz w:val="32"/>
          <w:szCs w:val="32"/>
          <w:lang w:val="en-US" w:eastAsia="zh-CN"/>
        </w:rPr>
        <w:t>万元，主要用于</w:t>
      </w:r>
      <w:r>
        <w:rPr>
          <w:rFonts w:hint="eastAsia" w:ascii="Times New Roman" w:hAnsi="Times New Roman" w:eastAsia="仿宋_GB2312" w:cs="Times New Roman"/>
          <w:color w:val="auto"/>
          <w:sz w:val="32"/>
          <w:szCs w:val="32"/>
          <w:lang w:val="en-US" w:eastAsia="zh-CN"/>
        </w:rPr>
        <w:t>城乡</w:t>
      </w:r>
      <w:r>
        <w:rPr>
          <w:rFonts w:hint="default" w:ascii="Times New Roman" w:hAnsi="Times New Roman" w:eastAsia="仿宋_GB2312" w:cs="Times New Roman"/>
          <w:color w:val="auto"/>
          <w:sz w:val="32"/>
          <w:szCs w:val="32"/>
          <w:lang w:val="en-US" w:eastAsia="zh-CN"/>
        </w:rPr>
        <w:t xml:space="preserve">饮用水卫生监督监测工作。 </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项目实施：我</w:t>
      </w:r>
      <w:r>
        <w:rPr>
          <w:rFonts w:hint="eastAsia" w:ascii="Times New Roman" w:hAnsi="Times New Roman" w:eastAsia="仿宋_GB2312" w:cs="Times New Roman"/>
          <w:color w:val="auto"/>
          <w:sz w:val="32"/>
          <w:szCs w:val="32"/>
          <w:lang w:val="en-US" w:eastAsia="zh-CN"/>
        </w:rPr>
        <w:t>中心</w:t>
      </w:r>
      <w:r>
        <w:rPr>
          <w:rFonts w:hint="default" w:ascii="Times New Roman" w:hAnsi="Times New Roman" w:eastAsia="仿宋_GB2312" w:cs="Times New Roman"/>
          <w:color w:val="auto"/>
          <w:sz w:val="32"/>
          <w:szCs w:val="32"/>
          <w:lang w:val="en-US" w:eastAsia="zh-CN"/>
        </w:rPr>
        <w:t>认真贯彻落实八项规定，厉行节约，制定了《内部控制制度》和《专项资金管理办法》，严格资金使用范围和审批程序，专项核算，有效保障此项工作顺利开展，完成年度工作任务。严格执行政府采购程序。</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项目绩效情况：</w:t>
      </w:r>
      <w:r>
        <w:rPr>
          <w:rFonts w:hint="eastAsia" w:ascii="Times New Roman" w:hAnsi="Times New Roman" w:eastAsia="仿宋_GB2312" w:cs="Times New Roman"/>
          <w:color w:val="auto"/>
          <w:sz w:val="32"/>
          <w:szCs w:val="32"/>
          <w:lang w:val="en-US" w:eastAsia="zh-CN"/>
        </w:rPr>
        <w:t>上半年，</w:t>
      </w:r>
      <w:r>
        <w:rPr>
          <w:rFonts w:hint="default" w:ascii="Times New Roman" w:hAnsi="Times New Roman" w:eastAsia="仿宋_GB2312" w:cs="Times New Roman"/>
          <w:color w:val="auto"/>
          <w:sz w:val="32"/>
          <w:szCs w:val="32"/>
          <w:lang w:val="en-US" w:eastAsia="zh-CN"/>
        </w:rPr>
        <w:t>对6个监测点，开展农村饮用水卫生监督监测工作，每份水样检测32个水质指标，6份水样，按照国家“生活饮用水卫生标准”（GB5749-2006第4章），其中5份水样合格，1份水样不合格。</w:t>
      </w:r>
      <w:r>
        <w:rPr>
          <w:rFonts w:hint="eastAsia" w:ascii="Times New Roman" w:hAnsi="Times New Roman" w:eastAsia="仿宋_GB2312" w:cs="Times New Roman"/>
          <w:color w:val="auto"/>
          <w:sz w:val="32"/>
          <w:szCs w:val="32"/>
          <w:lang w:val="en-US" w:eastAsia="zh-CN"/>
        </w:rPr>
        <w:t>下半年，6份水样，按照国家《生活饮用水卫生标准》（GB5749-2022），水质常规指标（放射性指标不要求），2份水样合格，4份水样不合格。</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13、</w:t>
      </w:r>
      <w:r>
        <w:rPr>
          <w:rFonts w:hint="default" w:ascii="Times New Roman" w:hAnsi="Times New Roman" w:eastAsia="仿宋_GB2312" w:cs="Times New Roman"/>
          <w:color w:val="auto"/>
          <w:sz w:val="32"/>
          <w:szCs w:val="32"/>
          <w:lang w:val="en-US" w:eastAsia="zh-CN"/>
        </w:rPr>
        <w:t>项目“</w:t>
      </w:r>
      <w:r>
        <w:rPr>
          <w:rFonts w:hint="eastAsia" w:ascii="Times New Roman" w:hAnsi="Times New Roman" w:eastAsia="仿宋_GB2312" w:cs="Times New Roman"/>
          <w:color w:val="auto"/>
          <w:sz w:val="32"/>
          <w:szCs w:val="32"/>
          <w:lang w:val="en-US" w:eastAsia="zh-CN"/>
        </w:rPr>
        <w:t>云龙委托业务费</w:t>
      </w:r>
      <w:r>
        <w:rPr>
          <w:rFonts w:hint="default" w:ascii="Times New Roman" w:hAnsi="Times New Roman" w:eastAsia="仿宋_GB2312" w:cs="Times New Roman"/>
          <w:color w:val="auto"/>
          <w:sz w:val="32"/>
          <w:szCs w:val="32"/>
          <w:lang w:val="en-US" w:eastAsia="zh-CN"/>
        </w:rPr>
        <w:t>”年初预算金额0万元，实际支出</w:t>
      </w:r>
      <w:r>
        <w:rPr>
          <w:rFonts w:hint="eastAsia" w:ascii="Times New Roman" w:hAnsi="Times New Roman" w:eastAsia="仿宋_GB2312" w:cs="Times New Roman"/>
          <w:color w:val="auto"/>
          <w:sz w:val="32"/>
          <w:szCs w:val="32"/>
          <w:lang w:val="en-US" w:eastAsia="zh-CN"/>
        </w:rPr>
        <w:t>1.36</w:t>
      </w:r>
      <w:r>
        <w:rPr>
          <w:rFonts w:hint="default" w:ascii="Times New Roman" w:hAnsi="Times New Roman" w:eastAsia="仿宋_GB2312" w:cs="Times New Roman"/>
          <w:color w:val="auto"/>
          <w:sz w:val="32"/>
          <w:szCs w:val="32"/>
          <w:lang w:val="en-US" w:eastAsia="zh-CN"/>
        </w:rPr>
        <w:t>万元，结余结转0万元。项目实施及绩效情况如下：</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项目支出</w:t>
      </w:r>
      <w:r>
        <w:rPr>
          <w:rFonts w:hint="eastAsia" w:ascii="Times New Roman" w:hAnsi="Times New Roman" w:eastAsia="仿宋_GB2312" w:cs="Times New Roman"/>
          <w:color w:val="auto"/>
          <w:sz w:val="32"/>
          <w:szCs w:val="32"/>
          <w:lang w:val="en-US" w:eastAsia="zh-CN"/>
        </w:rPr>
        <w:t>1.36</w:t>
      </w:r>
      <w:r>
        <w:rPr>
          <w:rFonts w:hint="default" w:ascii="Times New Roman" w:hAnsi="Times New Roman" w:eastAsia="仿宋_GB2312" w:cs="Times New Roman"/>
          <w:color w:val="auto"/>
          <w:sz w:val="32"/>
          <w:szCs w:val="32"/>
          <w:lang w:val="en-US" w:eastAsia="zh-CN"/>
        </w:rPr>
        <w:t>万元，主要用于单位运维</w:t>
      </w:r>
      <w:r>
        <w:rPr>
          <w:rFonts w:hint="eastAsia" w:ascii="Times New Roman" w:hAnsi="Times New Roman" w:eastAsia="仿宋_GB2312" w:cs="Times New Roman"/>
          <w:color w:val="auto"/>
          <w:sz w:val="32"/>
          <w:szCs w:val="32"/>
          <w:lang w:val="en-US" w:eastAsia="zh-CN"/>
        </w:rPr>
        <w:t>以及</w:t>
      </w:r>
      <w:r>
        <w:rPr>
          <w:rFonts w:hint="default" w:ascii="Times New Roman" w:hAnsi="Times New Roman" w:eastAsia="仿宋_GB2312" w:cs="Times New Roman"/>
          <w:color w:val="auto"/>
          <w:sz w:val="32"/>
          <w:szCs w:val="32"/>
          <w:lang w:val="en-US" w:eastAsia="zh-CN"/>
        </w:rPr>
        <w:t xml:space="preserve">弥补项目经费等的不足。 </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项目实施：我</w:t>
      </w:r>
      <w:r>
        <w:rPr>
          <w:rFonts w:hint="eastAsia" w:ascii="Times New Roman" w:hAnsi="Times New Roman" w:eastAsia="仿宋_GB2312" w:cs="Times New Roman"/>
          <w:color w:val="auto"/>
          <w:sz w:val="32"/>
          <w:szCs w:val="32"/>
          <w:lang w:val="en-US" w:eastAsia="zh-CN"/>
        </w:rPr>
        <w:t>中心</w:t>
      </w:r>
      <w:r>
        <w:rPr>
          <w:rFonts w:hint="default" w:ascii="Times New Roman" w:hAnsi="Times New Roman" w:eastAsia="仿宋_GB2312" w:cs="Times New Roman"/>
          <w:color w:val="auto"/>
          <w:sz w:val="32"/>
          <w:szCs w:val="32"/>
          <w:lang w:val="en-US" w:eastAsia="zh-CN"/>
        </w:rPr>
        <w:t>认真贯彻落实八项规定，厉行节约，制定了《内部控制制度》和《专项资金管理办法》，严格资金使用范围和审批程序，专项核算，有效保障此项工作顺利开展，完成年度工作任务。严格执行政府采购程序。</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项目绩效情况：确保了</w:t>
      </w:r>
      <w:r>
        <w:rPr>
          <w:rFonts w:hint="eastAsia" w:ascii="Times New Roman" w:hAnsi="Times New Roman" w:eastAsia="仿宋_GB2312" w:cs="Times New Roman"/>
          <w:color w:val="auto"/>
          <w:sz w:val="32"/>
          <w:szCs w:val="32"/>
          <w:lang w:val="en-US" w:eastAsia="zh-CN"/>
        </w:rPr>
        <w:t>单位以及项目</w:t>
      </w:r>
      <w:r>
        <w:rPr>
          <w:rFonts w:hint="default" w:ascii="Times New Roman" w:hAnsi="Times New Roman" w:eastAsia="仿宋_GB2312" w:cs="Times New Roman"/>
          <w:color w:val="auto"/>
          <w:sz w:val="32"/>
          <w:szCs w:val="32"/>
          <w:lang w:val="en-US" w:eastAsia="zh-CN"/>
        </w:rPr>
        <w:t>的正常运转。</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14、</w:t>
      </w:r>
      <w:r>
        <w:rPr>
          <w:rFonts w:hint="default" w:ascii="Times New Roman" w:hAnsi="Times New Roman" w:eastAsia="仿宋_GB2312" w:cs="Times New Roman"/>
          <w:color w:val="auto"/>
          <w:sz w:val="32"/>
          <w:szCs w:val="32"/>
          <w:lang w:val="en-US" w:eastAsia="zh-CN"/>
        </w:rPr>
        <w:t>项目“</w:t>
      </w:r>
      <w:r>
        <w:rPr>
          <w:rFonts w:hint="eastAsia" w:ascii="Times New Roman" w:hAnsi="Times New Roman" w:eastAsia="仿宋_GB2312" w:cs="Times New Roman"/>
          <w:color w:val="auto"/>
          <w:sz w:val="32"/>
          <w:szCs w:val="32"/>
          <w:lang w:val="en-US" w:eastAsia="zh-CN"/>
        </w:rPr>
        <w:t>学生常见病监测</w:t>
      </w:r>
      <w:r>
        <w:rPr>
          <w:rFonts w:hint="default" w:ascii="Times New Roman" w:hAnsi="Times New Roman" w:eastAsia="仿宋_GB2312" w:cs="Times New Roman"/>
          <w:color w:val="auto"/>
          <w:sz w:val="32"/>
          <w:szCs w:val="32"/>
          <w:lang w:val="en-US" w:eastAsia="zh-CN"/>
        </w:rPr>
        <w:t>”年初预算金额0万元，实际支出</w:t>
      </w:r>
      <w:r>
        <w:rPr>
          <w:rFonts w:hint="eastAsia" w:ascii="Times New Roman" w:hAnsi="Times New Roman" w:eastAsia="仿宋_GB2312" w:cs="Times New Roman"/>
          <w:color w:val="auto"/>
          <w:sz w:val="32"/>
          <w:szCs w:val="32"/>
          <w:lang w:val="en-US" w:eastAsia="zh-CN"/>
        </w:rPr>
        <w:t>19.45</w:t>
      </w:r>
      <w:r>
        <w:rPr>
          <w:rFonts w:hint="default" w:ascii="Times New Roman" w:hAnsi="Times New Roman" w:eastAsia="仿宋_GB2312" w:cs="Times New Roman"/>
          <w:color w:val="auto"/>
          <w:sz w:val="32"/>
          <w:szCs w:val="32"/>
          <w:lang w:val="en-US" w:eastAsia="zh-CN"/>
        </w:rPr>
        <w:t>万元，结余结转0万元。项目实施及绩效情况如下：</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项目支出</w:t>
      </w:r>
      <w:r>
        <w:rPr>
          <w:rFonts w:hint="eastAsia" w:ascii="Times New Roman" w:hAnsi="Times New Roman" w:eastAsia="仿宋_GB2312" w:cs="Times New Roman"/>
          <w:color w:val="auto"/>
          <w:sz w:val="32"/>
          <w:szCs w:val="32"/>
          <w:lang w:val="en-US" w:eastAsia="zh-CN"/>
        </w:rPr>
        <w:t>19.45</w:t>
      </w:r>
      <w:r>
        <w:rPr>
          <w:rFonts w:hint="default" w:ascii="Times New Roman" w:hAnsi="Times New Roman" w:eastAsia="仿宋_GB2312" w:cs="Times New Roman"/>
          <w:color w:val="auto"/>
          <w:sz w:val="32"/>
          <w:szCs w:val="32"/>
          <w:lang w:val="en-US" w:eastAsia="zh-CN"/>
        </w:rPr>
        <w:t>万元，主要用于进一步加强我区学生近视、肥胖、脊柱弯曲异常等学生常见病监测工作</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强化学生常见病防控工作，保障和促进儿童青少年健康。</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项目实施：我</w:t>
      </w:r>
      <w:r>
        <w:rPr>
          <w:rFonts w:hint="eastAsia" w:ascii="Times New Roman" w:hAnsi="Times New Roman" w:eastAsia="仿宋_GB2312" w:cs="Times New Roman"/>
          <w:color w:val="auto"/>
          <w:sz w:val="32"/>
          <w:szCs w:val="32"/>
          <w:lang w:val="en-US" w:eastAsia="zh-CN"/>
        </w:rPr>
        <w:t>中心</w:t>
      </w:r>
      <w:r>
        <w:rPr>
          <w:rFonts w:hint="default" w:ascii="Times New Roman" w:hAnsi="Times New Roman" w:eastAsia="仿宋_GB2312" w:cs="Times New Roman"/>
          <w:color w:val="auto"/>
          <w:sz w:val="32"/>
          <w:szCs w:val="32"/>
          <w:lang w:val="en-US" w:eastAsia="zh-CN"/>
        </w:rPr>
        <w:t>认真贯彻落实八项规定，厉行节约，制定了《内部控制制度》和《专项资金管理办法》，严格资金使用范围和审批程序，专项核算，有效保障此项工作顺利开展，完成年度工作任务。严格执行政府采购程序。</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项目绩效情况：完成10所学校及幼儿园常见病筛查</w:t>
      </w:r>
      <w:r>
        <w:rPr>
          <w:rFonts w:hint="eastAsia" w:ascii="Times New Roman" w:hAnsi="Times New Roman" w:eastAsia="仿宋_GB2312" w:cs="Times New Roman"/>
          <w:color w:val="auto"/>
          <w:sz w:val="32"/>
          <w:szCs w:val="32"/>
          <w:lang w:val="en-US" w:eastAsia="zh-CN"/>
        </w:rPr>
        <w:t>，完成近视调查3349人。</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15、</w:t>
      </w:r>
      <w:r>
        <w:rPr>
          <w:rFonts w:hint="default" w:ascii="Times New Roman" w:hAnsi="Times New Roman" w:eastAsia="仿宋_GB2312" w:cs="Times New Roman"/>
          <w:color w:val="auto"/>
          <w:sz w:val="32"/>
          <w:szCs w:val="32"/>
          <w:lang w:val="en-US" w:eastAsia="zh-CN"/>
        </w:rPr>
        <w:t>项目“</w:t>
      </w:r>
      <w:r>
        <w:rPr>
          <w:rFonts w:hint="eastAsia" w:ascii="Times New Roman" w:hAnsi="Times New Roman" w:eastAsia="仿宋_GB2312" w:cs="Times New Roman"/>
          <w:color w:val="auto"/>
          <w:sz w:val="32"/>
          <w:szCs w:val="32"/>
          <w:lang w:val="en-US" w:eastAsia="zh-CN"/>
        </w:rPr>
        <w:t>重点传染病及健康危害因素监测</w:t>
      </w:r>
      <w:r>
        <w:rPr>
          <w:rFonts w:hint="default" w:ascii="Times New Roman" w:hAnsi="Times New Roman" w:eastAsia="仿宋_GB2312" w:cs="Times New Roman"/>
          <w:color w:val="auto"/>
          <w:sz w:val="32"/>
          <w:szCs w:val="32"/>
          <w:lang w:val="en-US" w:eastAsia="zh-CN"/>
        </w:rPr>
        <w:t>”年初预算金额0万元，实际支出</w:t>
      </w:r>
      <w:r>
        <w:rPr>
          <w:rFonts w:hint="eastAsia" w:ascii="Times New Roman" w:hAnsi="Times New Roman" w:eastAsia="仿宋_GB2312" w:cs="Times New Roman"/>
          <w:color w:val="auto"/>
          <w:sz w:val="32"/>
          <w:szCs w:val="32"/>
          <w:lang w:val="en-US" w:eastAsia="zh-CN"/>
        </w:rPr>
        <w:t>1.57</w:t>
      </w:r>
      <w:r>
        <w:rPr>
          <w:rFonts w:hint="default" w:ascii="Times New Roman" w:hAnsi="Times New Roman" w:eastAsia="仿宋_GB2312" w:cs="Times New Roman"/>
          <w:color w:val="auto"/>
          <w:sz w:val="32"/>
          <w:szCs w:val="32"/>
          <w:lang w:val="en-US" w:eastAsia="zh-CN"/>
        </w:rPr>
        <w:t>万元，结余结转0万元。项目实施及绩效情况如下：</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项目支出</w:t>
      </w:r>
      <w:r>
        <w:rPr>
          <w:rFonts w:hint="eastAsia" w:ascii="Times New Roman" w:hAnsi="Times New Roman" w:eastAsia="仿宋_GB2312" w:cs="Times New Roman"/>
          <w:color w:val="auto"/>
          <w:sz w:val="32"/>
          <w:szCs w:val="32"/>
          <w:lang w:val="en-US" w:eastAsia="zh-CN"/>
        </w:rPr>
        <w:t>1.57</w:t>
      </w:r>
      <w:r>
        <w:rPr>
          <w:rFonts w:hint="default" w:ascii="Times New Roman" w:hAnsi="Times New Roman" w:eastAsia="仿宋_GB2312" w:cs="Times New Roman"/>
          <w:color w:val="auto"/>
          <w:sz w:val="32"/>
          <w:szCs w:val="32"/>
          <w:lang w:val="en-US" w:eastAsia="zh-CN"/>
        </w:rPr>
        <w:t>万元，主要用于</w:t>
      </w:r>
      <w:r>
        <w:rPr>
          <w:rFonts w:hint="eastAsia" w:ascii="Times New Roman" w:hAnsi="Times New Roman" w:eastAsia="仿宋_GB2312" w:cs="Times New Roman"/>
          <w:color w:val="auto"/>
          <w:sz w:val="32"/>
          <w:szCs w:val="32"/>
          <w:lang w:val="en-US" w:eastAsia="zh-CN"/>
        </w:rPr>
        <w:t>重点传染病及健康危害因素监测工作。</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项目实施：我</w:t>
      </w:r>
      <w:r>
        <w:rPr>
          <w:rFonts w:hint="eastAsia" w:ascii="Times New Roman" w:hAnsi="Times New Roman" w:eastAsia="仿宋_GB2312" w:cs="Times New Roman"/>
          <w:color w:val="auto"/>
          <w:sz w:val="32"/>
          <w:szCs w:val="32"/>
          <w:lang w:val="en-US" w:eastAsia="zh-CN"/>
        </w:rPr>
        <w:t>中心</w:t>
      </w:r>
      <w:r>
        <w:rPr>
          <w:rFonts w:hint="default" w:ascii="Times New Roman" w:hAnsi="Times New Roman" w:eastAsia="仿宋_GB2312" w:cs="Times New Roman"/>
          <w:color w:val="auto"/>
          <w:sz w:val="32"/>
          <w:szCs w:val="32"/>
          <w:lang w:val="en-US" w:eastAsia="zh-CN"/>
        </w:rPr>
        <w:t>认真贯彻落实八项规定，厉行节约，制定了《内部控制制度》和《专项资金管理办法》，严格资金使用范围和审批程序，专项核算，有效保障此项工作顺利开展，完成年度工作任务。严格执行政府采购程序。</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项目绩效情况：开展麻风病防治知识宣传</w:t>
      </w:r>
      <w:r>
        <w:rPr>
          <w:rFonts w:hint="eastAsia" w:ascii="Times New Roman" w:hAnsi="Times New Roman" w:eastAsia="仿宋_GB2312" w:cs="Times New Roman"/>
          <w:color w:val="auto"/>
          <w:sz w:val="32"/>
          <w:szCs w:val="32"/>
          <w:lang w:val="en-US" w:eastAsia="zh-CN"/>
        </w:rPr>
        <w:t>，对我区1例麻风病人继续进行随访管理、采样监测、服药指导及走访慰问等。密切接触者麻风病核心知识知晓率为100%。按要求采样检测镉元素，30份样品中，超标11份。超标率为37%。其中大米（流通环节）共检15份，检测项目中镉超标3份；餐饮环节采样5个，检测项目中镉超标2个，种植环节采样10个，检测项目中镉超标6个，按方案规定进行了检测复核。</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16、</w:t>
      </w:r>
      <w:r>
        <w:rPr>
          <w:rFonts w:hint="default" w:ascii="Times New Roman" w:hAnsi="Times New Roman" w:eastAsia="仿宋_GB2312" w:cs="Times New Roman"/>
          <w:color w:val="auto"/>
          <w:sz w:val="32"/>
          <w:szCs w:val="32"/>
          <w:lang w:val="en-US" w:eastAsia="zh-CN"/>
        </w:rPr>
        <w:t>项目“</w:t>
      </w:r>
      <w:r>
        <w:rPr>
          <w:rFonts w:hint="eastAsia" w:ascii="Times New Roman" w:hAnsi="Times New Roman" w:eastAsia="仿宋_GB2312" w:cs="Times New Roman"/>
          <w:color w:val="auto"/>
          <w:sz w:val="32"/>
          <w:szCs w:val="32"/>
          <w:lang w:val="en-US" w:eastAsia="zh-CN"/>
        </w:rPr>
        <w:t>基本公卫（健康石峰）</w:t>
      </w:r>
      <w:r>
        <w:rPr>
          <w:rFonts w:hint="default" w:ascii="Times New Roman" w:hAnsi="Times New Roman" w:eastAsia="仿宋_GB2312" w:cs="Times New Roman"/>
          <w:color w:val="auto"/>
          <w:sz w:val="32"/>
          <w:szCs w:val="32"/>
          <w:lang w:val="en-US" w:eastAsia="zh-CN"/>
        </w:rPr>
        <w:t>”年初预算金额0万元，实际支出</w:t>
      </w:r>
      <w:r>
        <w:rPr>
          <w:rFonts w:hint="eastAsia" w:ascii="Times New Roman" w:hAnsi="Times New Roman" w:eastAsia="仿宋_GB2312" w:cs="Times New Roman"/>
          <w:color w:val="auto"/>
          <w:sz w:val="32"/>
          <w:szCs w:val="32"/>
          <w:lang w:val="en-US" w:eastAsia="zh-CN"/>
        </w:rPr>
        <w:t>73.71</w:t>
      </w:r>
      <w:r>
        <w:rPr>
          <w:rFonts w:hint="default" w:ascii="Times New Roman" w:hAnsi="Times New Roman" w:eastAsia="仿宋_GB2312" w:cs="Times New Roman"/>
          <w:color w:val="auto"/>
          <w:sz w:val="32"/>
          <w:szCs w:val="32"/>
          <w:lang w:val="en-US" w:eastAsia="zh-CN"/>
        </w:rPr>
        <w:t>万元，结余结转0万元。项目实施及绩效情况如下：</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项目支出</w:t>
      </w:r>
      <w:r>
        <w:rPr>
          <w:rFonts w:hint="eastAsia" w:ascii="Times New Roman" w:hAnsi="Times New Roman" w:eastAsia="仿宋_GB2312" w:cs="Times New Roman"/>
          <w:color w:val="auto"/>
          <w:sz w:val="32"/>
          <w:szCs w:val="32"/>
          <w:lang w:val="en-US" w:eastAsia="zh-CN"/>
        </w:rPr>
        <w:t>73.71</w:t>
      </w:r>
      <w:r>
        <w:rPr>
          <w:rFonts w:hint="default" w:ascii="Times New Roman" w:hAnsi="Times New Roman" w:eastAsia="仿宋_GB2312" w:cs="Times New Roman"/>
          <w:color w:val="auto"/>
          <w:sz w:val="32"/>
          <w:szCs w:val="32"/>
          <w:lang w:val="en-US" w:eastAsia="zh-CN"/>
        </w:rPr>
        <w:t xml:space="preserve">万元，主要用于疫情应急处置、碘缺乏病防治、麻风病防治、食品安全监测、职业病防治项目、城乡饮用水监测等。 </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项目实施：我</w:t>
      </w:r>
      <w:r>
        <w:rPr>
          <w:rFonts w:hint="eastAsia" w:ascii="Times New Roman" w:hAnsi="Times New Roman" w:eastAsia="仿宋_GB2312" w:cs="Times New Roman"/>
          <w:color w:val="auto"/>
          <w:sz w:val="32"/>
          <w:szCs w:val="32"/>
          <w:lang w:val="en-US" w:eastAsia="zh-CN"/>
        </w:rPr>
        <w:t>中心</w:t>
      </w:r>
      <w:r>
        <w:rPr>
          <w:rFonts w:hint="default" w:ascii="Times New Roman" w:hAnsi="Times New Roman" w:eastAsia="仿宋_GB2312" w:cs="Times New Roman"/>
          <w:color w:val="auto"/>
          <w:sz w:val="32"/>
          <w:szCs w:val="32"/>
          <w:lang w:val="en-US" w:eastAsia="zh-CN"/>
        </w:rPr>
        <w:t>认真贯彻落实八项规定，厉行节约，制定了《内部控制制度》和《专项资金管理办法》，严格资金使用范围和审批程序，专项核算，有效保障此项工作顺利开展，完成年度工作任务。严格执行政府采购程序。</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项目绩效情况：及时有效处置传染病疫情，未出现因防控不力导致传染病暴发；开展碘缺乏病防治工作，完成上级要求的尿碘、水碘、碘盐的监测工作；开展麻风病宣传、会议培训，协助炎陵皮防所开展麻风病人的管理工作；完成了职业病防治项目、城乡饮用水监测、食品安全监测工作任务。</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17、</w:t>
      </w:r>
      <w:r>
        <w:rPr>
          <w:rFonts w:hint="default" w:ascii="Times New Roman" w:hAnsi="Times New Roman" w:eastAsia="仿宋_GB2312" w:cs="Times New Roman"/>
          <w:color w:val="auto"/>
          <w:sz w:val="32"/>
          <w:szCs w:val="32"/>
          <w:lang w:val="en-US" w:eastAsia="zh-CN"/>
        </w:rPr>
        <w:t>项目“</w:t>
      </w:r>
      <w:r>
        <w:rPr>
          <w:rFonts w:hint="eastAsia" w:ascii="Times New Roman" w:hAnsi="Times New Roman" w:eastAsia="仿宋_GB2312" w:cs="Times New Roman"/>
          <w:color w:val="auto"/>
          <w:sz w:val="32"/>
          <w:szCs w:val="32"/>
          <w:lang w:val="en-US" w:eastAsia="zh-CN"/>
        </w:rPr>
        <w:t>老年人跌倒防治</w:t>
      </w:r>
      <w:r>
        <w:rPr>
          <w:rFonts w:hint="default" w:ascii="Times New Roman" w:hAnsi="Times New Roman" w:eastAsia="仿宋_GB2312" w:cs="Times New Roman"/>
          <w:color w:val="auto"/>
          <w:sz w:val="32"/>
          <w:szCs w:val="32"/>
          <w:lang w:val="en-US" w:eastAsia="zh-CN"/>
        </w:rPr>
        <w:t>”年初预算金额0万元，实际支出</w:t>
      </w:r>
      <w:r>
        <w:rPr>
          <w:rFonts w:hint="eastAsia" w:ascii="Times New Roman" w:hAnsi="Times New Roman" w:eastAsia="仿宋_GB2312" w:cs="Times New Roman"/>
          <w:color w:val="auto"/>
          <w:sz w:val="32"/>
          <w:szCs w:val="32"/>
          <w:lang w:val="en-US" w:eastAsia="zh-CN"/>
        </w:rPr>
        <w:t>2.43</w:t>
      </w:r>
      <w:r>
        <w:rPr>
          <w:rFonts w:hint="default" w:ascii="Times New Roman" w:hAnsi="Times New Roman" w:eastAsia="仿宋_GB2312" w:cs="Times New Roman"/>
          <w:color w:val="auto"/>
          <w:sz w:val="32"/>
          <w:szCs w:val="32"/>
          <w:lang w:val="en-US" w:eastAsia="zh-CN"/>
        </w:rPr>
        <w:t>万元，结余结转0万元。项目实施及绩效情况如下：</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项目支出</w:t>
      </w:r>
      <w:r>
        <w:rPr>
          <w:rFonts w:hint="eastAsia" w:ascii="Times New Roman" w:hAnsi="Times New Roman" w:eastAsia="仿宋_GB2312" w:cs="Times New Roman"/>
          <w:color w:val="auto"/>
          <w:sz w:val="32"/>
          <w:szCs w:val="32"/>
          <w:lang w:val="en-US" w:eastAsia="zh-CN"/>
        </w:rPr>
        <w:t>2.43</w:t>
      </w:r>
      <w:r>
        <w:rPr>
          <w:rFonts w:hint="default" w:ascii="Times New Roman" w:hAnsi="Times New Roman" w:eastAsia="仿宋_GB2312" w:cs="Times New Roman"/>
          <w:color w:val="auto"/>
          <w:sz w:val="32"/>
          <w:szCs w:val="32"/>
          <w:lang w:val="en-US" w:eastAsia="zh-CN"/>
        </w:rPr>
        <w:t xml:space="preserve">万元，主要用于老年跌倒项目流行病学调查补充调查工作。 </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项目实施：我</w:t>
      </w:r>
      <w:r>
        <w:rPr>
          <w:rFonts w:hint="eastAsia" w:ascii="Times New Roman" w:hAnsi="Times New Roman" w:eastAsia="仿宋_GB2312" w:cs="Times New Roman"/>
          <w:color w:val="auto"/>
          <w:sz w:val="32"/>
          <w:szCs w:val="32"/>
          <w:lang w:val="en-US" w:eastAsia="zh-CN"/>
        </w:rPr>
        <w:t>中心</w:t>
      </w:r>
      <w:r>
        <w:rPr>
          <w:rFonts w:hint="default" w:ascii="Times New Roman" w:hAnsi="Times New Roman" w:eastAsia="仿宋_GB2312" w:cs="Times New Roman"/>
          <w:color w:val="auto"/>
          <w:sz w:val="32"/>
          <w:szCs w:val="32"/>
          <w:lang w:val="en-US" w:eastAsia="zh-CN"/>
        </w:rPr>
        <w:t>认真贯彻落实八项规定，厉行节约，制定了《内部控制制度》和《专项资金管理办法》，严格资金使用范围和审批程序，专项核算，有效保障此项工作顺利开展，完成年度工作任务。严格执行政府采购程序。</w:t>
      </w:r>
    </w:p>
    <w:p>
      <w:pPr>
        <w:tabs>
          <w:tab w:val="left" w:pos="7560"/>
        </w:tabs>
        <w:adjustRightInd w:val="0"/>
        <w:snapToGrid w:val="0"/>
        <w:spacing w:line="540" w:lineRule="exact"/>
        <w:ind w:firstLine="640" w:firstLineChars="200"/>
        <w:jc w:val="left"/>
        <w:rPr>
          <w:rFonts w:hint="default"/>
        </w:rPr>
      </w:pPr>
      <w:r>
        <w:rPr>
          <w:rFonts w:hint="default" w:ascii="Times New Roman" w:hAnsi="Times New Roman" w:eastAsia="仿宋_GB2312" w:cs="Times New Roman"/>
          <w:color w:val="auto"/>
          <w:sz w:val="32"/>
          <w:szCs w:val="32"/>
          <w:lang w:val="en-US" w:eastAsia="zh-CN"/>
        </w:rPr>
        <w:t>项目绩效情况：实际完成了277人的老年跌倒项目流行病学个人问卷调查补充调查工作，得出的跌倒率为13.7%。老年人防跌倒健康知识知晓率提高了。</w:t>
      </w:r>
    </w:p>
    <w:p>
      <w:pPr>
        <w:tabs>
          <w:tab w:val="left" w:pos="7560"/>
        </w:tabs>
        <w:adjustRightInd w:val="0"/>
        <w:snapToGrid w:val="0"/>
        <w:spacing w:line="540" w:lineRule="exact"/>
        <w:ind w:firstLine="640" w:firstLineChars="200"/>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四、绩效管理存在的问题及下一步改进措施</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1）艾滋病防治方面</w:t>
      </w:r>
    </w:p>
    <w:p>
      <w:pPr>
        <w:tabs>
          <w:tab w:val="left" w:pos="7560"/>
        </w:tabs>
        <w:adjustRightInd w:val="0"/>
        <w:snapToGrid w:val="0"/>
        <w:spacing w:line="540" w:lineRule="exact"/>
        <w:ind w:firstLine="640" w:firstLineChars="200"/>
        <w:jc w:val="left"/>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性病</w:t>
      </w:r>
      <w:r>
        <w:rPr>
          <w:rFonts w:hint="eastAsia" w:ascii="Times New Roman" w:hAnsi="Times New Roman" w:eastAsia="仿宋_GB2312" w:cs="Times New Roman"/>
          <w:color w:val="auto"/>
          <w:sz w:val="32"/>
          <w:szCs w:val="32"/>
          <w:lang w:eastAsia="zh-CN"/>
        </w:rPr>
        <w:t>艾滋病丙肝</w:t>
      </w:r>
      <w:r>
        <w:rPr>
          <w:rFonts w:hint="eastAsia" w:ascii="Times New Roman" w:hAnsi="Times New Roman" w:eastAsia="仿宋_GB2312" w:cs="Times New Roman"/>
          <w:color w:val="auto"/>
          <w:sz w:val="32"/>
          <w:szCs w:val="32"/>
        </w:rPr>
        <w:t>防治人员不足。普及性病艾滋病</w:t>
      </w:r>
      <w:r>
        <w:rPr>
          <w:rFonts w:hint="eastAsia" w:ascii="Times New Roman" w:hAnsi="Times New Roman" w:eastAsia="仿宋_GB2312" w:cs="Times New Roman"/>
          <w:color w:val="auto"/>
          <w:sz w:val="32"/>
          <w:szCs w:val="32"/>
          <w:lang w:eastAsia="zh-CN"/>
        </w:rPr>
        <w:t>丙肝</w:t>
      </w:r>
      <w:r>
        <w:rPr>
          <w:rFonts w:hint="eastAsia" w:ascii="Times New Roman" w:hAnsi="Times New Roman" w:eastAsia="仿宋_GB2312" w:cs="Times New Roman"/>
          <w:color w:val="auto"/>
          <w:sz w:val="32"/>
          <w:szCs w:val="32"/>
        </w:rPr>
        <w:t>防治宣传知识需要投入大量的人力、财力、物力，</w:t>
      </w:r>
      <w:r>
        <w:rPr>
          <w:rFonts w:hint="eastAsia" w:ascii="Times New Roman" w:hAnsi="Times New Roman" w:eastAsia="仿宋_GB2312" w:cs="Times New Roman"/>
          <w:color w:val="auto"/>
          <w:sz w:val="32"/>
          <w:szCs w:val="32"/>
          <w:lang w:eastAsia="zh-CN"/>
        </w:rPr>
        <w:t>与经开区合并后我</w:t>
      </w:r>
      <w:r>
        <w:rPr>
          <w:rFonts w:hint="eastAsia" w:ascii="Times New Roman" w:hAnsi="Times New Roman" w:eastAsia="仿宋_GB2312" w:cs="Times New Roman"/>
          <w:color w:val="auto"/>
          <w:sz w:val="32"/>
          <w:szCs w:val="32"/>
        </w:rPr>
        <w:t>区</w:t>
      </w:r>
      <w:r>
        <w:rPr>
          <w:rFonts w:hint="eastAsia" w:ascii="Times New Roman" w:hAnsi="Times New Roman" w:eastAsia="仿宋_GB2312" w:cs="Times New Roman"/>
          <w:color w:val="auto"/>
          <w:sz w:val="32"/>
          <w:szCs w:val="32"/>
          <w:lang w:eastAsia="zh-CN"/>
        </w:rPr>
        <w:t>性艾</w:t>
      </w:r>
      <w:r>
        <w:rPr>
          <w:rFonts w:hint="eastAsia" w:ascii="Times New Roman" w:hAnsi="Times New Roman" w:eastAsia="仿宋_GB2312" w:cs="Times New Roman"/>
          <w:color w:val="auto"/>
          <w:sz w:val="32"/>
          <w:szCs w:val="32"/>
        </w:rPr>
        <w:t>工作任务</w:t>
      </w:r>
      <w:r>
        <w:rPr>
          <w:rFonts w:hint="eastAsia" w:ascii="Times New Roman" w:hAnsi="Times New Roman" w:eastAsia="仿宋_GB2312" w:cs="Times New Roman"/>
          <w:color w:val="auto"/>
          <w:sz w:val="32"/>
          <w:szCs w:val="32"/>
          <w:lang w:eastAsia="zh-CN"/>
        </w:rPr>
        <w:t>明显加</w:t>
      </w:r>
      <w:r>
        <w:rPr>
          <w:rFonts w:hint="eastAsia" w:ascii="Times New Roman" w:hAnsi="Times New Roman" w:eastAsia="仿宋_GB2312" w:cs="Times New Roman"/>
          <w:color w:val="auto"/>
          <w:sz w:val="32"/>
          <w:szCs w:val="32"/>
        </w:rPr>
        <w:t>重，工作量大，经费人员紧张，为开展预防性病艾滋病</w:t>
      </w:r>
      <w:r>
        <w:rPr>
          <w:rFonts w:hint="eastAsia" w:ascii="Times New Roman" w:hAnsi="Times New Roman" w:eastAsia="仿宋_GB2312" w:cs="Times New Roman"/>
          <w:color w:val="auto"/>
          <w:sz w:val="32"/>
          <w:szCs w:val="32"/>
          <w:lang w:eastAsia="zh-CN"/>
        </w:rPr>
        <w:t>丙肝</w:t>
      </w:r>
      <w:r>
        <w:rPr>
          <w:rFonts w:hint="eastAsia" w:ascii="Times New Roman" w:hAnsi="Times New Roman" w:eastAsia="仿宋_GB2312" w:cs="Times New Roman"/>
          <w:color w:val="auto"/>
          <w:sz w:val="32"/>
          <w:szCs w:val="32"/>
        </w:rPr>
        <w:t>知识专项宣传活动带来一定的困难。发挥基层宣传网的作用，加大宣传力度进一步明确宣传教育的重点，对广大群众主要宣传性病艾滋病丙肝的传播途径、流行特点、防护知识;对全社会宣传党和政府关于防治的政策。</w:t>
      </w:r>
    </w:p>
    <w:p>
      <w:pPr>
        <w:tabs>
          <w:tab w:val="left" w:pos="7560"/>
        </w:tabs>
        <w:adjustRightInd w:val="0"/>
        <w:snapToGrid w:val="0"/>
        <w:spacing w:line="540" w:lineRule="exact"/>
        <w:ind w:firstLine="640" w:firstLineChars="200"/>
        <w:jc w:val="left"/>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针对</w:t>
      </w:r>
      <w:r>
        <w:rPr>
          <w:rFonts w:hint="eastAsia" w:ascii="Times New Roman" w:hAnsi="Times New Roman" w:eastAsia="仿宋_GB2312" w:cs="Times New Roman"/>
          <w:color w:val="auto"/>
          <w:sz w:val="32"/>
          <w:szCs w:val="32"/>
        </w:rPr>
        <w:t>性病艾滋病</w:t>
      </w:r>
      <w:r>
        <w:rPr>
          <w:rFonts w:hint="eastAsia" w:ascii="Times New Roman" w:hAnsi="Times New Roman" w:eastAsia="仿宋_GB2312" w:cs="Times New Roman"/>
          <w:color w:val="auto"/>
          <w:sz w:val="32"/>
          <w:szCs w:val="32"/>
          <w:lang w:eastAsia="zh-CN"/>
        </w:rPr>
        <w:t>丙肝防治工作，有关部门仍重视不足，防治工作开展落实困难。我区要进一步增强做好性病艾滋病丙肝防治工作的紧迫感和责任感，加强与有关部门的联动与协作，动员全社会，齐抓共管，同心协力，共同健全和完善政府主导、多部门合作、全社会参与的性病艾滋病丙肝防控机制。</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2）结核病防治方面</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政府和相关部门项目配套经费少，影响学校结核病防治工作正常开展。</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宣传工作力度不够，使部分领导和群众对结核病防治认识不足。加大健康教育的宣传力度，特别是有针对性地开展结核病防治知识的宣传，强化意识，提高群众的防病意识。</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基层结核病防治人员不稳定，使结防工作不能有序的持续性开展。</w:t>
      </w:r>
    </w:p>
    <w:p>
      <w:pPr>
        <w:numPr>
          <w:ilvl w:val="0"/>
          <w:numId w:val="1"/>
        </w:numPr>
        <w:tabs>
          <w:tab w:val="left" w:pos="7560"/>
        </w:tabs>
        <w:adjustRightInd w:val="0"/>
        <w:snapToGrid w:val="0"/>
        <w:spacing w:line="540" w:lineRule="exact"/>
        <w:ind w:firstLine="640" w:firstLineChars="200"/>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其他需要说明的情况</w:t>
      </w:r>
    </w:p>
    <w:p>
      <w:pPr>
        <w:tabs>
          <w:tab w:val="left" w:pos="7560"/>
        </w:tabs>
        <w:adjustRightInd w:val="0"/>
        <w:snapToGrid w:val="0"/>
        <w:spacing w:line="540" w:lineRule="exact"/>
        <w:ind w:firstLine="640" w:firstLineChars="200"/>
        <w:jc w:val="left"/>
        <w:rPr>
          <w:rFonts w:hint="default" w:ascii="Times New Roman" w:hAnsi="Times New Roman" w:eastAsia="黑体" w:cs="Times New Roman"/>
          <w:color w:val="auto"/>
          <w:sz w:val="32"/>
          <w:szCs w:val="32"/>
        </w:rPr>
      </w:pPr>
      <w:r>
        <w:rPr>
          <w:rFonts w:hint="default" w:ascii="Times New Roman" w:hAnsi="Times New Roman" w:eastAsia="仿宋_GB2312" w:cs="Times New Roman"/>
          <w:color w:val="auto"/>
          <w:sz w:val="32"/>
          <w:szCs w:val="32"/>
          <w:lang w:eastAsia="zh-CN"/>
        </w:rPr>
        <w:t>无其他需要说明的情况。</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w:t>
      </w:r>
    </w:p>
    <w:p>
      <w:pPr>
        <w:rPr>
          <w:rFonts w:hint="default"/>
          <w:lang w:eastAsia="zh-CN"/>
        </w:rPr>
      </w:pPr>
    </w:p>
    <w:sectPr>
      <w:footerReference r:id="rId4" w:type="default"/>
      <w:pgSz w:w="11906" w:h="16838"/>
      <w:pgMar w:top="1531" w:right="1531" w:bottom="1531" w:left="1531" w:header="851" w:footer="1191" w:gutter="0"/>
      <w:pgNumType w:fmt="decimal"/>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rPr>
        <w:rFonts w:cs="Times New Roman"/>
      </w:rPr>
    </w:pPr>
    <w:r>
      <w:rPr>
        <w:sz w:val="18"/>
      </w:rPr>
      <w:pict>
        <v:shape id="_x0000_s4100" o:spid="_x0000_s4100"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rPr>
        <w:rFonts w:cs="Times New Roman"/>
      </w:rPr>
    </w:pPr>
    <w:r>
      <w:rPr>
        <w:sz w:val="18"/>
      </w:rPr>
      <w:pict>
        <v:shape id="_x0000_s4099" o:spid="_x0000_s4099"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5FFD4F"/>
    <w:multiLevelType w:val="singleLevel"/>
    <w:tmpl w:val="955FFD4F"/>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doNotDisplayPageBoundaries w:val="true"/>
  <w:embedSystemFonts/>
  <w:bordersDoNotSurroundHeader w:val="true"/>
  <w:bordersDoNotSurroundFooter w:val="true"/>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lmZjU2NTZjNTU1NDE5MWU0NjE4MmNiY2Y2ZDM3ZWUifQ=="/>
  </w:docVars>
  <w:rsids>
    <w:rsidRoot w:val="008E6491"/>
    <w:rsid w:val="000248EA"/>
    <w:rsid w:val="000A3A1B"/>
    <w:rsid w:val="000E17EC"/>
    <w:rsid w:val="00220AC5"/>
    <w:rsid w:val="002476BD"/>
    <w:rsid w:val="002C1873"/>
    <w:rsid w:val="002C2128"/>
    <w:rsid w:val="002F4169"/>
    <w:rsid w:val="00304E26"/>
    <w:rsid w:val="003055F8"/>
    <w:rsid w:val="0031281F"/>
    <w:rsid w:val="00341D1C"/>
    <w:rsid w:val="00380CD5"/>
    <w:rsid w:val="003C549F"/>
    <w:rsid w:val="003F01CC"/>
    <w:rsid w:val="0043193B"/>
    <w:rsid w:val="00433B4B"/>
    <w:rsid w:val="004E64C2"/>
    <w:rsid w:val="005A6F70"/>
    <w:rsid w:val="00634606"/>
    <w:rsid w:val="00634CB8"/>
    <w:rsid w:val="006B1B13"/>
    <w:rsid w:val="00753562"/>
    <w:rsid w:val="007830AB"/>
    <w:rsid w:val="00797513"/>
    <w:rsid w:val="007C5100"/>
    <w:rsid w:val="00806E32"/>
    <w:rsid w:val="00832C97"/>
    <w:rsid w:val="00897CA2"/>
    <w:rsid w:val="008A4C72"/>
    <w:rsid w:val="008C3049"/>
    <w:rsid w:val="008D5121"/>
    <w:rsid w:val="008E6491"/>
    <w:rsid w:val="008E7E2D"/>
    <w:rsid w:val="00940193"/>
    <w:rsid w:val="00952B81"/>
    <w:rsid w:val="00955478"/>
    <w:rsid w:val="00956E78"/>
    <w:rsid w:val="009715BF"/>
    <w:rsid w:val="00975B8F"/>
    <w:rsid w:val="009B2A1B"/>
    <w:rsid w:val="009E7525"/>
    <w:rsid w:val="00A07D45"/>
    <w:rsid w:val="00A14938"/>
    <w:rsid w:val="00A330BC"/>
    <w:rsid w:val="00A7389A"/>
    <w:rsid w:val="00A76B5D"/>
    <w:rsid w:val="00AB106C"/>
    <w:rsid w:val="00AF6751"/>
    <w:rsid w:val="00BC5463"/>
    <w:rsid w:val="00C02A97"/>
    <w:rsid w:val="00C52AFF"/>
    <w:rsid w:val="00C87654"/>
    <w:rsid w:val="00CC3803"/>
    <w:rsid w:val="00D942F4"/>
    <w:rsid w:val="00D96B47"/>
    <w:rsid w:val="00DE300B"/>
    <w:rsid w:val="00E07250"/>
    <w:rsid w:val="00E61034"/>
    <w:rsid w:val="00EC433B"/>
    <w:rsid w:val="00ED34BC"/>
    <w:rsid w:val="00EF3CBB"/>
    <w:rsid w:val="00F94C4E"/>
    <w:rsid w:val="00FA12BD"/>
    <w:rsid w:val="00FB79DC"/>
    <w:rsid w:val="01730CDE"/>
    <w:rsid w:val="0300092A"/>
    <w:rsid w:val="030F3E6D"/>
    <w:rsid w:val="03157FF6"/>
    <w:rsid w:val="04270403"/>
    <w:rsid w:val="04A23AD7"/>
    <w:rsid w:val="04E8122B"/>
    <w:rsid w:val="05244B59"/>
    <w:rsid w:val="07F26B0E"/>
    <w:rsid w:val="081D72B1"/>
    <w:rsid w:val="089E5151"/>
    <w:rsid w:val="08E475C6"/>
    <w:rsid w:val="09314228"/>
    <w:rsid w:val="09351A48"/>
    <w:rsid w:val="09416E97"/>
    <w:rsid w:val="0942192E"/>
    <w:rsid w:val="09BB4712"/>
    <w:rsid w:val="0A443A42"/>
    <w:rsid w:val="0A6D78B3"/>
    <w:rsid w:val="0B3B3DD6"/>
    <w:rsid w:val="0B466AC3"/>
    <w:rsid w:val="0C2E6972"/>
    <w:rsid w:val="0D5077BE"/>
    <w:rsid w:val="0D972270"/>
    <w:rsid w:val="0DA01BE2"/>
    <w:rsid w:val="0DAF708E"/>
    <w:rsid w:val="0EA03BB9"/>
    <w:rsid w:val="0F74026E"/>
    <w:rsid w:val="0FB02EE6"/>
    <w:rsid w:val="103F11C1"/>
    <w:rsid w:val="10561432"/>
    <w:rsid w:val="10E71038"/>
    <w:rsid w:val="110C7443"/>
    <w:rsid w:val="11562771"/>
    <w:rsid w:val="11D90D72"/>
    <w:rsid w:val="12CB3584"/>
    <w:rsid w:val="132C7419"/>
    <w:rsid w:val="13396AFD"/>
    <w:rsid w:val="13461F88"/>
    <w:rsid w:val="14777C70"/>
    <w:rsid w:val="151B4301"/>
    <w:rsid w:val="15647297"/>
    <w:rsid w:val="1565539D"/>
    <w:rsid w:val="15B41D83"/>
    <w:rsid w:val="16525605"/>
    <w:rsid w:val="1663351B"/>
    <w:rsid w:val="174E4C23"/>
    <w:rsid w:val="1750216C"/>
    <w:rsid w:val="179D57AB"/>
    <w:rsid w:val="18B17961"/>
    <w:rsid w:val="192B318F"/>
    <w:rsid w:val="19A417B7"/>
    <w:rsid w:val="1A1E487B"/>
    <w:rsid w:val="1A3B2435"/>
    <w:rsid w:val="1A5E2762"/>
    <w:rsid w:val="1A6B02C6"/>
    <w:rsid w:val="1A7954E3"/>
    <w:rsid w:val="1AEC4F67"/>
    <w:rsid w:val="1B070EDC"/>
    <w:rsid w:val="1BB54765"/>
    <w:rsid w:val="1BEF0709"/>
    <w:rsid w:val="1C6E2FB7"/>
    <w:rsid w:val="1D842E68"/>
    <w:rsid w:val="1E1F6BF7"/>
    <w:rsid w:val="1E730928"/>
    <w:rsid w:val="20562A02"/>
    <w:rsid w:val="20B37FA3"/>
    <w:rsid w:val="20BF3573"/>
    <w:rsid w:val="20D86258"/>
    <w:rsid w:val="20DD4A99"/>
    <w:rsid w:val="21292C53"/>
    <w:rsid w:val="215E4F0F"/>
    <w:rsid w:val="21776705"/>
    <w:rsid w:val="21EB549F"/>
    <w:rsid w:val="22001A42"/>
    <w:rsid w:val="225613D4"/>
    <w:rsid w:val="22F0649A"/>
    <w:rsid w:val="23BC5A33"/>
    <w:rsid w:val="24285D8F"/>
    <w:rsid w:val="242C216C"/>
    <w:rsid w:val="24E616F5"/>
    <w:rsid w:val="24E70084"/>
    <w:rsid w:val="24FA6475"/>
    <w:rsid w:val="252B2FED"/>
    <w:rsid w:val="25384864"/>
    <w:rsid w:val="25CA732B"/>
    <w:rsid w:val="25E652BD"/>
    <w:rsid w:val="278A5206"/>
    <w:rsid w:val="278E5496"/>
    <w:rsid w:val="289F4D7D"/>
    <w:rsid w:val="28A279DD"/>
    <w:rsid w:val="28B613A3"/>
    <w:rsid w:val="28F104F6"/>
    <w:rsid w:val="29D41291"/>
    <w:rsid w:val="2A8C7939"/>
    <w:rsid w:val="2B2E1227"/>
    <w:rsid w:val="2B80630B"/>
    <w:rsid w:val="2B917500"/>
    <w:rsid w:val="2BF7282F"/>
    <w:rsid w:val="2C0113CB"/>
    <w:rsid w:val="2D8A136A"/>
    <w:rsid w:val="2E770DFB"/>
    <w:rsid w:val="2E9665FD"/>
    <w:rsid w:val="2F1763DE"/>
    <w:rsid w:val="3002077B"/>
    <w:rsid w:val="300B0291"/>
    <w:rsid w:val="311E625A"/>
    <w:rsid w:val="327D5EDF"/>
    <w:rsid w:val="32BF66DA"/>
    <w:rsid w:val="32CC12ED"/>
    <w:rsid w:val="33324BC0"/>
    <w:rsid w:val="338F36C8"/>
    <w:rsid w:val="33CD2E7D"/>
    <w:rsid w:val="34674742"/>
    <w:rsid w:val="348059AF"/>
    <w:rsid w:val="34A733C3"/>
    <w:rsid w:val="35D16D46"/>
    <w:rsid w:val="36AB48EE"/>
    <w:rsid w:val="36CB0E19"/>
    <w:rsid w:val="37410FF2"/>
    <w:rsid w:val="377D4BC1"/>
    <w:rsid w:val="37C11B48"/>
    <w:rsid w:val="380C4020"/>
    <w:rsid w:val="38385FFD"/>
    <w:rsid w:val="3915133C"/>
    <w:rsid w:val="396A687C"/>
    <w:rsid w:val="3A1A4EB3"/>
    <w:rsid w:val="3A6C373A"/>
    <w:rsid w:val="3AC30DF9"/>
    <w:rsid w:val="3B3C6E45"/>
    <w:rsid w:val="3B69738B"/>
    <w:rsid w:val="3BA452C2"/>
    <w:rsid w:val="3CAE3F93"/>
    <w:rsid w:val="3CCE2173"/>
    <w:rsid w:val="3CFF26A1"/>
    <w:rsid w:val="3D387759"/>
    <w:rsid w:val="3EE94F30"/>
    <w:rsid w:val="3F570588"/>
    <w:rsid w:val="3F5B111B"/>
    <w:rsid w:val="4059750B"/>
    <w:rsid w:val="40894179"/>
    <w:rsid w:val="408F3EBF"/>
    <w:rsid w:val="409860B0"/>
    <w:rsid w:val="413C6D6B"/>
    <w:rsid w:val="41FE6046"/>
    <w:rsid w:val="42347456"/>
    <w:rsid w:val="42720F81"/>
    <w:rsid w:val="427B2141"/>
    <w:rsid w:val="43587B65"/>
    <w:rsid w:val="44332554"/>
    <w:rsid w:val="44527E3B"/>
    <w:rsid w:val="44A7431B"/>
    <w:rsid w:val="44DA00F4"/>
    <w:rsid w:val="44E419D4"/>
    <w:rsid w:val="44ED39AD"/>
    <w:rsid w:val="458E4325"/>
    <w:rsid w:val="46625214"/>
    <w:rsid w:val="46C85E76"/>
    <w:rsid w:val="46FD5CE6"/>
    <w:rsid w:val="47126E17"/>
    <w:rsid w:val="4837025C"/>
    <w:rsid w:val="486C2D19"/>
    <w:rsid w:val="48C164A5"/>
    <w:rsid w:val="48D96419"/>
    <w:rsid w:val="4907074D"/>
    <w:rsid w:val="49072B3D"/>
    <w:rsid w:val="499E39EC"/>
    <w:rsid w:val="49AA2F42"/>
    <w:rsid w:val="49F43376"/>
    <w:rsid w:val="49F52274"/>
    <w:rsid w:val="4B7D53D4"/>
    <w:rsid w:val="4B802306"/>
    <w:rsid w:val="4BB559D8"/>
    <w:rsid w:val="4BC64CF7"/>
    <w:rsid w:val="4C1E7F82"/>
    <w:rsid w:val="4C915EB9"/>
    <w:rsid w:val="4D53195E"/>
    <w:rsid w:val="4D6E3C7B"/>
    <w:rsid w:val="4DE65243"/>
    <w:rsid w:val="4E3E7768"/>
    <w:rsid w:val="4E7B4F9A"/>
    <w:rsid w:val="4EF83924"/>
    <w:rsid w:val="4F4041E0"/>
    <w:rsid w:val="4FA97C0B"/>
    <w:rsid w:val="505C3AA6"/>
    <w:rsid w:val="50CF697A"/>
    <w:rsid w:val="510D7DB6"/>
    <w:rsid w:val="517F0763"/>
    <w:rsid w:val="51D1739A"/>
    <w:rsid w:val="51DB167B"/>
    <w:rsid w:val="527D12F0"/>
    <w:rsid w:val="537222B5"/>
    <w:rsid w:val="539E2A68"/>
    <w:rsid w:val="540E1038"/>
    <w:rsid w:val="54583E48"/>
    <w:rsid w:val="56602BE6"/>
    <w:rsid w:val="56AE3CF8"/>
    <w:rsid w:val="56B35C8C"/>
    <w:rsid w:val="56ED1418"/>
    <w:rsid w:val="57874E14"/>
    <w:rsid w:val="5788198F"/>
    <w:rsid w:val="579532EC"/>
    <w:rsid w:val="579A6409"/>
    <w:rsid w:val="57BD48C8"/>
    <w:rsid w:val="57F4387E"/>
    <w:rsid w:val="58841072"/>
    <w:rsid w:val="58D611A3"/>
    <w:rsid w:val="58EE1582"/>
    <w:rsid w:val="590B2972"/>
    <w:rsid w:val="59A77C75"/>
    <w:rsid w:val="5A0F1FE2"/>
    <w:rsid w:val="5ACE500F"/>
    <w:rsid w:val="5B777609"/>
    <w:rsid w:val="5B8135BF"/>
    <w:rsid w:val="5CAA7AF9"/>
    <w:rsid w:val="5CE35B12"/>
    <w:rsid w:val="5D3673BF"/>
    <w:rsid w:val="5D503AD5"/>
    <w:rsid w:val="5D974E3E"/>
    <w:rsid w:val="5D9B4911"/>
    <w:rsid w:val="5FA76FE8"/>
    <w:rsid w:val="5FC17D62"/>
    <w:rsid w:val="601F704F"/>
    <w:rsid w:val="60336F5F"/>
    <w:rsid w:val="60351D24"/>
    <w:rsid w:val="60E56779"/>
    <w:rsid w:val="61241942"/>
    <w:rsid w:val="614C7899"/>
    <w:rsid w:val="61FB341B"/>
    <w:rsid w:val="625E5182"/>
    <w:rsid w:val="62C1521F"/>
    <w:rsid w:val="633E4244"/>
    <w:rsid w:val="63785F66"/>
    <w:rsid w:val="63903F3A"/>
    <w:rsid w:val="64802980"/>
    <w:rsid w:val="64F03848"/>
    <w:rsid w:val="66BD30AA"/>
    <w:rsid w:val="677A293B"/>
    <w:rsid w:val="67A443BD"/>
    <w:rsid w:val="68F776E4"/>
    <w:rsid w:val="68F8123C"/>
    <w:rsid w:val="6927577B"/>
    <w:rsid w:val="69394480"/>
    <w:rsid w:val="6A023290"/>
    <w:rsid w:val="6AD05FDE"/>
    <w:rsid w:val="6AD65D9C"/>
    <w:rsid w:val="6B095F81"/>
    <w:rsid w:val="6B1B4D90"/>
    <w:rsid w:val="6B4662F0"/>
    <w:rsid w:val="6B7E01F7"/>
    <w:rsid w:val="6BC106E2"/>
    <w:rsid w:val="6C2978BD"/>
    <w:rsid w:val="6C53275F"/>
    <w:rsid w:val="6C606AE7"/>
    <w:rsid w:val="6C6A76A4"/>
    <w:rsid w:val="6C740601"/>
    <w:rsid w:val="6DCB0391"/>
    <w:rsid w:val="6DD11E60"/>
    <w:rsid w:val="6E55001A"/>
    <w:rsid w:val="6E653953"/>
    <w:rsid w:val="6E870266"/>
    <w:rsid w:val="6EB35808"/>
    <w:rsid w:val="6ED87861"/>
    <w:rsid w:val="6EEC5CCF"/>
    <w:rsid w:val="6F034D12"/>
    <w:rsid w:val="6F4C3CE0"/>
    <w:rsid w:val="70B062BF"/>
    <w:rsid w:val="70EE2A07"/>
    <w:rsid w:val="71805A0D"/>
    <w:rsid w:val="728218C8"/>
    <w:rsid w:val="72C53241"/>
    <w:rsid w:val="73323209"/>
    <w:rsid w:val="73511C08"/>
    <w:rsid w:val="73BF32E5"/>
    <w:rsid w:val="745C21FC"/>
    <w:rsid w:val="748222C0"/>
    <w:rsid w:val="751F698F"/>
    <w:rsid w:val="75216C76"/>
    <w:rsid w:val="76880C59"/>
    <w:rsid w:val="77520CB2"/>
    <w:rsid w:val="77FC1EB0"/>
    <w:rsid w:val="787C5627"/>
    <w:rsid w:val="78DD3E8B"/>
    <w:rsid w:val="78E57C7B"/>
    <w:rsid w:val="79344D9C"/>
    <w:rsid w:val="7973570C"/>
    <w:rsid w:val="799C07A5"/>
    <w:rsid w:val="79AB2C1B"/>
    <w:rsid w:val="79C5370F"/>
    <w:rsid w:val="7A3D5122"/>
    <w:rsid w:val="7B9873A6"/>
    <w:rsid w:val="7BF056D7"/>
    <w:rsid w:val="7C346A84"/>
    <w:rsid w:val="7C9524F8"/>
    <w:rsid w:val="7C9731D2"/>
    <w:rsid w:val="7CE7577C"/>
    <w:rsid w:val="7D670134"/>
    <w:rsid w:val="7D695474"/>
    <w:rsid w:val="7D7C3D3A"/>
    <w:rsid w:val="7DF55347"/>
    <w:rsid w:val="7E64772D"/>
    <w:rsid w:val="7E8E2937"/>
    <w:rsid w:val="7F68316C"/>
    <w:rsid w:val="EEDC1BC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仿宋_GB2312"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afterLines="0"/>
    </w:pPr>
    <w:rPr>
      <w:rFonts w:ascii="Times New Roman" w:hAnsi="Times New Roman" w:eastAsia="宋体" w:cs="Times New Roman"/>
    </w:rPr>
  </w:style>
  <w:style w:type="paragraph" w:styleId="3">
    <w:name w:val="Date"/>
    <w:basedOn w:val="1"/>
    <w:next w:val="1"/>
    <w:link w:val="12"/>
    <w:semiHidden/>
    <w:qFormat/>
    <w:uiPriority w:val="99"/>
    <w:pPr>
      <w:ind w:left="100" w:leftChars="2500"/>
    </w:p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0"/>
    <w:semiHidden/>
    <w:qFormat/>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99"/>
  </w:style>
  <w:style w:type="paragraph" w:customStyle="1" w:styleId="9">
    <w:name w:val="正文文字"/>
    <w:basedOn w:val="1"/>
    <w:next w:val="1"/>
    <w:qFormat/>
    <w:uiPriority w:val="99"/>
    <w:pPr>
      <w:spacing w:after="120"/>
    </w:pPr>
  </w:style>
  <w:style w:type="character" w:customStyle="1" w:styleId="10">
    <w:name w:val="Header Char"/>
    <w:basedOn w:val="7"/>
    <w:link w:val="5"/>
    <w:semiHidden/>
    <w:qFormat/>
    <w:locked/>
    <w:uiPriority w:val="99"/>
    <w:rPr>
      <w:sz w:val="18"/>
      <w:szCs w:val="18"/>
    </w:rPr>
  </w:style>
  <w:style w:type="character" w:customStyle="1" w:styleId="11">
    <w:name w:val="Footer Char"/>
    <w:basedOn w:val="7"/>
    <w:link w:val="4"/>
    <w:qFormat/>
    <w:locked/>
    <w:uiPriority w:val="99"/>
    <w:rPr>
      <w:sz w:val="18"/>
      <w:szCs w:val="18"/>
    </w:rPr>
  </w:style>
  <w:style w:type="character" w:customStyle="1" w:styleId="12">
    <w:name w:val="Date Char"/>
    <w:basedOn w:val="7"/>
    <w:link w:val="3"/>
    <w:semiHidden/>
    <w:qFormat/>
    <w:locked/>
    <w:uiPriority w:val="99"/>
  </w:style>
  <w:style w:type="character" w:customStyle="1" w:styleId="13">
    <w:name w:val="font41"/>
    <w:basedOn w:val="7"/>
    <w:qFormat/>
    <w:uiPriority w:val="99"/>
    <w:rPr>
      <w:rFonts w:ascii="宋体" w:hAnsi="宋体" w:eastAsia="宋体" w:cs="宋体"/>
      <w:b/>
      <w:bCs/>
      <w:color w:val="000000"/>
      <w:sz w:val="44"/>
      <w:szCs w:val="44"/>
      <w:u w:val="none"/>
    </w:rPr>
  </w:style>
  <w:style w:type="character" w:customStyle="1" w:styleId="14">
    <w:name w:val="font11"/>
    <w:basedOn w:val="7"/>
    <w:qFormat/>
    <w:uiPriority w:val="99"/>
    <w:rPr>
      <w:rFonts w:ascii="宋体" w:hAnsi="宋体" w:eastAsia="宋体" w:cs="宋体"/>
      <w:b/>
      <w:bCs/>
      <w:color w:val="000000"/>
      <w:sz w:val="32"/>
      <w:szCs w:val="3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100" textRotate="1"/>
    <customShpInfo spid="_x0000_s409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Microsoft</Company>
  <Pages>15</Pages>
  <Words>7516</Words>
  <Characters>8003</Characters>
  <Lines>0</Lines>
  <Paragraphs>0</Paragraphs>
  <TotalTime>112</TotalTime>
  <ScaleCrop>false</ScaleCrop>
  <LinksUpToDate>false</LinksUpToDate>
  <CharactersWithSpaces>8011</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2019-01-15T11:17:00Z</dcterms:created>
  <dc:creator>Windows 用户</dc:creator>
  <cp:lastModifiedBy>user</cp:lastModifiedBy>
  <cp:lastPrinted>2023-08-28T15:21:00Z</cp:lastPrinted>
  <dcterms:modified xsi:type="dcterms:W3CDTF">2024-11-18T15:01:25Z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9AA7F913A2C94DEF8E6BB5C6532215C8_13</vt:lpwstr>
  </property>
</Properties>
</file>