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both"/>
        <w:rPr>
          <w:rFonts w:ascii="Times New Roman" w:hAnsi="Times New Roman" w:cs="Times New Roman"/>
          <w:sz w:val="56"/>
          <w:szCs w:val="56"/>
        </w:rPr>
      </w:pPr>
    </w:p>
    <w:p>
      <w:pPr>
        <w:pStyle w:val="16"/>
        <w:jc w:val="both"/>
        <w:rPr>
          <w:rFonts w:ascii="Times New Roman" w:hAnsi="Times New Roman" w:cs="Times New Roman"/>
          <w:sz w:val="56"/>
          <w:szCs w:val="56"/>
        </w:rPr>
      </w:pPr>
    </w:p>
    <w:p>
      <w:pPr>
        <w:pStyle w:val="16"/>
        <w:jc w:val="both"/>
        <w:rPr>
          <w:rFonts w:ascii="Times New Roman" w:hAnsi="Times New Roman" w:cs="Times New Roman"/>
          <w:sz w:val="84"/>
          <w:szCs w:val="84"/>
        </w:rPr>
      </w:pPr>
    </w:p>
    <w:p>
      <w:pPr>
        <w:pStyle w:val="16"/>
        <w:jc w:val="center"/>
        <w:rPr>
          <w:rFonts w:ascii="Times New Roman" w:hAnsi="Times New Roman" w:eastAsia="方正小标宋简体" w:cs="Times New Roman"/>
          <w:sz w:val="76"/>
          <w:szCs w:val="76"/>
        </w:rPr>
      </w:pPr>
    </w:p>
    <w:p>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pPr>
        <w:pStyle w:val="16"/>
        <w:jc w:val="center"/>
        <w:rPr>
          <w:rFonts w:hint="eastAsia"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株洲市石峰区医疗保障局</w:t>
      </w:r>
    </w:p>
    <w:p>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pPr>
        <w:pStyle w:val="16"/>
        <w:jc w:val="both"/>
        <w:rPr>
          <w:rFonts w:ascii="Times New Roman" w:hAnsi="Times New Roman" w:cs="Times New Roman"/>
          <w:sz w:val="32"/>
          <w:szCs w:val="32"/>
        </w:rPr>
      </w:pPr>
    </w:p>
    <w:p>
      <w:pPr>
        <w:pStyle w:val="16"/>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cs="Times New Roman"/>
          <w:sz w:val="32"/>
          <w:szCs w:val="32"/>
        </w:rPr>
        <w:t>株洲市石峰区医疗保障局</w:t>
      </w:r>
      <w:r>
        <w:rPr>
          <w:rFonts w:ascii="Times New Roman" w:hAnsi="Times New Roman" w:cs="Times New Roman"/>
          <w:sz w:val="32"/>
          <w:szCs w:val="32"/>
        </w:rPr>
        <w:t>单位概况</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pPr>
        <w:pStyle w:val="16"/>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center"/>
        <w:rPr>
          <w:rFonts w:ascii="Times New Roman" w:hAnsi="Times New Roman" w:eastAsia="方正小标宋简体" w:cs="Times New Roman"/>
          <w:w w:val="90"/>
          <w:sz w:val="76"/>
          <w:szCs w:val="76"/>
        </w:rPr>
      </w:pPr>
    </w:p>
    <w:p>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pPr>
        <w:pStyle w:val="16"/>
        <w:jc w:val="center"/>
        <w:rPr>
          <w:rFonts w:ascii="Times New Roman" w:hAnsi="Times New Roman" w:eastAsia="方正小标宋简体" w:cs="Times New Roman"/>
          <w:sz w:val="76"/>
          <w:szCs w:val="76"/>
        </w:rPr>
      </w:pPr>
    </w:p>
    <w:p>
      <w:pPr>
        <w:pStyle w:val="16"/>
        <w:jc w:val="center"/>
        <w:rPr>
          <w:rFonts w:hint="eastAsia" w:ascii="Times New Roman" w:hAnsi="Times New Roman" w:eastAsia="方正小标宋简体" w:cs="Times New Roman"/>
          <w:sz w:val="76"/>
          <w:szCs w:val="76"/>
        </w:rPr>
      </w:pPr>
      <w:r>
        <w:rPr>
          <w:rFonts w:hint="eastAsia" w:ascii="Times New Roman" w:hAnsi="Times New Roman" w:eastAsia="方正小标宋简体" w:cs="Times New Roman"/>
          <w:sz w:val="76"/>
          <w:szCs w:val="76"/>
        </w:rPr>
        <w:t>株洲市石峰区医疗保障局</w:t>
      </w:r>
    </w:p>
    <w:p>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pPr>
        <w:pStyle w:val="17"/>
        <w:keepNext w:val="0"/>
        <w:keepLines w:val="0"/>
        <w:pageBreakBefore w:val="0"/>
        <w:numPr>
          <w:ilvl w:val="0"/>
          <w:numId w:val="0"/>
        </w:numPr>
        <w:kinsoku/>
        <w:wordWrap/>
        <w:topLinePunct w:val="0"/>
        <w:autoSpaceDE/>
        <w:autoSpaceDN/>
        <w:bidi w:val="0"/>
        <w:adjustRightInd/>
        <w:snapToGrid/>
        <w:spacing w:line="500" w:lineRule="exact"/>
        <w:ind w:leftChars="0"/>
        <w:jc w:val="left"/>
        <w:textAlignment w:val="auto"/>
        <w:rPr>
          <w:rFonts w:ascii="黑体" w:hAnsi="黑体" w:eastAsia="黑体"/>
          <w:sz w:val="30"/>
          <w:szCs w:val="30"/>
        </w:rPr>
      </w:pPr>
      <w:r>
        <w:rPr>
          <w:rFonts w:ascii="Times New Roman" w:hAnsi="Times New Roman" w:eastAsia="黑体" w:cs="Times New Roman"/>
          <w:sz w:val="32"/>
          <w:szCs w:val="32"/>
        </w:rPr>
        <w:br w:type="page"/>
      </w:r>
      <w:r>
        <w:rPr>
          <w:rFonts w:hint="eastAsia" w:ascii="Times New Roman" w:hAnsi="Times New Roman" w:eastAsia="黑体" w:cs="Times New Roman"/>
          <w:sz w:val="32"/>
          <w:szCs w:val="32"/>
          <w:lang w:val="en-US" w:eastAsia="zh-CN"/>
        </w:rPr>
        <w:t xml:space="preserve">    一、</w:t>
      </w:r>
      <w:r>
        <w:rPr>
          <w:rFonts w:ascii="黑体" w:hAnsi="黑体" w:eastAsia="黑体"/>
          <w:sz w:val="32"/>
          <w:szCs w:val="32"/>
        </w:rPr>
        <w:t>部门职责</w:t>
      </w:r>
    </w:p>
    <w:p>
      <w:pPr>
        <w:pStyle w:val="7"/>
        <w:keepNext w:val="0"/>
        <w:keepLines w:val="0"/>
        <w:pageBreakBefore w:val="0"/>
        <w:widowControl w:val="0"/>
        <w:kinsoku/>
        <w:wordWrap/>
        <w:topLinePunct w:val="0"/>
        <w:autoSpaceDE/>
        <w:autoSpaceDN/>
        <w:bidi w:val="0"/>
        <w:adjustRightInd/>
        <w:snapToGrid/>
        <w:spacing w:before="0" w:beforeAutospacing="0" w:after="0" w:afterAutospacing="0"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（一）贯彻执行国家、省、市关于医疗保险、生育保险、医疗救助等医疗保障制度的法律法规、政策，拟订全区相关规划，并组织实施。</w:t>
      </w:r>
    </w:p>
    <w:p>
      <w:pPr>
        <w:pStyle w:val="7"/>
        <w:keepNext w:val="0"/>
        <w:keepLines w:val="0"/>
        <w:pageBreakBefore w:val="0"/>
        <w:widowControl w:val="0"/>
        <w:kinsoku/>
        <w:wordWrap/>
        <w:topLinePunct w:val="0"/>
        <w:autoSpaceDE/>
        <w:autoSpaceDN/>
        <w:bidi w:val="0"/>
        <w:adjustRightInd/>
        <w:snapToGrid/>
        <w:spacing w:before="0" w:beforeAutospacing="0" w:after="0" w:afterAutospacing="0"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（二）贯彻落实医疗保障筹资和待遇政策，完善动态调整和区域调剂平衡机制，统筹城乡医疗保障待遇标准，建立健全与筹资水平相适应的待遇调整机制。落实长期护理保险制度改革方案。</w:t>
      </w:r>
    </w:p>
    <w:p>
      <w:pPr>
        <w:pStyle w:val="7"/>
        <w:keepNext w:val="0"/>
        <w:keepLines w:val="0"/>
        <w:pageBreakBefore w:val="0"/>
        <w:widowControl w:val="0"/>
        <w:kinsoku/>
        <w:wordWrap/>
        <w:topLinePunct w:val="0"/>
        <w:autoSpaceDE/>
        <w:autoSpaceDN/>
        <w:bidi w:val="0"/>
        <w:adjustRightInd/>
        <w:snapToGrid/>
        <w:spacing w:before="0" w:beforeAutospacing="0" w:after="0" w:afterAutospacing="0"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（三）贯彻落实医疗保障基金监督管理办法，监督管理相关医疗保障基金，建立健全医疗保障基金安全防控机制，协助推进医疗保障基金支付方式改革。</w:t>
      </w:r>
    </w:p>
    <w:p>
      <w:pPr>
        <w:pStyle w:val="7"/>
        <w:keepNext w:val="0"/>
        <w:keepLines w:val="0"/>
        <w:pageBreakBefore w:val="0"/>
        <w:widowControl w:val="0"/>
        <w:kinsoku/>
        <w:wordWrap/>
        <w:topLinePunct w:val="0"/>
        <w:autoSpaceDE/>
        <w:autoSpaceDN/>
        <w:bidi w:val="0"/>
        <w:adjustRightInd/>
        <w:snapToGrid/>
        <w:spacing w:before="0" w:beforeAutospacing="0" w:after="0" w:afterAutospacing="0"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（四）组织实施城乡统一的药品、医用耗材、医疗服务项目、医疗服务设施等医保目录和支付标准，协助建立动态调整机制，承担医保目录准入相关工作。</w:t>
      </w:r>
    </w:p>
    <w:p>
      <w:pPr>
        <w:pStyle w:val="7"/>
        <w:keepNext w:val="0"/>
        <w:keepLines w:val="0"/>
        <w:pageBreakBefore w:val="0"/>
        <w:widowControl w:val="0"/>
        <w:kinsoku/>
        <w:wordWrap/>
        <w:topLinePunct w:val="0"/>
        <w:autoSpaceDE/>
        <w:autoSpaceDN/>
        <w:bidi w:val="0"/>
        <w:adjustRightInd/>
        <w:snapToGrid/>
        <w:spacing w:before="0" w:beforeAutospacing="0" w:after="0" w:afterAutospacing="0"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组织实施药品、医用耗材价格和医疗服务项目、医疗服务设施收费等政策，协助建立医保支付医药服务价格合理确定和动态调整机制，协助建立市场主导的社会医药服务价格形成机制，协助做好价格信息监测工作。</w:t>
      </w:r>
    </w:p>
    <w:p>
      <w:pPr>
        <w:pStyle w:val="7"/>
        <w:keepNext w:val="0"/>
        <w:keepLines w:val="0"/>
        <w:pageBreakBefore w:val="0"/>
        <w:widowControl w:val="0"/>
        <w:kinsoku/>
        <w:wordWrap/>
        <w:topLinePunct w:val="0"/>
        <w:autoSpaceDE/>
        <w:autoSpaceDN/>
        <w:bidi w:val="0"/>
        <w:adjustRightInd/>
        <w:snapToGrid/>
        <w:spacing w:before="0" w:beforeAutospacing="0" w:after="0" w:afterAutospacing="0"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（六）监督指导定点医疗机构实施省市药品、医用耗材的招标采购政策。</w:t>
      </w:r>
    </w:p>
    <w:p>
      <w:pPr>
        <w:pStyle w:val="7"/>
        <w:keepNext w:val="0"/>
        <w:keepLines w:val="0"/>
        <w:pageBreakBefore w:val="0"/>
        <w:widowControl w:val="0"/>
        <w:kinsoku/>
        <w:wordWrap/>
        <w:topLinePunct w:val="0"/>
        <w:autoSpaceDE/>
        <w:autoSpaceDN/>
        <w:bidi w:val="0"/>
        <w:adjustRightInd/>
        <w:snapToGrid/>
        <w:spacing w:before="0" w:beforeAutospacing="0" w:after="0" w:afterAutospacing="0"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（七）落实定点医药机构协议和支付管理办法，建立健全医疗保障信用评价体系和信息披露制度，监督管理纳入医保范围内的医疗服务行为和医疗费用，依法查处医疗保障领域违法违规行为。</w:t>
      </w:r>
    </w:p>
    <w:p>
      <w:pPr>
        <w:pStyle w:val="7"/>
        <w:keepNext w:val="0"/>
        <w:keepLines w:val="0"/>
        <w:pageBreakBefore w:val="0"/>
        <w:widowControl w:val="0"/>
        <w:kinsoku/>
        <w:wordWrap/>
        <w:topLinePunct w:val="0"/>
        <w:autoSpaceDE/>
        <w:autoSpaceDN/>
        <w:bidi w:val="0"/>
        <w:adjustRightInd/>
        <w:snapToGrid/>
        <w:spacing w:before="0" w:beforeAutospacing="0" w:after="0" w:afterAutospacing="0"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（八）负责医疗保障经办管理、公共服务体系和信息化建设。指导和监督全区医疗保险、生育保险、医疗救助等医疗保障经办业务工作。落实和完善异地就医管理和费用结算政策。</w:t>
      </w:r>
    </w:p>
    <w:p>
      <w:pPr>
        <w:pStyle w:val="7"/>
        <w:keepNext w:val="0"/>
        <w:keepLines w:val="0"/>
        <w:pageBreakBefore w:val="0"/>
        <w:widowControl w:val="0"/>
        <w:kinsoku/>
        <w:wordWrap/>
        <w:topLinePunct w:val="0"/>
        <w:autoSpaceDE/>
        <w:autoSpaceDN/>
        <w:bidi w:val="0"/>
        <w:adjustRightInd/>
        <w:snapToGrid/>
        <w:spacing w:before="0" w:beforeAutospacing="0" w:after="0" w:afterAutospacing="0"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（九）完成区委、区政府交办的其他任务。</w:t>
      </w:r>
    </w:p>
    <w:p>
      <w:pPr>
        <w:keepNext w:val="0"/>
        <w:keepLines w:val="0"/>
        <w:pageBreakBefore w:val="0"/>
        <w:widowControl/>
        <w:kinsoku/>
        <w:wordWrap/>
        <w:topLinePunct w:val="0"/>
        <w:autoSpaceDE/>
        <w:autoSpaceDN/>
        <w:bidi w:val="0"/>
        <w:adjustRightInd/>
        <w:snapToGrid/>
        <w:spacing w:line="500" w:lineRule="exact"/>
        <w:ind w:firstLine="640" w:firstLineChars="200"/>
        <w:textAlignment w:val="auto"/>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pStyle w:val="7"/>
        <w:keepNext w:val="0"/>
        <w:keepLines w:val="0"/>
        <w:pageBreakBefore w:val="0"/>
        <w:widowControl w:val="0"/>
        <w:kinsoku/>
        <w:wordWrap/>
        <w:topLinePunct w:val="0"/>
        <w:autoSpaceDE/>
        <w:autoSpaceDN/>
        <w:bidi w:val="0"/>
        <w:adjustRightInd/>
        <w:snapToGrid/>
        <w:spacing w:before="0" w:beforeAutospacing="0" w:after="0" w:afterAutospacing="0"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rPr>
        <w:t>（一）内设机构设置。</w:t>
      </w:r>
      <w:r>
        <w:rPr>
          <w:rFonts w:hint="eastAsia" w:ascii="仿宋_GB2312" w:hAnsi="仿宋_GB2312" w:eastAsia="仿宋_GB2312" w:cs="仿宋_GB2312"/>
          <w:sz w:val="32"/>
          <w:szCs w:val="32"/>
          <w:lang w:eastAsia="zh-CN"/>
        </w:rPr>
        <w:t>株洲市石峰区医疗保障局（以下简称石峰区医保局）包括局机关及副科级内设二级机构区医疗保障事务中心。</w:t>
      </w:r>
    </w:p>
    <w:p>
      <w:pPr>
        <w:keepNext w:val="0"/>
        <w:keepLines w:val="0"/>
        <w:pageBreakBefore w:val="0"/>
        <w:kinsoku/>
        <w:wordWrap/>
        <w:overflowPunct w:val="0"/>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Cs/>
          <w:sz w:val="32"/>
          <w:szCs w:val="32"/>
        </w:rPr>
        <w:t>（二）决算单位构成。</w:t>
      </w:r>
      <w:r>
        <w:rPr>
          <w:rFonts w:hint="eastAsia" w:ascii="仿宋_GB2312" w:hAnsi="仿宋_GB2312" w:eastAsia="仿宋_GB2312" w:cs="仿宋_GB2312"/>
          <w:sz w:val="32"/>
          <w:szCs w:val="32"/>
          <w:lang w:eastAsia="zh-CN"/>
        </w:rPr>
        <w:t>从决算单位构成看，石峰区医保局</w:t>
      </w:r>
      <w:r>
        <w:rPr>
          <w:rFonts w:hint="eastAsia" w:ascii="仿宋_GB2312" w:hAnsi="仿宋_GB2312" w:eastAsia="仿宋_GB2312" w:cs="仿宋_GB2312"/>
          <w:sz w:val="32"/>
          <w:szCs w:val="32"/>
          <w:highlight w:val="none"/>
          <w:lang w:val="en-US" w:eastAsia="zh-CN"/>
        </w:rPr>
        <w:t>2023</w:t>
      </w:r>
      <w:r>
        <w:rPr>
          <w:rFonts w:hint="eastAsia" w:ascii="仿宋_GB2312" w:hAnsi="仿宋_GB2312" w:eastAsia="仿宋_GB2312" w:cs="仿宋_GB2312"/>
          <w:sz w:val="32"/>
          <w:szCs w:val="32"/>
          <w:lang w:eastAsia="zh-CN"/>
        </w:rPr>
        <w:t>年部门决算汇总公开单位构成包括：石峰区医保局本级及无独立预决算的二级机构。</w:t>
      </w:r>
    </w:p>
    <w:p>
      <w:pPr>
        <w:pStyle w:val="16"/>
        <w:jc w:val="both"/>
        <w:rPr>
          <w:rFonts w:hint="eastAsia" w:ascii="仿宋_GB2312" w:hAnsi="仿宋_GB2312" w:eastAsia="仿宋_GB2312" w:cs="仿宋_GB2312"/>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pPr>
        <w:pStyle w:val="16"/>
        <w:jc w:val="center"/>
        <w:rPr>
          <w:rFonts w:ascii="Times New Roman" w:hAnsi="Times New Roman" w:eastAsia="方正小标宋简体" w:cs="Times New Roman"/>
          <w:sz w:val="76"/>
          <w:szCs w:val="76"/>
        </w:rPr>
      </w:pPr>
    </w:p>
    <w:p>
      <w:pPr>
        <w:pStyle w:val="16"/>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pPr>
        <w:rPr>
          <w:rFonts w:ascii="Times New Roman" w:hAnsi="Times New Roman" w:eastAsia="仿宋_GB2312" w:cs="Times New Roman"/>
          <w:sz w:val="72"/>
          <w:szCs w:val="72"/>
        </w:rPr>
      </w:pPr>
    </w:p>
    <w:p>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pPr>
        <w:pStyle w:val="16"/>
        <w:jc w:val="center"/>
        <w:rPr>
          <w:rFonts w:ascii="Times New Roman" w:hAnsi="Times New Roman" w:eastAsia="方正小标宋简体" w:cs="Times New Roman"/>
          <w:sz w:val="76"/>
          <w:szCs w:val="76"/>
        </w:rPr>
      </w:pPr>
    </w:p>
    <w:p>
      <w:pPr>
        <w:pStyle w:val="16"/>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pPr>
        <w:pStyle w:val="16"/>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一、收入支出决算总体情况说明</w:t>
      </w:r>
    </w:p>
    <w:p>
      <w:pPr>
        <w:pStyle w:val="16"/>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年度收、支总计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535.36</w:t>
      </w:r>
      <w:r>
        <w:rPr>
          <w:rFonts w:hint="eastAsia" w:ascii="仿宋_GB2312" w:hAnsi="仿宋_GB2312" w:eastAsia="仿宋_GB2312" w:cs="仿宋_GB2312"/>
          <w:color w:val="000000" w:themeColor="text1"/>
          <w:sz w:val="32"/>
          <w:szCs w:val="32"/>
          <w14:textFill>
            <w14:solidFill>
              <w14:schemeClr w14:val="tx1"/>
            </w14:solidFill>
          </w14:textFill>
        </w:rPr>
        <w:t>万元。与上年相比，减少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405.75</w:t>
      </w:r>
      <w:r>
        <w:rPr>
          <w:rFonts w:hint="eastAsia" w:ascii="仿宋_GB2312" w:hAnsi="仿宋_GB2312" w:eastAsia="仿宋_GB2312" w:cs="仿宋_GB2312"/>
          <w:color w:val="000000" w:themeColor="text1"/>
          <w:sz w:val="32"/>
          <w:szCs w:val="32"/>
          <w14:textFill>
            <w14:solidFill>
              <w14:schemeClr w14:val="tx1"/>
            </w14:solidFill>
          </w14:textFill>
        </w:rPr>
        <w:t>万元，减少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43.11</w:t>
      </w:r>
      <w:r>
        <w:rPr>
          <w:rFonts w:hint="eastAsia" w:ascii="仿宋_GB2312" w:hAnsi="仿宋_GB2312" w:eastAsia="仿宋_GB2312" w:cs="仿宋_GB2312"/>
          <w:color w:val="000000" w:themeColor="text1"/>
          <w:sz w:val="32"/>
          <w:szCs w:val="32"/>
          <w14:textFill>
            <w14:solidFill>
              <w14:schemeClr w14:val="tx1"/>
            </w14:solidFill>
          </w14:textFill>
        </w:rPr>
        <w:t>%，主要是因为</w:t>
      </w:r>
      <w:r>
        <w:rPr>
          <w:rFonts w:hint="eastAsia" w:ascii="仿宋_GB2312" w:hAnsi="仿宋_GB2312" w:eastAsia="仿宋_GB2312" w:cs="仿宋_GB2312"/>
          <w:color w:val="000000" w:themeColor="text1"/>
          <w:sz w:val="32"/>
          <w:szCs w:val="32"/>
          <w:lang w:eastAsia="zh-CN"/>
          <w14:textFill>
            <w14:solidFill>
              <w14:schemeClr w14:val="tx1"/>
            </w14:solidFill>
          </w14:textFill>
        </w:rPr>
        <w:t>城乡居民基本医疗保险区级财政补助未计入本单位决算项目支出</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16"/>
        <w:numPr>
          <w:ilvl w:val="0"/>
          <w:numId w:val="1"/>
        </w:numPr>
        <w:spacing w:line="570" w:lineRule="exact"/>
        <w:ind w:firstLine="640" w:firstLineChars="200"/>
        <w:jc w:val="both"/>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收入决算情况说明</w:t>
      </w:r>
    </w:p>
    <w:p>
      <w:pPr>
        <w:pStyle w:val="16"/>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年度收入合计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535.36</w:t>
      </w:r>
      <w:r>
        <w:rPr>
          <w:rFonts w:hint="eastAsia" w:ascii="仿宋_GB2312" w:hAnsi="仿宋_GB2312" w:eastAsia="仿宋_GB2312" w:cs="仿宋_GB2312"/>
          <w:color w:val="000000" w:themeColor="text1"/>
          <w:sz w:val="32"/>
          <w:szCs w:val="32"/>
          <w14:textFill>
            <w14:solidFill>
              <w14:schemeClr w14:val="tx1"/>
            </w14:solidFill>
          </w14:textFill>
        </w:rPr>
        <w:t>万元，其中：财政拨款收入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525.56</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98.2</w:t>
      </w:r>
      <w:r>
        <w:rPr>
          <w:rFonts w:hint="eastAsia" w:ascii="仿宋_GB2312" w:hAnsi="仿宋_GB2312" w:eastAsia="仿宋_GB2312" w:cs="仿宋_GB2312"/>
          <w:color w:val="000000" w:themeColor="text1"/>
          <w:sz w:val="32"/>
          <w:szCs w:val="32"/>
          <w14:textFill>
            <w14:solidFill>
              <w14:schemeClr w14:val="tx1"/>
            </w14:solidFill>
          </w14:textFill>
        </w:rPr>
        <w:t>%；其他收入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9.8</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16"/>
        <w:numPr>
          <w:ilvl w:val="0"/>
          <w:numId w:val="1"/>
        </w:numPr>
        <w:spacing w:line="570" w:lineRule="exact"/>
        <w:ind w:left="0" w:leftChars="0" w:firstLine="640" w:firstLineChars="200"/>
        <w:jc w:val="both"/>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支出决算情况说明</w:t>
      </w:r>
    </w:p>
    <w:p>
      <w:pPr>
        <w:pStyle w:val="16"/>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年度支出合计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535.36</w:t>
      </w:r>
      <w:r>
        <w:rPr>
          <w:rFonts w:hint="eastAsia" w:ascii="仿宋_GB2312" w:hAnsi="仿宋_GB2312" w:eastAsia="仿宋_GB2312" w:cs="仿宋_GB2312"/>
          <w:color w:val="000000" w:themeColor="text1"/>
          <w:sz w:val="32"/>
          <w:szCs w:val="32"/>
          <w14:textFill>
            <w14:solidFill>
              <w14:schemeClr w14:val="tx1"/>
            </w14:solidFill>
          </w14:textFill>
        </w:rPr>
        <w:t>万元，其中：基本支出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135.06</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25.23</w:t>
      </w:r>
      <w:r>
        <w:rPr>
          <w:rFonts w:hint="eastAsia" w:ascii="仿宋_GB2312" w:hAnsi="仿宋_GB2312" w:eastAsia="仿宋_GB2312" w:cs="仿宋_GB2312"/>
          <w:color w:val="000000" w:themeColor="text1"/>
          <w:sz w:val="32"/>
          <w:szCs w:val="32"/>
          <w14:textFill>
            <w14:solidFill>
              <w14:schemeClr w14:val="tx1"/>
            </w14:solidFill>
          </w14:textFill>
        </w:rPr>
        <w:t>%；项目支出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400.3</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74.77</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16"/>
        <w:numPr>
          <w:ilvl w:val="0"/>
          <w:numId w:val="1"/>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财政拨款收入支出决算总体情况说明</w:t>
      </w:r>
    </w:p>
    <w:p>
      <w:pPr>
        <w:pStyle w:val="16"/>
        <w:rPr>
          <w:rFonts w:hint="eastAsia" w:ascii="仿宋_GB2312" w:hAnsi="仿宋_GB2312" w:eastAsia="仿宋_GB2312" w:cs="仿宋_GB2312"/>
          <w:color w:val="auto"/>
          <w:sz w:val="32"/>
          <w:szCs w:val="32"/>
          <w:lang w:val="en-US" w:eastAsia="zh-CN"/>
        </w:rPr>
      </w:pPr>
      <w:r>
        <w:rPr>
          <w:rFonts w:hint="eastAsia" w:ascii="Times New Roman" w:hAnsi="Times New Roman" w:cs="Times New Roman"/>
          <w:color w:val="000000"/>
          <w:kern w:val="0"/>
          <w:sz w:val="32"/>
          <w:szCs w:val="32"/>
          <w:lang w:val="en-US" w:eastAsia="zh-CN"/>
        </w:rPr>
        <w:t xml:space="preserve">  </w:t>
      </w:r>
      <w:r>
        <w:rPr>
          <w:rFonts w:hint="eastAsia" w:ascii="Times New Roman" w:hAnsi="Times New Roman" w:cs="Times New Roman"/>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年度财政拨款收、支总计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525.56</w:t>
      </w:r>
      <w:r>
        <w:rPr>
          <w:rFonts w:hint="eastAsia" w:ascii="仿宋_GB2312" w:hAnsi="仿宋_GB2312" w:eastAsia="仿宋_GB2312" w:cs="仿宋_GB2312"/>
          <w:color w:val="000000" w:themeColor="text1"/>
          <w:sz w:val="32"/>
          <w:szCs w:val="32"/>
          <w14:textFill>
            <w14:solidFill>
              <w14:schemeClr w14:val="tx1"/>
            </w14:solidFill>
          </w14:textFill>
        </w:rPr>
        <w:t>万元，与上年相比，</w:t>
      </w:r>
      <w:r>
        <w:rPr>
          <w:rFonts w:hint="eastAsia" w:ascii="仿宋_GB2312" w:hAnsi="仿宋_GB2312" w:eastAsia="仿宋_GB2312" w:cs="仿宋_GB2312"/>
          <w:color w:val="000000" w:themeColor="text1"/>
          <w:sz w:val="32"/>
          <w:szCs w:val="32"/>
          <w:lang w:eastAsia="zh-CN"/>
          <w14:textFill>
            <w14:solidFill>
              <w14:schemeClr w14:val="tx1"/>
            </w14:solidFill>
          </w14:textFill>
        </w:rPr>
        <w:t>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392.97</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42.78</w:t>
      </w:r>
      <w:r>
        <w:rPr>
          <w:rFonts w:hint="eastAsia" w:ascii="仿宋_GB2312" w:hAnsi="仿宋_GB2312" w:eastAsia="仿宋_GB2312" w:cs="仿宋_GB2312"/>
          <w:color w:val="000000" w:themeColor="text1"/>
          <w:sz w:val="32"/>
          <w:szCs w:val="32"/>
          <w14:textFill>
            <w14:solidFill>
              <w14:schemeClr w14:val="tx1"/>
            </w14:solidFill>
          </w14:textFill>
        </w:rPr>
        <w:t>%，主要是因为城乡居民基本医疗保险区级财政补助未计入本单位决算项目支出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16"/>
        <w:numPr>
          <w:ilvl w:val="0"/>
          <w:numId w:val="0"/>
        </w:numPr>
        <w:spacing w:line="570" w:lineRule="exact"/>
        <w:ind w:firstLine="640" w:firstLineChars="200"/>
        <w:jc w:val="both"/>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pPr>
        <w:pStyle w:val="16"/>
        <w:ind w:firstLine="800" w:firstLineChars="250"/>
        <w:rPr>
          <w:rFonts w:asciiTheme="minorEastAsia" w:hAnsiTheme="minorEastAsia" w:eastAsiaTheme="minorEastAsia"/>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年度财政拨款支出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525.56</w:t>
      </w:r>
      <w:r>
        <w:rPr>
          <w:rFonts w:hint="eastAsia" w:ascii="仿宋_GB2312" w:hAnsi="仿宋_GB2312" w:eastAsia="仿宋_GB2312" w:cs="仿宋_GB2312"/>
          <w:color w:val="000000" w:themeColor="text1"/>
          <w:sz w:val="32"/>
          <w:szCs w:val="32"/>
          <w14:textFill>
            <w14:solidFill>
              <w14:schemeClr w14:val="tx1"/>
            </w14:solidFill>
          </w14:textFill>
        </w:rPr>
        <w:t>万元，占本年支出合计的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98.2</w:t>
      </w:r>
      <w:r>
        <w:rPr>
          <w:rFonts w:hint="eastAsia" w:ascii="仿宋_GB2312" w:hAnsi="仿宋_GB2312" w:eastAsia="仿宋_GB2312" w:cs="仿宋_GB2312"/>
          <w:color w:val="000000" w:themeColor="text1"/>
          <w:sz w:val="32"/>
          <w:szCs w:val="32"/>
          <w14:textFill>
            <w14:solidFill>
              <w14:schemeClr w14:val="tx1"/>
            </w14:solidFill>
          </w14:textFill>
        </w:rPr>
        <w:t>%，与上年相比，财政拨款支出</w:t>
      </w:r>
      <w:r>
        <w:rPr>
          <w:rFonts w:hint="eastAsia" w:ascii="仿宋_GB2312" w:hAnsi="仿宋_GB2312" w:eastAsia="仿宋_GB2312" w:cs="仿宋_GB2312"/>
          <w:color w:val="000000" w:themeColor="text1"/>
          <w:sz w:val="32"/>
          <w:szCs w:val="32"/>
          <w:lang w:eastAsia="zh-CN"/>
          <w14:textFill>
            <w14:solidFill>
              <w14:schemeClr w14:val="tx1"/>
            </w14:solidFill>
          </w14:textFill>
        </w:rPr>
        <w:t>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392.97</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42.78</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主要是</w:t>
      </w:r>
      <w:r>
        <w:rPr>
          <w:rFonts w:hint="eastAsia" w:ascii="仿宋_GB2312" w:hAnsi="仿宋_GB2312" w:eastAsia="仿宋_GB2312" w:cs="仿宋_GB2312"/>
          <w:color w:val="000000" w:themeColor="text1"/>
          <w:sz w:val="32"/>
          <w:szCs w:val="32"/>
          <w14:textFill>
            <w14:solidFill>
              <w14:schemeClr w14:val="tx1"/>
            </w14:solidFill>
          </w14:textFill>
        </w:rPr>
        <w:t>因为城乡居民基本医疗保险区级财政补助未计入本单位决算项目支出。</w:t>
      </w:r>
    </w:p>
    <w:p>
      <w:pPr>
        <w:pStyle w:val="7"/>
        <w:numPr>
          <w:ilvl w:val="0"/>
          <w:numId w:val="2"/>
        </w:numPr>
        <w:autoSpaceDE w:val="0"/>
        <w:autoSpaceDN w:val="0"/>
        <w:adjustRightInd w:val="0"/>
        <w:spacing w:line="570" w:lineRule="exact"/>
        <w:ind w:firstLine="640" w:firstLineChars="200"/>
        <w:rPr>
          <w:rFonts w:hint="eastAsia" w:ascii="仿宋_GB2312" w:hAnsi="仿宋_GB2312" w:eastAsia="仿宋_GB2312" w:cs="仿宋_GB2312"/>
          <w:b/>
          <w:bCs w:val="0"/>
          <w:sz w:val="32"/>
          <w:szCs w:val="32"/>
        </w:rPr>
      </w:pPr>
      <w:r>
        <w:rPr>
          <w:rFonts w:ascii="Times New Roman" w:hAnsi="Times New Roman" w:eastAsia="楷体_GB2312" w:cs="Times New Roman"/>
          <w:b/>
          <w:bCs w:val="0"/>
          <w:color w:val="000000"/>
          <w:kern w:val="0"/>
          <w:sz w:val="32"/>
          <w:szCs w:val="32"/>
        </w:rPr>
        <w:t>财政拨款支出决算结构情况</w:t>
      </w:r>
    </w:p>
    <w:p>
      <w:pPr>
        <w:pStyle w:val="7"/>
        <w:numPr>
          <w:ilvl w:val="0"/>
          <w:numId w:val="0"/>
        </w:numPr>
        <w:autoSpaceDE w:val="0"/>
        <w:autoSpaceDN w:val="0"/>
        <w:adjustRightInd w:val="0"/>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525.56</w:t>
      </w:r>
      <w:r>
        <w:rPr>
          <w:rFonts w:hint="eastAsia" w:ascii="仿宋_GB2312" w:hAnsi="仿宋_GB2312" w:eastAsia="仿宋_GB2312" w:cs="仿宋_GB2312"/>
          <w:sz w:val="32"/>
          <w:szCs w:val="32"/>
        </w:rPr>
        <w:t>万元，主要用于卫生健康（类）支出</w:t>
      </w:r>
      <w:r>
        <w:rPr>
          <w:rFonts w:hint="eastAsia" w:ascii="仿宋_GB2312" w:hAnsi="仿宋_GB2312" w:eastAsia="仿宋_GB2312" w:cs="仿宋_GB2312"/>
          <w:sz w:val="32"/>
          <w:szCs w:val="32"/>
          <w:lang w:val="en-US" w:eastAsia="zh-CN"/>
        </w:rPr>
        <w:t>525.56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pStyle w:val="7"/>
        <w:numPr>
          <w:ilvl w:val="0"/>
          <w:numId w:val="2"/>
        </w:numPr>
        <w:autoSpaceDE w:val="0"/>
        <w:autoSpaceDN w:val="0"/>
        <w:adjustRightInd w:val="0"/>
        <w:spacing w:line="570" w:lineRule="exact"/>
        <w:ind w:left="0" w:leftChars="0"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财政拨款支出决算具体情况</w:t>
      </w:r>
    </w:p>
    <w:p>
      <w:pPr>
        <w:pStyle w:val="16"/>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525.56</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525.56</w:t>
      </w:r>
      <w:r>
        <w:rPr>
          <w:rFonts w:hint="eastAsia" w:ascii="仿宋_GB2312" w:hAnsi="仿宋_GB2312" w:eastAsia="仿宋_GB2312" w:cs="仿宋_GB2312"/>
          <w:sz w:val="32"/>
          <w:szCs w:val="32"/>
        </w:rPr>
        <w:t>万元，完成年初预算的100%，其中：</w:t>
      </w:r>
    </w:p>
    <w:p>
      <w:pPr>
        <w:pStyle w:val="16"/>
        <w:ind w:firstLine="800" w:firstLineChars="250"/>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、卫生健康（类）医疗保障管理事务（款）</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行政运行（项）</w:t>
      </w:r>
    </w:p>
    <w:p>
      <w:pPr>
        <w:pStyle w:val="16"/>
        <w:ind w:firstLine="800" w:firstLineChars="25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年初预算为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125.27</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万元，支出决算为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125.27</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万元，完成年初预算的100%。</w:t>
      </w:r>
    </w:p>
    <w:p>
      <w:pPr>
        <w:pStyle w:val="16"/>
        <w:ind w:firstLine="800" w:firstLineChars="250"/>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2、卫生健康（类）医疗保障管理事务（款）一般行政管理事务（项）</w:t>
      </w:r>
    </w:p>
    <w:p>
      <w:pPr>
        <w:pStyle w:val="16"/>
        <w:ind w:firstLine="800" w:firstLineChars="25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年初预算为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8.24</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万元，支出决算为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8.24</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万元，完成年初预算的100%。</w:t>
      </w:r>
    </w:p>
    <w:p>
      <w:pPr>
        <w:pStyle w:val="16"/>
        <w:ind w:firstLine="800" w:firstLineChars="250"/>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3、卫生健康（类）医疗保障管理事务（款）医疗保障政策管理（项）</w:t>
      </w:r>
    </w:p>
    <w:p>
      <w:pPr>
        <w:pStyle w:val="16"/>
        <w:ind w:firstLine="800" w:firstLineChars="25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年初预算为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万元，支出决算为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万元，完成年初预算的100%。</w:t>
      </w:r>
    </w:p>
    <w:p>
      <w:pPr>
        <w:pStyle w:val="16"/>
        <w:ind w:firstLine="800" w:firstLineChars="250"/>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4、卫生健康（类）医疗保障管理事务（款）医疗保障经办事务（项）</w:t>
      </w:r>
    </w:p>
    <w:p>
      <w:pPr>
        <w:pStyle w:val="16"/>
        <w:ind w:firstLine="800" w:firstLineChars="25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年初预算为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3.59</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万元，支出决算为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3.59</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万元，完成年初预算的100%。</w:t>
      </w:r>
    </w:p>
    <w:p>
      <w:pPr>
        <w:pStyle w:val="16"/>
        <w:ind w:firstLine="800" w:firstLineChars="250"/>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5.卫生健康（类）医疗保障管理事务（款）其他医疗保障管理事务支出（项）</w:t>
      </w:r>
    </w:p>
    <w:p>
      <w:pPr>
        <w:pStyle w:val="16"/>
        <w:ind w:firstLine="800" w:firstLineChars="25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年初预算为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8.37</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万元，支出决算为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8.37</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万元，完成年初预算的100%。</w:t>
      </w:r>
    </w:p>
    <w:p>
      <w:pPr>
        <w:pStyle w:val="16"/>
        <w:ind w:firstLine="800" w:firstLineChars="250"/>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6、卫生健康（类）医疗救助（款）其他医疗救助支出（项）</w:t>
      </w:r>
    </w:p>
    <w:p>
      <w:pPr>
        <w:pStyle w:val="16"/>
        <w:ind w:firstLine="800" w:firstLineChars="25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年初预算为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310.09</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万元，支出决算为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310.09</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万元，完成年初预算的100%。</w:t>
      </w:r>
    </w:p>
    <w:p>
      <w:pPr>
        <w:pStyle w:val="16"/>
        <w:ind w:firstLine="800" w:firstLineChars="250"/>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7、卫生健康（类）医疗救助（款）城乡医疗救助（项）</w:t>
      </w:r>
    </w:p>
    <w:p>
      <w:pPr>
        <w:pStyle w:val="16"/>
        <w:ind w:firstLine="800" w:firstLineChars="25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年初预算为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万元，支出决算为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万元，完成年初预算的100%。</w:t>
      </w:r>
    </w:p>
    <w:p>
      <w:pPr>
        <w:pStyle w:val="16"/>
        <w:ind w:firstLine="800" w:firstLineChars="250"/>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eastAsia="zh-CN"/>
        </w:rPr>
        <w:t>六、</w:t>
      </w:r>
      <w:r>
        <w:rPr>
          <w:rFonts w:ascii="Times New Roman" w:hAnsi="Times New Roman" w:eastAsia="黑体" w:cs="Times New Roman"/>
          <w:color w:val="000000"/>
          <w:kern w:val="0"/>
          <w:sz w:val="32"/>
          <w:szCs w:val="32"/>
        </w:rPr>
        <w:t>一般公共预算财政拨款基本支出决算情况说明</w:t>
      </w:r>
    </w:p>
    <w:p>
      <w:pPr>
        <w:pStyle w:val="16"/>
        <w:ind w:firstLine="640" w:firstLineChars="200"/>
        <w:rPr>
          <w:rFonts w:hint="eastAsia" w:ascii="仿宋_GB2312" w:hAnsi="仿宋_GB2312" w:eastAsia="仿宋_GB2312" w:cs="仿宋_GB2312"/>
          <w:i/>
          <w:color w:val="C0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年度财政拨款基本支出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125.27</w:t>
      </w:r>
      <w:r>
        <w:rPr>
          <w:rFonts w:hint="eastAsia" w:ascii="仿宋_GB2312" w:hAnsi="仿宋_GB2312" w:eastAsia="仿宋_GB2312" w:cs="仿宋_GB2312"/>
          <w:color w:val="000000" w:themeColor="text1"/>
          <w:sz w:val="32"/>
          <w:szCs w:val="32"/>
          <w14:textFill>
            <w14:solidFill>
              <w14:schemeClr w14:val="tx1"/>
            </w14:solidFill>
          </w14:textFill>
        </w:rPr>
        <w:t>万元，其中：人员经费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105.6</w:t>
      </w:r>
      <w:r>
        <w:rPr>
          <w:rFonts w:hint="eastAsia" w:ascii="仿宋_GB2312" w:hAnsi="仿宋_GB2312" w:eastAsia="仿宋_GB2312" w:cs="仿宋_GB2312"/>
          <w:color w:val="000000" w:themeColor="text1"/>
          <w:sz w:val="32"/>
          <w:szCs w:val="32"/>
          <w14:textFill>
            <w14:solidFill>
              <w14:schemeClr w14:val="tx1"/>
            </w14:solidFill>
          </w14:textFill>
        </w:rPr>
        <w:t>万元，占基本支出的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84.3</w:t>
      </w:r>
      <w:r>
        <w:rPr>
          <w:rFonts w:hint="eastAsia" w:ascii="仿宋_GB2312" w:hAnsi="仿宋_GB2312" w:eastAsia="仿宋_GB2312" w:cs="仿宋_GB2312"/>
          <w:color w:val="000000" w:themeColor="text1"/>
          <w:sz w:val="32"/>
          <w:szCs w:val="32"/>
          <w14:textFill>
            <w14:solidFill>
              <w14:schemeClr w14:val="tx1"/>
            </w14:solidFill>
          </w14:textFill>
        </w:rPr>
        <w:t>%,主要包括基本工资、津贴补贴、奖金、伙食补助费等；公用经费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19.67</w:t>
      </w:r>
      <w:r>
        <w:rPr>
          <w:rFonts w:hint="eastAsia" w:ascii="仿宋_GB2312" w:hAnsi="仿宋_GB2312" w:eastAsia="仿宋_GB2312" w:cs="仿宋_GB2312"/>
          <w:color w:val="000000" w:themeColor="text1"/>
          <w:sz w:val="32"/>
          <w:szCs w:val="32"/>
          <w14:textFill>
            <w14:solidFill>
              <w14:schemeClr w14:val="tx1"/>
            </w14:solidFill>
          </w14:textFill>
        </w:rPr>
        <w:t>万元，占基本支出的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15.7</w:t>
      </w:r>
      <w:r>
        <w:rPr>
          <w:rFonts w:hint="eastAsia" w:ascii="仿宋_GB2312" w:hAnsi="仿宋_GB2312" w:eastAsia="仿宋_GB2312" w:cs="仿宋_GB2312"/>
          <w:color w:val="000000" w:themeColor="text1"/>
          <w:sz w:val="32"/>
          <w:szCs w:val="32"/>
          <w14:textFill>
            <w14:solidFill>
              <w14:schemeClr w14:val="tx1"/>
            </w14:solidFill>
          </w14:textFill>
        </w:rPr>
        <w:t>%，主要包括办公费、印刷费、工会经费等其他商品服务。</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pPr>
        <w:pStyle w:val="16"/>
        <w:ind w:firstLine="800" w:firstLineChars="2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2023年度“三公”经费财政拨款支出预算为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万元，决算数等于预算数,其中：</w:t>
      </w:r>
    </w:p>
    <w:p>
      <w:pPr>
        <w:pStyle w:val="16"/>
        <w:ind w:firstLine="800" w:firstLineChars="2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因公出国（境）费支出预算为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万元，决算数等于预算数。</w:t>
      </w:r>
    </w:p>
    <w:p>
      <w:pPr>
        <w:pStyle w:val="16"/>
        <w:ind w:firstLine="800" w:firstLineChars="25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公务接待费支出预算为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万元，决算数等于预算数</w:t>
      </w:r>
      <w:r>
        <w:rPr>
          <w:rFonts w:hint="eastAsia" w:ascii="仿宋_GB2312" w:hAnsi="仿宋_GB2312" w:eastAsia="仿宋_GB2312" w:cs="仿宋_GB2312"/>
          <w:sz w:val="32"/>
          <w:szCs w:val="32"/>
          <w:highlight w:val="none"/>
          <w:lang w:eastAsia="zh-CN"/>
        </w:rPr>
        <w:t>。</w:t>
      </w:r>
    </w:p>
    <w:p>
      <w:pPr>
        <w:pStyle w:val="16"/>
        <w:ind w:firstLine="800" w:firstLineChars="25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公务用车购置费支出预算为0万元，支出决算为0万元，决算数等于预算数</w:t>
      </w:r>
      <w:r>
        <w:rPr>
          <w:rFonts w:hint="eastAsia" w:ascii="仿宋_GB2312" w:hAnsi="仿宋_GB2312" w:eastAsia="仿宋_GB2312" w:cs="仿宋_GB2312"/>
          <w:sz w:val="32"/>
          <w:szCs w:val="32"/>
          <w:highlight w:val="none"/>
          <w:lang w:eastAsia="zh-CN"/>
        </w:rPr>
        <w:t>。</w:t>
      </w:r>
    </w:p>
    <w:p>
      <w:pPr>
        <w:pStyle w:val="16"/>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公务用车运行维护费支出预算为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万元，决算数等于预算数</w:t>
      </w:r>
      <w:r>
        <w:rPr>
          <w:rFonts w:hint="eastAsia" w:ascii="仿宋_GB2312" w:hAnsi="仿宋_GB2312" w:eastAsia="仿宋_GB2312" w:cs="仿宋_GB2312"/>
          <w:sz w:val="32"/>
          <w:szCs w:val="32"/>
          <w:highlight w:val="none"/>
          <w:lang w:eastAsia="zh-CN"/>
        </w:rPr>
        <w:t>。</w:t>
      </w:r>
    </w:p>
    <w:p>
      <w:pPr>
        <w:pStyle w:val="16"/>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6"/>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2023年度“三公”经费财政拨款支出决算中，公务接待费支出决算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万元，公务用车购置费及运行维护费支出决算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w:t>
      </w:r>
    </w:p>
    <w:p>
      <w:pPr>
        <w:pStyle w:val="16"/>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1、因公出国（境）费支出决算为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个。    </w:t>
      </w:r>
    </w:p>
    <w:p>
      <w:pPr>
        <w:pStyle w:val="16"/>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p>
    <w:p>
      <w:pPr>
        <w:ind w:firstLine="800" w:firstLineChars="2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3、公务用车购置费及运行维护费支出决算为</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万元，其中：公务用车购置费</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万元，购置公务用车</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辆。公务用车运行维护费</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万元，截止2023年12月31日，我单位开支财政拨款的公务用车保有量为</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辆。</w:t>
      </w:r>
    </w:p>
    <w:p>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八、政府性基金预算收入支出决算情况</w:t>
      </w:r>
    </w:p>
    <w:p>
      <w:pPr>
        <w:pStyle w:val="16"/>
        <w:ind w:firstLine="640" w:firstLineChars="200"/>
        <w:rPr>
          <w:rFonts w:hint="eastAsia" w:ascii="仿宋_GB2312" w:hAnsi="仿宋_GB2312" w:eastAsia="仿宋_GB2312" w:cs="仿宋_GB2312"/>
          <w:i/>
          <w:color w:val="FF0000"/>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年度政府性基金预算财政拨款收入0万元；年初结转和结余0万元；支出0万元，其中基本支出0万元，项目支出0万元；年末结转和结余0万元。本单位无政府性基金收入支出。</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pPr>
        <w:pStyle w:val="7"/>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pPr>
        <w:pStyle w:val="7"/>
        <w:numPr>
          <w:ilvl w:val="0"/>
          <w:numId w:val="3"/>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机关运行经费支出说明</w:t>
      </w:r>
    </w:p>
    <w:p>
      <w:pPr>
        <w:pStyle w:val="16"/>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本部门202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年度机关运行经费支出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19.67</w:t>
      </w:r>
      <w:r>
        <w:rPr>
          <w:rFonts w:hint="eastAsia" w:ascii="仿宋_GB2312" w:hAnsi="仿宋_GB2312" w:eastAsia="仿宋_GB2312" w:cs="仿宋_GB2312"/>
          <w:color w:val="000000" w:themeColor="text1"/>
          <w:sz w:val="32"/>
          <w:szCs w:val="32"/>
          <w14:textFill>
            <w14:solidFill>
              <w14:schemeClr w14:val="tx1"/>
            </w14:solidFill>
          </w14:textFill>
        </w:rPr>
        <w:t>万元，比上年决算数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27.88万元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8.21</w:t>
      </w:r>
      <w:r>
        <w:rPr>
          <w:rFonts w:hint="eastAsia" w:ascii="仿宋_GB2312" w:hAnsi="仿宋_GB2312" w:eastAsia="仿宋_GB2312" w:cs="仿宋_GB2312"/>
          <w:color w:val="000000" w:themeColor="text1"/>
          <w:sz w:val="32"/>
          <w:szCs w:val="32"/>
          <w14:textFill>
            <w14:solidFill>
              <w14:schemeClr w14:val="tx1"/>
            </w14:solidFill>
          </w14:textFill>
        </w:rPr>
        <w:t>万元。主要原因是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厉行节约。</w:t>
      </w:r>
    </w:p>
    <w:p>
      <w:pPr>
        <w:pStyle w:val="7"/>
        <w:numPr>
          <w:ilvl w:val="0"/>
          <w:numId w:val="3"/>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一般性支出情况说明</w:t>
      </w:r>
    </w:p>
    <w:p>
      <w:pPr>
        <w:pStyle w:val="16"/>
        <w:ind w:firstLine="640" w:firstLineChars="200"/>
        <w:rPr>
          <w:rFonts w:hint="default" w:asciiTheme="minorEastAsia" w:hAnsiTheme="minorEastAsia" w:eastAsiaTheme="minorEastAsia"/>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年本部门</w:t>
      </w:r>
      <w:r>
        <w:rPr>
          <w:rFonts w:hint="eastAsia" w:ascii="仿宋_GB2312" w:hAnsi="仿宋_GB2312" w:eastAsia="仿宋_GB2312" w:cs="仿宋_GB2312"/>
          <w:sz w:val="32"/>
          <w:szCs w:val="32"/>
          <w:lang w:eastAsia="zh-CN"/>
        </w:rPr>
        <w:t>一般性支出</w:t>
      </w:r>
      <w:r>
        <w:rPr>
          <w:rFonts w:hint="eastAsia" w:ascii="仿宋_GB2312" w:hAnsi="仿宋_GB2312" w:eastAsia="仿宋_GB2312" w:cs="仿宋_GB2312"/>
          <w:sz w:val="32"/>
          <w:szCs w:val="32"/>
          <w:lang w:val="en-US" w:eastAsia="zh-CN"/>
        </w:rPr>
        <w:t>0万元。</w:t>
      </w:r>
    </w:p>
    <w:p>
      <w:pPr>
        <w:pStyle w:val="7"/>
        <w:numPr>
          <w:ilvl w:val="0"/>
          <w:numId w:val="3"/>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政府采购支出说明</w:t>
      </w:r>
    </w:p>
    <w:p>
      <w:pPr>
        <w:pStyle w:val="16"/>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年度政府采购支出总额0万元，其中：政府采购货物支出0 万元、政府采购工程支出0万元、政府采购服务支出0万元，授予中小企业合同金额0万元。</w:t>
      </w:r>
    </w:p>
    <w:p>
      <w:pPr>
        <w:pStyle w:val="7"/>
        <w:numPr>
          <w:ilvl w:val="0"/>
          <w:numId w:val="3"/>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国有资产占用情况说明</w:t>
      </w:r>
    </w:p>
    <w:p>
      <w:pPr>
        <w:pStyle w:val="16"/>
        <w:ind w:firstLine="640" w:firstLineChars="200"/>
        <w:rPr>
          <w:rFonts w:hint="eastAsia" w:ascii="Times New Roman" w:hAnsi="Times New Roman" w:eastAsia="黑体" w:cs="Times New Roman"/>
          <w:color w:val="000000"/>
          <w:kern w:val="0"/>
          <w:sz w:val="32"/>
          <w:szCs w:val="32"/>
          <w:lang w:eastAsia="zh-CN"/>
        </w:rPr>
      </w:pP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部门（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7"/>
        <w:numPr>
          <w:ilvl w:val="0"/>
          <w:numId w:val="3"/>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重点项目预算的绩效评价结果等情况说明</w:t>
      </w:r>
    </w:p>
    <w:p>
      <w:pPr>
        <w:pStyle w:val="7"/>
        <w:numPr>
          <w:ilvl w:val="0"/>
          <w:numId w:val="4"/>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绩效管理评价工作开展情况。</w:t>
      </w:r>
    </w:p>
    <w:p>
      <w:pPr>
        <w:autoSpaceDE w:val="0"/>
        <w:autoSpaceDN w:val="0"/>
        <w:adjustRightInd w:val="0"/>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根据预算绩效管理要求，我部门组织对202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年度一般公共预算项目支出全面开展绩效自评，其中，一级项目0个，二级项目</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14:textFill>
            <w14:solidFill>
              <w14:schemeClr w14:val="tx1"/>
            </w14:solidFill>
          </w14:textFill>
        </w:rPr>
        <w:t>个，共涉及资金</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400.3</w:t>
      </w:r>
      <w:r>
        <w:rPr>
          <w:rFonts w:hint="eastAsia" w:ascii="仿宋_GB2312" w:hAnsi="仿宋_GB2312" w:eastAsia="仿宋_GB2312" w:cs="仿宋_GB2312"/>
          <w:color w:val="000000" w:themeColor="text1"/>
          <w:kern w:val="0"/>
          <w:sz w:val="32"/>
          <w:szCs w:val="32"/>
          <w14:textFill>
            <w14:solidFill>
              <w14:schemeClr w14:val="tx1"/>
            </w14:solidFill>
          </w14:textFill>
        </w:rPr>
        <w:t>万元，占一般公共预算项目支出总额的100%。</w:t>
      </w:r>
    </w:p>
    <w:p>
      <w:pPr>
        <w:autoSpaceDE w:val="0"/>
        <w:autoSpaceDN w:val="0"/>
        <w:adjustRightInd w:val="0"/>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组织对“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医疗救助</w:t>
      </w:r>
      <w:r>
        <w:rPr>
          <w:rFonts w:hint="eastAsia" w:ascii="仿宋_GB2312" w:hAnsi="仿宋_GB2312" w:eastAsia="仿宋_GB2312" w:cs="仿宋_GB2312"/>
          <w:color w:val="000000" w:themeColor="text1"/>
          <w:kern w:val="0"/>
          <w:sz w:val="32"/>
          <w:szCs w:val="32"/>
          <w14:textFill>
            <w14:solidFill>
              <w14:schemeClr w14:val="tx1"/>
            </w14:solidFill>
          </w14:textFill>
        </w:rPr>
        <w:t>”等</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个项目开展了部门评价，涉及一般公共预算支出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400.3</w:t>
      </w:r>
      <w:r>
        <w:rPr>
          <w:rFonts w:hint="eastAsia" w:ascii="仿宋_GB2312" w:hAnsi="仿宋_GB2312" w:eastAsia="仿宋_GB2312" w:cs="仿宋_GB2312"/>
          <w:color w:val="000000" w:themeColor="text1"/>
          <w:kern w:val="0"/>
          <w:sz w:val="32"/>
          <w:szCs w:val="32"/>
          <w14:textFill>
            <w14:solidFill>
              <w14:schemeClr w14:val="tx1"/>
            </w14:solidFill>
          </w14:textFill>
        </w:rPr>
        <w:t>万元，政府性基金预算支出0万元，国有资本经营预算支出0万元。从评价情况来看，预算执行及时、有效，绩效目标得到较好实现，绩效管理水平不断提高。</w:t>
      </w:r>
    </w:p>
    <w:p>
      <w:pPr>
        <w:autoSpaceDE w:val="0"/>
        <w:autoSpaceDN w:val="0"/>
        <w:adjustRightInd w:val="0"/>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组织对株洲市石峰区医疗保障局开展整体支出绩效评价，涉及一般公共预算支出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525.56</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万元，政府性基金预算支出0万元。部门整体支出绩效评价报告详见第五部分。</w:t>
      </w:r>
    </w:p>
    <w:p>
      <w:pPr>
        <w:pStyle w:val="7"/>
        <w:numPr>
          <w:ilvl w:val="0"/>
          <w:numId w:val="4"/>
        </w:numPr>
        <w:autoSpaceDE w:val="0"/>
        <w:autoSpaceDN w:val="0"/>
        <w:adjustRightInd w:val="0"/>
        <w:spacing w:line="570" w:lineRule="exact"/>
        <w:ind w:left="0" w:leftChars="0"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部门评价项目绩效评价结果。</w:t>
      </w:r>
    </w:p>
    <w:p>
      <w:pPr>
        <w:autoSpaceDE w:val="0"/>
        <w:autoSpaceDN w:val="0"/>
        <w:adjustRightInd w:val="0"/>
        <w:ind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财政对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医疗救助</w:t>
      </w:r>
      <w:r>
        <w:rPr>
          <w:rFonts w:hint="eastAsia" w:ascii="仿宋_GB2312" w:hAnsi="仿宋_GB2312" w:eastAsia="仿宋_GB2312" w:cs="仿宋_GB2312"/>
          <w:color w:val="000000" w:themeColor="text1"/>
          <w:kern w:val="0"/>
          <w:sz w:val="32"/>
          <w:szCs w:val="32"/>
          <w14:textFill>
            <w14:solidFill>
              <w14:schemeClr w14:val="tx1"/>
            </w14:solidFill>
          </w14:textFill>
        </w:rPr>
        <w:t>项目绩效自评综述：根据年初设定的绩效目标，项目绩效自评得分为99分。项目全年预算数为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337</w:t>
      </w:r>
      <w:r>
        <w:rPr>
          <w:rFonts w:hint="eastAsia" w:ascii="仿宋_GB2312" w:hAnsi="仿宋_GB2312" w:eastAsia="仿宋_GB2312" w:cs="仿宋_GB2312"/>
          <w:color w:val="000000" w:themeColor="text1"/>
          <w:kern w:val="0"/>
          <w:sz w:val="32"/>
          <w:szCs w:val="32"/>
          <w14:textFill>
            <w14:solidFill>
              <w14:schemeClr w14:val="tx1"/>
            </w14:solidFill>
          </w14:textFill>
        </w:rPr>
        <w:t>万元，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上年结余结转</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23.38万元，</w:t>
      </w:r>
      <w:r>
        <w:rPr>
          <w:rFonts w:hint="eastAsia" w:ascii="仿宋_GB2312" w:hAnsi="仿宋_GB2312" w:eastAsia="仿宋_GB2312" w:cs="仿宋_GB2312"/>
          <w:color w:val="000000" w:themeColor="text1"/>
          <w:kern w:val="0"/>
          <w:sz w:val="32"/>
          <w:szCs w:val="32"/>
          <w14:textFill>
            <w14:solidFill>
              <w14:schemeClr w14:val="tx1"/>
            </w14:solidFill>
          </w14:textFill>
        </w:rPr>
        <w:t>执行数为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340.09</w:t>
      </w:r>
      <w:r>
        <w:rPr>
          <w:rFonts w:hint="eastAsia" w:ascii="仿宋_GB2312" w:hAnsi="仿宋_GB2312" w:eastAsia="仿宋_GB2312" w:cs="仿宋_GB2312"/>
          <w:color w:val="000000" w:themeColor="text1"/>
          <w:kern w:val="0"/>
          <w:sz w:val="32"/>
          <w:szCs w:val="32"/>
          <w14:textFill>
            <w14:solidFill>
              <w14:schemeClr w14:val="tx1"/>
            </w14:solidFill>
          </w14:textFill>
        </w:rPr>
        <w:t>万元，完成预算的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94.37</w:t>
      </w:r>
      <w:r>
        <w:rPr>
          <w:rFonts w:hint="eastAsia" w:ascii="仿宋_GB2312" w:hAnsi="仿宋_GB2312" w:eastAsia="仿宋_GB2312" w:cs="仿宋_GB2312"/>
          <w:color w:val="000000" w:themeColor="text1"/>
          <w:kern w:val="0"/>
          <w:sz w:val="32"/>
          <w:szCs w:val="32"/>
          <w14:textFill>
            <w14:solidFill>
              <w14:schemeClr w14:val="tx1"/>
            </w14:solidFill>
          </w14:textFill>
        </w:rPr>
        <w:t>%。项目绩效目标完成情况：</w:t>
      </w:r>
      <w:r>
        <w:rPr>
          <w:rFonts w:hint="eastAsia" w:ascii="仿宋" w:hAnsi="仿宋" w:eastAsia="仿宋" w:cs="仿宋"/>
          <w:color w:val="000000" w:themeColor="text1"/>
          <w:sz w:val="32"/>
          <w:szCs w:val="32"/>
          <w14:textFill>
            <w14:solidFill>
              <w14:schemeClr w14:val="tx1"/>
            </w14:solidFill>
          </w14:textFill>
        </w:rPr>
        <w:t>确保</w:t>
      </w:r>
      <w:r>
        <w:rPr>
          <w:rFonts w:hint="eastAsia" w:ascii="仿宋" w:hAnsi="仿宋" w:eastAsia="仿宋" w:cs="仿宋"/>
          <w:color w:val="000000" w:themeColor="text1"/>
          <w:sz w:val="32"/>
          <w:szCs w:val="32"/>
          <w:lang w:eastAsia="zh-CN"/>
          <w14:textFill>
            <w14:solidFill>
              <w14:schemeClr w14:val="tx1"/>
            </w14:solidFill>
          </w14:textFill>
        </w:rPr>
        <w:t>了</w:t>
      </w:r>
      <w:r>
        <w:rPr>
          <w:rFonts w:hint="eastAsia" w:ascii="仿宋" w:hAnsi="仿宋" w:eastAsia="仿宋" w:cs="仿宋"/>
          <w:color w:val="000000" w:themeColor="text1"/>
          <w:sz w:val="32"/>
          <w:szCs w:val="32"/>
          <w14:textFill>
            <w14:solidFill>
              <w14:schemeClr w14:val="tx1"/>
            </w14:solidFill>
          </w14:textFill>
        </w:rPr>
        <w:t>符合政策的人员及时享受待遇，最大限度的减少“因病致贫、因病返贫”。做好</w:t>
      </w:r>
      <w:r>
        <w:rPr>
          <w:rFonts w:hint="eastAsia" w:ascii="仿宋" w:hAnsi="仿宋" w:eastAsia="仿宋" w:cs="仿宋"/>
          <w:color w:val="000000" w:themeColor="text1"/>
          <w:sz w:val="32"/>
          <w:szCs w:val="32"/>
          <w:lang w:eastAsia="zh-CN"/>
          <w14:textFill>
            <w14:solidFill>
              <w14:schemeClr w14:val="tx1"/>
            </w14:solidFill>
          </w14:textFill>
        </w:rPr>
        <w:t>了</w:t>
      </w:r>
      <w:r>
        <w:rPr>
          <w:rFonts w:hint="eastAsia" w:ascii="仿宋" w:hAnsi="仿宋" w:eastAsia="仿宋" w:cs="仿宋"/>
          <w:color w:val="000000" w:themeColor="text1"/>
          <w:sz w:val="32"/>
          <w:szCs w:val="32"/>
          <w14:textFill>
            <w14:solidFill>
              <w14:schemeClr w14:val="tx1"/>
            </w14:solidFill>
          </w14:textFill>
        </w:rPr>
        <w:t>区属困难企业、离休人员和原已认定老工伤人员医疗保障相关工作。</w:t>
      </w:r>
    </w:p>
    <w:p>
      <w:pPr>
        <w:spacing w:line="600" w:lineRule="exact"/>
        <w:ind w:firstLine="640" w:firstLineChars="200"/>
        <w:jc w:val="left"/>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医疗保障政策管理</w:t>
      </w:r>
      <w:r>
        <w:rPr>
          <w:rFonts w:hint="eastAsia" w:ascii="仿宋_GB2312" w:hAnsi="仿宋_GB2312" w:eastAsia="仿宋_GB2312" w:cs="仿宋_GB2312"/>
          <w:color w:val="000000" w:themeColor="text1"/>
          <w:kern w:val="0"/>
          <w:sz w:val="32"/>
          <w:szCs w:val="32"/>
          <w14:textFill>
            <w14:solidFill>
              <w14:schemeClr w14:val="tx1"/>
            </w14:solidFill>
          </w14:textFill>
        </w:rPr>
        <w:t>项目绩效自评综述：根据年初设定的绩效目标，项目绩效自评得分为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kern w:val="0"/>
          <w:sz w:val="32"/>
          <w:szCs w:val="32"/>
          <w14:textFill>
            <w14:solidFill>
              <w14:schemeClr w14:val="tx1"/>
            </w14:solidFill>
          </w14:textFill>
        </w:rPr>
        <w:t>分。项目全年预算数为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40</w:t>
      </w:r>
      <w:r>
        <w:rPr>
          <w:rFonts w:hint="eastAsia" w:ascii="仿宋_GB2312" w:hAnsi="仿宋_GB2312" w:eastAsia="仿宋_GB2312" w:cs="仿宋_GB2312"/>
          <w:color w:val="000000" w:themeColor="text1"/>
          <w:kern w:val="0"/>
          <w:sz w:val="32"/>
          <w:szCs w:val="32"/>
          <w14:textFill>
            <w14:solidFill>
              <w14:schemeClr w14:val="tx1"/>
            </w14:solidFill>
          </w14:textFill>
        </w:rPr>
        <w:t>万元，执行数为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40</w:t>
      </w:r>
      <w:r>
        <w:rPr>
          <w:rFonts w:hint="eastAsia" w:ascii="仿宋_GB2312" w:hAnsi="仿宋_GB2312" w:eastAsia="仿宋_GB2312" w:cs="仿宋_GB2312"/>
          <w:color w:val="000000" w:themeColor="text1"/>
          <w:kern w:val="0"/>
          <w:sz w:val="32"/>
          <w:szCs w:val="32"/>
          <w14:textFill>
            <w14:solidFill>
              <w14:schemeClr w14:val="tx1"/>
            </w14:solidFill>
          </w14:textFill>
        </w:rPr>
        <w:t>万元，完成预算的100%。项目绩效目标完成情况：</w:t>
      </w:r>
      <w:r>
        <w:rPr>
          <w:rFonts w:hint="eastAsia"/>
          <w:color w:val="000000" w:themeColor="text1"/>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项目</w:t>
      </w:r>
      <w:r>
        <w:rPr>
          <w:rFonts w:hint="eastAsia" w:ascii="仿宋" w:hAnsi="仿宋" w:eastAsia="仿宋" w:cs="仿宋"/>
          <w:color w:val="000000" w:themeColor="text1"/>
          <w:sz w:val="32"/>
          <w:szCs w:val="32"/>
          <w14:textFill>
            <w14:solidFill>
              <w14:schemeClr w14:val="tx1"/>
            </w14:solidFill>
          </w14:textFill>
        </w:rPr>
        <w:t>资金支出</w:t>
      </w:r>
      <w:r>
        <w:rPr>
          <w:rFonts w:hint="eastAsia" w:ascii="仿宋" w:hAnsi="仿宋" w:eastAsia="仿宋" w:cs="仿宋"/>
          <w:color w:val="000000" w:themeColor="text1"/>
          <w:sz w:val="32"/>
          <w:szCs w:val="32"/>
          <w:lang w:val="en-US" w:eastAsia="zh-CN"/>
          <w14:textFill>
            <w14:solidFill>
              <w14:schemeClr w14:val="tx1"/>
            </w14:solidFill>
          </w14:textFill>
        </w:rPr>
        <w:t>40</w:t>
      </w:r>
      <w:r>
        <w:rPr>
          <w:rFonts w:hint="eastAsia" w:ascii="仿宋" w:hAnsi="仿宋" w:eastAsia="仿宋" w:cs="仿宋"/>
          <w:color w:val="000000" w:themeColor="text1"/>
          <w:sz w:val="32"/>
          <w:szCs w:val="32"/>
          <w14:textFill>
            <w14:solidFill>
              <w14:schemeClr w14:val="tx1"/>
            </w14:solidFill>
          </w14:textFill>
        </w:rPr>
        <w:t>万元， 按照“保基本、可持续、解民忧、推改</w:t>
      </w:r>
      <w:r>
        <w:rPr>
          <w:rFonts w:hint="eastAsia" w:ascii="仿宋_GB2312" w:hAnsi="仿宋_GB2312" w:eastAsia="仿宋_GB2312" w:cs="仿宋_GB2312"/>
          <w:color w:val="000000" w:themeColor="text1"/>
          <w:sz w:val="32"/>
          <w:szCs w:val="32"/>
          <w14:textFill>
            <w14:solidFill>
              <w14:schemeClr w14:val="tx1"/>
            </w14:solidFill>
          </w14:textFill>
        </w:rPr>
        <w:t>革”的总体要求，我局认真落实各项医保待遇政策，基金监管实现全覆盖、宣传引导有新进步、经办服务实现帮代办、信息化建设更通畅、人才队伍培训全覆盖，医保工作取得明显成效。</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pPr>
        <w:pStyle w:val="2"/>
        <w:rPr>
          <w:rFonts w:ascii="Times New Roman" w:hAnsi="Times New Roman" w:eastAsia="仿宋_GB2312" w:cs="Times New Roman"/>
          <w:color w:val="000000"/>
          <w:kern w:val="0"/>
          <w:sz w:val="32"/>
          <w:szCs w:val="32"/>
        </w:rPr>
      </w:pPr>
    </w:p>
    <w:p>
      <w:pPr>
        <w:pStyle w:val="2"/>
        <w:rPr>
          <w:rFonts w:ascii="Times New Roman" w:hAnsi="Times New Roman" w:eastAsia="仿宋_GB2312" w:cs="Times New Roman"/>
          <w:color w:val="000000"/>
          <w:kern w:val="0"/>
          <w:sz w:val="32"/>
          <w:szCs w:val="32"/>
        </w:rPr>
      </w:pPr>
    </w:p>
    <w:p>
      <w:pPr>
        <w:pStyle w:val="2"/>
        <w:rPr>
          <w:rFonts w:ascii="Times New Roman" w:hAnsi="Times New Roman" w:eastAsia="仿宋_GB2312" w:cs="Times New Roman"/>
          <w:color w:val="000000"/>
          <w:kern w:val="0"/>
          <w:sz w:val="32"/>
          <w:szCs w:val="32"/>
        </w:rPr>
      </w:pPr>
    </w:p>
    <w:p>
      <w:pPr>
        <w:pStyle w:val="2"/>
        <w:rPr>
          <w:rFonts w:ascii="Times New Roman" w:hAnsi="Times New Roman" w:eastAsia="仿宋_GB2312" w:cs="Times New Roman"/>
          <w:color w:val="000000"/>
          <w:kern w:val="0"/>
          <w:sz w:val="32"/>
          <w:szCs w:val="32"/>
        </w:rPr>
      </w:pPr>
    </w:p>
    <w:p>
      <w:pPr>
        <w:pStyle w:val="2"/>
        <w:rPr>
          <w:rFonts w:ascii="Times New Roman" w:hAnsi="Times New Roman" w:eastAsia="仿宋_GB2312" w:cs="Times New Roman"/>
          <w:color w:val="000000"/>
          <w:kern w:val="0"/>
          <w:sz w:val="32"/>
          <w:szCs w:val="32"/>
        </w:rPr>
      </w:pPr>
    </w:p>
    <w:p>
      <w:pPr>
        <w:pStyle w:val="2"/>
        <w:rPr>
          <w:rFonts w:ascii="Times New Roman" w:hAnsi="Times New Roman" w:eastAsia="仿宋_GB2312" w:cs="Times New Roman"/>
          <w:color w:val="000000"/>
          <w:kern w:val="0"/>
          <w:sz w:val="32"/>
          <w:szCs w:val="32"/>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center"/>
        <w:rPr>
          <w:rFonts w:ascii="Times New Roman" w:hAnsi="Times New Roman" w:eastAsia="方正小标宋简体" w:cs="Times New Roman"/>
          <w:sz w:val="76"/>
          <w:szCs w:val="76"/>
        </w:rPr>
      </w:pPr>
    </w:p>
    <w:p>
      <w:pPr>
        <w:pStyle w:val="16"/>
        <w:jc w:val="center"/>
        <w:rPr>
          <w:rFonts w:ascii="Times New Roman" w:hAnsi="Times New Roman" w:eastAsia="方正小标宋简体" w:cs="Times New Roman"/>
          <w:sz w:val="76"/>
          <w:szCs w:val="76"/>
        </w:rPr>
      </w:pPr>
    </w:p>
    <w:p>
      <w:pPr>
        <w:pStyle w:val="16"/>
        <w:jc w:val="center"/>
        <w:rPr>
          <w:rFonts w:ascii="Times New Roman" w:hAnsi="Times New Roman" w:eastAsia="方正小标宋简体" w:cs="Times New Roman"/>
          <w:sz w:val="76"/>
          <w:szCs w:val="76"/>
        </w:rPr>
      </w:pPr>
    </w:p>
    <w:p>
      <w:pPr>
        <w:pStyle w:val="16"/>
        <w:jc w:val="center"/>
        <w:rPr>
          <w:rFonts w:ascii="Times New Roman" w:hAnsi="Times New Roman" w:eastAsia="方正小标宋简体" w:cs="Times New Roman"/>
          <w:sz w:val="76"/>
          <w:szCs w:val="76"/>
        </w:rPr>
      </w:pPr>
    </w:p>
    <w:p>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pPr>
        <w:pStyle w:val="16"/>
        <w:jc w:val="center"/>
        <w:rPr>
          <w:rFonts w:ascii="Times New Roman" w:hAnsi="Times New Roman" w:eastAsia="方正小标宋简体" w:cs="Times New Roman"/>
          <w:sz w:val="76"/>
          <w:szCs w:val="76"/>
        </w:rPr>
      </w:pPr>
    </w:p>
    <w:p>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pPr>
        <w:pStyle w:val="16"/>
        <w:jc w:val="both"/>
        <w:rPr>
          <w:rFonts w:hint="eastAsia" w:ascii="Times New Roman" w:hAnsi="Times New Roman" w:cs="Times New Roman"/>
          <w:sz w:val="72"/>
          <w:szCs w:val="72"/>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pPr>
        <w:pStyle w:val="16"/>
        <w:jc w:val="center"/>
        <w:rPr>
          <w:rFonts w:ascii="Times New Roman" w:hAnsi="Times New Roman" w:eastAsia="方正小标宋简体" w:cs="Times New Roman"/>
          <w:sz w:val="56"/>
          <w:szCs w:val="56"/>
        </w:rPr>
      </w:pPr>
    </w:p>
    <w:p>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pPr>
        <w:pStyle w:val="16"/>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pPr>
        <w:pStyle w:val="16"/>
        <w:keepNext w:val="0"/>
        <w:keepLines w:val="0"/>
        <w:pageBreakBefore w:val="0"/>
        <w:widowControl w:val="0"/>
        <w:kinsoku/>
        <w:wordWrap/>
        <w:overflowPunct/>
        <w:topLinePunct w:val="0"/>
        <w:bidi w:val="0"/>
        <w:spacing w:beforeAutospacing="0" w:line="600" w:lineRule="exact"/>
        <w:jc w:val="center"/>
        <w:textAlignment w:val="auto"/>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年度部门整体支出绩效</w:t>
      </w:r>
      <w:r>
        <w:rPr>
          <w:rFonts w:hint="eastAsia" w:ascii="Times New Roman" w:hAnsi="Times New Roman" w:eastAsia="方正小标宋简体" w:cs="Times New Roman"/>
          <w:sz w:val="44"/>
          <w:szCs w:val="44"/>
          <w:lang w:eastAsia="zh-CN"/>
        </w:rPr>
        <w:t>自评报告</w:t>
      </w:r>
    </w:p>
    <w:p>
      <w:pPr>
        <w:pStyle w:val="16"/>
        <w:keepNext w:val="0"/>
        <w:keepLines w:val="0"/>
        <w:pageBreakBefore w:val="0"/>
        <w:widowControl w:val="0"/>
        <w:kinsoku/>
        <w:wordWrap/>
        <w:overflowPunct/>
        <w:topLinePunct w:val="0"/>
        <w:bidi w:val="0"/>
        <w:spacing w:beforeAutospacing="0" w:line="600" w:lineRule="exact"/>
        <w:jc w:val="both"/>
        <w:textAlignment w:val="auto"/>
        <w:rPr>
          <w:rFonts w:hint="default" w:ascii="Times New Roman" w:hAnsi="Times New Roman" w:eastAsia="仿宋_GB2312" w:cs="Times New Roman"/>
          <w:sz w:val="28"/>
          <w:szCs w:val="28"/>
          <w:lang w:eastAsia="zh-CN"/>
        </w:rPr>
      </w:pPr>
    </w:p>
    <w:p>
      <w:pPr>
        <w:keepNext w:val="0"/>
        <w:keepLines w:val="0"/>
        <w:pageBreakBefore w:val="0"/>
        <w:widowControl w:val="0"/>
        <w:tabs>
          <w:tab w:val="left" w:pos="7560"/>
        </w:tabs>
        <w:kinsoku/>
        <w:wordWrap/>
        <w:overflowPunct/>
        <w:topLinePunct w:val="0"/>
        <w:bidi w:val="0"/>
        <w:adjustRightInd w:val="0"/>
        <w:snapToGrid w:val="0"/>
        <w:spacing w:beforeAutospacing="0" w:line="600" w:lineRule="exact"/>
        <w:ind w:firstLine="960" w:firstLineChars="300"/>
        <w:jc w:val="center"/>
        <w:textAlignment w:val="auto"/>
        <w:rPr>
          <w:rFonts w:hint="eastAsia" w:ascii="仿宋_GB2312" w:hAnsi="仿宋_GB2312" w:eastAsia="仿宋_GB2312" w:cs="仿宋_GB2312"/>
          <w:sz w:val="32"/>
          <w:szCs w:val="32"/>
          <w:lang w:eastAsia="zh-CN"/>
        </w:rPr>
      </w:pPr>
      <w:bookmarkStart w:id="0" w:name="_GoBack"/>
      <w:bookmarkEnd w:id="0"/>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18030">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556C6D"/>
    <w:multiLevelType w:val="singleLevel"/>
    <w:tmpl w:val="C2556C6D"/>
    <w:lvl w:ilvl="0" w:tentative="0">
      <w:start w:val="1"/>
      <w:numFmt w:val="chineseCounting"/>
      <w:suff w:val="nothing"/>
      <w:lvlText w:val="（%1）"/>
      <w:lvlJc w:val="left"/>
      <w:rPr>
        <w:rFonts w:hint="eastAsia"/>
      </w:rPr>
    </w:lvl>
  </w:abstractNum>
  <w:abstractNum w:abstractNumId="1">
    <w:nsid w:val="E0FDBB30"/>
    <w:multiLevelType w:val="singleLevel"/>
    <w:tmpl w:val="E0FDBB30"/>
    <w:lvl w:ilvl="0" w:tentative="0">
      <w:start w:val="10"/>
      <w:numFmt w:val="chineseCounting"/>
      <w:suff w:val="nothing"/>
      <w:lvlText w:val="%1、"/>
      <w:lvlJc w:val="left"/>
      <w:rPr>
        <w:rFonts w:hint="eastAsia"/>
      </w:rPr>
    </w:lvl>
  </w:abstractNum>
  <w:abstractNum w:abstractNumId="2">
    <w:nsid w:val="6E8F5D7B"/>
    <w:multiLevelType w:val="singleLevel"/>
    <w:tmpl w:val="6E8F5D7B"/>
    <w:lvl w:ilvl="0" w:tentative="0">
      <w:start w:val="2"/>
      <w:numFmt w:val="chineseCounting"/>
      <w:suff w:val="nothing"/>
      <w:lvlText w:val="（%1）"/>
      <w:lvlJc w:val="left"/>
      <w:rPr>
        <w:rFonts w:hint="eastAsia" w:ascii="楷体_GB2312" w:hAnsi="楷体_GB2312" w:eastAsia="楷体_GB2312" w:cs="楷体_GB2312"/>
        <w:sz w:val="32"/>
        <w:szCs w:val="32"/>
      </w:rPr>
    </w:lvl>
  </w:abstractNum>
  <w:abstractNum w:abstractNumId="3">
    <w:nsid w:val="77DE835D"/>
    <w:multiLevelType w:val="singleLevel"/>
    <w:tmpl w:val="77DE835D"/>
    <w:lvl w:ilvl="0" w:tentative="0">
      <w:start w:val="2"/>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MTUwYzg3ZjQ5MTEzZTU0ZjA5MThiODMyNTIwZTU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8C1D30"/>
    <w:rsid w:val="06915006"/>
    <w:rsid w:val="06B52798"/>
    <w:rsid w:val="0751274D"/>
    <w:rsid w:val="07634BF4"/>
    <w:rsid w:val="07A77932"/>
    <w:rsid w:val="08F14AE1"/>
    <w:rsid w:val="0B567F72"/>
    <w:rsid w:val="0C7C6B53"/>
    <w:rsid w:val="0D3F15F5"/>
    <w:rsid w:val="0EF6245F"/>
    <w:rsid w:val="11E43B98"/>
    <w:rsid w:val="13692089"/>
    <w:rsid w:val="169A15B7"/>
    <w:rsid w:val="18985D2F"/>
    <w:rsid w:val="18FA38C9"/>
    <w:rsid w:val="1A8C6AE4"/>
    <w:rsid w:val="1B323160"/>
    <w:rsid w:val="1B714E5F"/>
    <w:rsid w:val="1E532BCB"/>
    <w:rsid w:val="1EBE63A2"/>
    <w:rsid w:val="1F041D62"/>
    <w:rsid w:val="1F6317DE"/>
    <w:rsid w:val="1F745786"/>
    <w:rsid w:val="204A02A8"/>
    <w:rsid w:val="21B1218A"/>
    <w:rsid w:val="238B2E7B"/>
    <w:rsid w:val="26C5154E"/>
    <w:rsid w:val="2AD95BF4"/>
    <w:rsid w:val="2B767375"/>
    <w:rsid w:val="2F101369"/>
    <w:rsid w:val="30CC0F10"/>
    <w:rsid w:val="321612FC"/>
    <w:rsid w:val="32B56379"/>
    <w:rsid w:val="35042CC3"/>
    <w:rsid w:val="3794275E"/>
    <w:rsid w:val="38090922"/>
    <w:rsid w:val="386E487C"/>
    <w:rsid w:val="38D75D21"/>
    <w:rsid w:val="395219B1"/>
    <w:rsid w:val="3B044115"/>
    <w:rsid w:val="3B895CD0"/>
    <w:rsid w:val="3C7324DC"/>
    <w:rsid w:val="3D4D1ECA"/>
    <w:rsid w:val="46BE0A2A"/>
    <w:rsid w:val="472236C4"/>
    <w:rsid w:val="47867568"/>
    <w:rsid w:val="47C05439"/>
    <w:rsid w:val="4B1C68ED"/>
    <w:rsid w:val="4B8003CD"/>
    <w:rsid w:val="4F976C0B"/>
    <w:rsid w:val="523F5138"/>
    <w:rsid w:val="538D47D7"/>
    <w:rsid w:val="538E105C"/>
    <w:rsid w:val="53BF69FD"/>
    <w:rsid w:val="591A5257"/>
    <w:rsid w:val="5B1C2265"/>
    <w:rsid w:val="5D2E7409"/>
    <w:rsid w:val="60841B7E"/>
    <w:rsid w:val="6315340E"/>
    <w:rsid w:val="635D15B9"/>
    <w:rsid w:val="64714AD2"/>
    <w:rsid w:val="64857E64"/>
    <w:rsid w:val="65965345"/>
    <w:rsid w:val="65F04BE5"/>
    <w:rsid w:val="6A484E25"/>
    <w:rsid w:val="6BFD4420"/>
    <w:rsid w:val="6E0F6D2F"/>
    <w:rsid w:val="6EAE4254"/>
    <w:rsid w:val="70784901"/>
    <w:rsid w:val="71B76CF1"/>
    <w:rsid w:val="74205B29"/>
    <w:rsid w:val="75EC59CA"/>
    <w:rsid w:val="75F714AD"/>
    <w:rsid w:val="764549C6"/>
    <w:rsid w:val="78081C98"/>
    <w:rsid w:val="7DB6586D"/>
    <w:rsid w:val="7DC2177C"/>
    <w:rsid w:val="7E292D8B"/>
    <w:rsid w:val="7EAA7C1A"/>
    <w:rsid w:val="7EDB1D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99"/>
    <w:pPr>
      <w:spacing w:before="100" w:beforeAutospacing="1" w:after="120"/>
    </w:pPr>
    <w:rPr>
      <w:rFonts w:ascii="Times New Roman" w:hAnsi="Times New Roman" w:cs="Times New Roman"/>
    </w:rPr>
  </w:style>
  <w:style w:type="paragraph" w:styleId="3">
    <w:name w:val="annotation text"/>
    <w:basedOn w:val="1"/>
    <w:link w:val="11"/>
    <w:semiHidden/>
    <w:qFormat/>
    <w:uiPriority w:val="99"/>
    <w:pPr>
      <w:jc w:val="left"/>
    </w:p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character" w:styleId="10">
    <w:name w:val="annotation reference"/>
    <w:basedOn w:val="9"/>
    <w:semiHidden/>
    <w:qFormat/>
    <w:uiPriority w:val="99"/>
    <w:rPr>
      <w:sz w:val="21"/>
      <w:szCs w:val="21"/>
    </w:rPr>
  </w:style>
  <w:style w:type="character" w:customStyle="1" w:styleId="11">
    <w:name w:val="批注文字 Char"/>
    <w:basedOn w:val="9"/>
    <w:link w:val="3"/>
    <w:semiHidden/>
    <w:qFormat/>
    <w:locked/>
    <w:uiPriority w:val="99"/>
    <w:rPr>
      <w:rFonts w:ascii="Calibri" w:hAnsi="Calibri" w:cs="Calibri"/>
      <w:sz w:val="21"/>
      <w:szCs w:val="21"/>
    </w:rPr>
  </w:style>
  <w:style w:type="character" w:customStyle="1" w:styleId="12">
    <w:name w:val="正文文本 Char"/>
    <w:basedOn w:val="9"/>
    <w:link w:val="2"/>
    <w:qFormat/>
    <w:locked/>
    <w:uiPriority w:val="99"/>
    <w:rPr>
      <w:rFonts w:eastAsia="宋体"/>
      <w:kern w:val="2"/>
      <w:sz w:val="21"/>
      <w:szCs w:val="21"/>
      <w:lang w:val="en-US" w:eastAsia="zh-CN"/>
    </w:rPr>
  </w:style>
  <w:style w:type="character" w:customStyle="1" w:styleId="13">
    <w:name w:val="批注框文本 Char"/>
    <w:basedOn w:val="9"/>
    <w:link w:val="4"/>
    <w:semiHidden/>
    <w:qFormat/>
    <w:locked/>
    <w:uiPriority w:val="99"/>
    <w:rPr>
      <w:sz w:val="18"/>
      <w:szCs w:val="18"/>
    </w:rPr>
  </w:style>
  <w:style w:type="character" w:customStyle="1" w:styleId="14">
    <w:name w:val="页脚 Char"/>
    <w:basedOn w:val="9"/>
    <w:link w:val="5"/>
    <w:qFormat/>
    <w:locked/>
    <w:uiPriority w:val="99"/>
    <w:rPr>
      <w:sz w:val="18"/>
      <w:szCs w:val="18"/>
    </w:rPr>
  </w:style>
  <w:style w:type="character" w:customStyle="1" w:styleId="15">
    <w:name w:val="页眉 Char"/>
    <w:basedOn w:val="9"/>
    <w:link w:val="6"/>
    <w:qFormat/>
    <w:locked/>
    <w:uiPriority w:val="99"/>
    <w:rPr>
      <w:sz w:val="18"/>
      <w:szCs w:val="18"/>
    </w:rPr>
  </w:style>
  <w:style w:type="paragraph" w:customStyle="1" w:styleId="1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7">
    <w:name w:val="List Paragraph"/>
    <w:basedOn w:val="1"/>
    <w:qFormat/>
    <w:uiPriority w:val="99"/>
    <w:pPr>
      <w:ind w:firstLine="420" w:firstLineChars="200"/>
    </w:pPr>
  </w:style>
  <w:style w:type="paragraph" w:customStyle="1" w:styleId="18">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正文文字"/>
    <w:basedOn w:val="1"/>
    <w:next w:val="1"/>
    <w:qFormat/>
    <w:uiPriority w:val="99"/>
    <w:pPr>
      <w:spacing w:before="100" w:beforeAutospacing="1" w:after="120"/>
    </w:p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5952</Words>
  <Characters>6367</Characters>
  <Lines>56</Lines>
  <Paragraphs>15</Paragraphs>
  <TotalTime>1</TotalTime>
  <ScaleCrop>false</ScaleCrop>
  <LinksUpToDate>false</LinksUpToDate>
  <CharactersWithSpaces>6404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lenovo</cp:lastModifiedBy>
  <cp:lastPrinted>2024-10-28T07:15:00Z</cp:lastPrinted>
  <dcterms:modified xsi:type="dcterms:W3CDTF">2024-11-15T09:43:17Z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A3E52FD7305A435F8BD6009039A06285_13</vt:lpwstr>
  </property>
</Properties>
</file>