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jc w:val="both"/>
        <w:rPr>
          <w:rFonts w:ascii="Times New Roman" w:hAnsi="Times New Roman" w:cs="Times New Roman"/>
          <w:sz w:val="56"/>
          <w:szCs w:val="56"/>
        </w:rPr>
      </w:pPr>
    </w:p>
    <w:p>
      <w:pPr>
        <w:pStyle w:val="18"/>
        <w:jc w:val="both"/>
        <w:rPr>
          <w:rFonts w:ascii="Times New Roman" w:hAnsi="Times New Roman" w:cs="Times New Roman"/>
          <w:sz w:val="56"/>
          <w:szCs w:val="56"/>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76"/>
          <w:szCs w:val="76"/>
        </w:rPr>
      </w:pPr>
    </w:p>
    <w:p>
      <w:pPr>
        <w:pStyle w:val="18"/>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pPr>
        <w:pStyle w:val="18"/>
        <w:jc w:val="center"/>
        <w:rPr>
          <w:rFonts w:ascii="Times New Roman" w:hAnsi="Times New Roman" w:eastAsia="方正小标宋简体" w:cs="Times New Roman"/>
          <w:sz w:val="72"/>
          <w:szCs w:val="72"/>
        </w:rPr>
      </w:pPr>
      <w:r>
        <w:rPr>
          <w:rFonts w:hint="eastAsia" w:ascii="Times New Roman" w:hAnsi="Times New Roman" w:eastAsia="方正小标宋简体" w:cs="方正小标宋简体"/>
          <w:sz w:val="72"/>
          <w:szCs w:val="72"/>
        </w:rPr>
        <w:t>株洲市石峰区文学艺术界联合会</w:t>
      </w:r>
      <w:r>
        <w:rPr>
          <w:rFonts w:ascii="Times New Roman" w:hAnsi="Times New Roman" w:eastAsia="方正小标宋简体" w:cs="Times New Roman"/>
          <w:sz w:val="72"/>
          <w:szCs w:val="72"/>
        </w:rPr>
        <w:t>部门决算</w:t>
      </w:r>
    </w:p>
    <w:p>
      <w:pPr>
        <w:pStyle w:val="18"/>
        <w:jc w:val="both"/>
        <w:rPr>
          <w:rFonts w:ascii="Times New Roman" w:hAnsi="Times New Roman" w:cs="Times New Roman"/>
          <w:sz w:val="32"/>
          <w:szCs w:val="32"/>
        </w:rPr>
      </w:pPr>
    </w:p>
    <w:p>
      <w:pPr>
        <w:pStyle w:val="18"/>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sz w:val="32"/>
          <w:szCs w:val="32"/>
          <w:lang w:val="en-US" w:eastAsia="zh-CN"/>
        </w:rPr>
        <w:t>株洲市石峰区文学艺术界联合会</w:t>
      </w:r>
      <w:r>
        <w:rPr>
          <w:rFonts w:ascii="Times New Roman" w:hAnsi="Times New Roman" w:cs="Times New Roman"/>
          <w:sz w:val="32"/>
          <w:szCs w:val="32"/>
        </w:rPr>
        <w:t>概况</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pPr>
        <w:pStyle w:val="18"/>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w w:val="90"/>
          <w:sz w:val="76"/>
          <w:szCs w:val="76"/>
        </w:rPr>
      </w:pP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pPr>
        <w:pStyle w:val="18"/>
        <w:jc w:val="center"/>
        <w:rPr>
          <w:rFonts w:ascii="Times New Roman" w:hAnsi="Times New Roman" w:eastAsia="方正小标宋简体" w:cs="Times New Roman"/>
          <w:sz w:val="76"/>
          <w:szCs w:val="76"/>
        </w:rPr>
      </w:pPr>
    </w:p>
    <w:p>
      <w:pPr>
        <w:pStyle w:val="18"/>
        <w:jc w:val="center"/>
        <w:rPr>
          <w:rFonts w:ascii="Times New Roman" w:hAnsi="Times New Roman" w:eastAsia="方正小标宋简体" w:cs="Times New Roman"/>
          <w:sz w:val="76"/>
          <w:szCs w:val="76"/>
        </w:rPr>
      </w:pPr>
      <w:r>
        <w:rPr>
          <w:rFonts w:hint="eastAsia" w:ascii="Times New Roman" w:hAnsi="Times New Roman" w:eastAsia="方正小标宋简体" w:cs="方正小标宋简体"/>
          <w:sz w:val="76"/>
          <w:szCs w:val="76"/>
        </w:rPr>
        <w:t>株洲市石峰区文学艺术界联合</w:t>
      </w:r>
      <w:r>
        <w:rPr>
          <w:rFonts w:ascii="Times New Roman" w:hAnsi="Times New Roman" w:eastAsia="方正小标宋简体" w:cs="Times New Roman"/>
          <w:sz w:val="76"/>
          <w:szCs w:val="76"/>
        </w:rPr>
        <w:t>单位概况</w:t>
      </w:r>
    </w:p>
    <w:p>
      <w:pPr>
        <w:pStyle w:val="19"/>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pPr>
        <w:widowControl/>
        <w:spacing w:line="600" w:lineRule="exact"/>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株洲市石峰区文学艺术界联合会（以下简称石峰区文联）的主要职责是：</w:t>
      </w:r>
    </w:p>
    <w:p>
      <w:pPr>
        <w:widowControl/>
        <w:spacing w:line="600" w:lineRule="exact"/>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（一）带领全区文艺工作者，团结贯彻落实党的文艺方针，组织、引导文艺工作者学习党的文艺理论，使全区文艺事业健康持续发展。</w:t>
      </w:r>
    </w:p>
    <w:p>
      <w:pPr>
        <w:widowControl/>
        <w:spacing w:line="600" w:lineRule="exact"/>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（二）对团体会员进行组织、协调、联络、指导、服务，向有关方面反映团体会员情况和要求；拓宽党委、政府、社会各界与文艺界之间的民主协商渠道，充分调动文艺工作者的工作积极性。</w:t>
      </w:r>
    </w:p>
    <w:p>
      <w:pPr>
        <w:widowControl/>
        <w:spacing w:line="600" w:lineRule="exact"/>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（三）与政府主管部门和其他有关部门、群众团体密切合作，开展文艺活动，共同发展全区文化艺术事业；组织、鼓励文艺工作者深入生活，勤奋创作，出人才、出优秀作品。</w:t>
      </w:r>
    </w:p>
    <w:p>
      <w:pPr>
        <w:widowControl/>
        <w:spacing w:line="600" w:lineRule="exact"/>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（四）主管、主办本区文联文艺刊物。</w:t>
      </w:r>
    </w:p>
    <w:p>
      <w:pPr>
        <w:widowControl/>
        <w:spacing w:line="600" w:lineRule="exact"/>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（五）参与制定全区文艺创作和文艺事业发展规划，研究激励机制，营造良好的人文环境和创作氛围。</w:t>
      </w:r>
    </w:p>
    <w:p>
      <w:pPr>
        <w:widowControl/>
        <w:spacing w:line="600" w:lineRule="exact"/>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（六）组织开展学术研讨活动；参与提高群众文化素质和城市文化品位的有关工作。</w:t>
      </w:r>
    </w:p>
    <w:p>
      <w:pPr>
        <w:widowControl/>
        <w:spacing w:line="600" w:lineRule="exact"/>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（七）加强与区外文学艺术团体和文艺界人士的联系；宣传石峰，推出有地域特色的文艺精品。</w:t>
      </w:r>
    </w:p>
    <w:p>
      <w:pPr>
        <w:widowControl/>
        <w:spacing w:line="600" w:lineRule="exact"/>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（八）维护文艺工作者和文艺团体的合法权益；在团体会员的正当权益受到侵犯时，依法采取保护措施。</w:t>
      </w:r>
    </w:p>
    <w:p>
      <w:pPr>
        <w:widowControl/>
        <w:spacing w:line="600" w:lineRule="exact"/>
        <w:ind w:firstLine="640" w:firstLineChars="200"/>
        <w:rPr>
          <w:rFonts w:asciiTheme="minorEastAsia" w:hAnsiTheme="minorEastAsia"/>
          <w:bCs/>
          <w:kern w:val="0"/>
          <w:sz w:val="32"/>
          <w:szCs w:val="32"/>
        </w:rPr>
      </w:pPr>
      <w:r>
        <w:rPr>
          <w:rFonts w:hint="eastAsia" w:ascii="Times New Roman" w:hAnsi="Times New Roman" w:eastAsia="仿宋_GB2312" w:cs="仿宋_GB2312"/>
          <w:color w:val="000000"/>
          <w:kern w:val="0"/>
          <w:sz w:val="32"/>
          <w:szCs w:val="32"/>
          <w:lang w:val="en-US" w:eastAsia="zh-CN" w:bidi="ar-SA"/>
        </w:rPr>
        <w:t>（九）完成区委、政府交办的其他工作。</w:t>
      </w:r>
    </w:p>
    <w:p>
      <w:pPr>
        <w:numPr>
          <w:ilvl w:val="0"/>
          <w:numId w:val="1"/>
        </w:numPr>
        <w:overflowPunct w:val="0"/>
        <w:spacing w:line="596" w:lineRule="exact"/>
        <w:rPr>
          <w:rFonts w:ascii="Times New Roman" w:hAnsi="Times New Roman" w:eastAsia="黑体" w:cs="黑体"/>
          <w:kern w:val="0"/>
          <w:sz w:val="32"/>
          <w:szCs w:val="32"/>
        </w:rPr>
      </w:pPr>
      <w:r>
        <w:rPr>
          <w:rFonts w:hint="eastAsia" w:ascii="Times New Roman" w:hAnsi="Times New Roman" w:eastAsia="黑体" w:cs="黑体"/>
          <w:kern w:val="0"/>
          <w:sz w:val="32"/>
          <w:szCs w:val="32"/>
        </w:rPr>
        <w:t>机构设置及决算单位构成</w:t>
      </w:r>
    </w:p>
    <w:p>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pPr>
        <w:widowControl/>
        <w:spacing w:line="600" w:lineRule="exact"/>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内设机构包括： 湖南省株洲市石峰区文学艺术界联合会</w:t>
      </w:r>
      <w:r>
        <w:rPr>
          <w:rFonts w:hint="default" w:ascii="Times New Roman" w:hAnsi="Times New Roman" w:eastAsia="仿宋_GB2312" w:cs="仿宋_GB2312"/>
          <w:color w:val="000000"/>
          <w:kern w:val="0"/>
          <w:sz w:val="32"/>
          <w:szCs w:val="32"/>
          <w:lang w:val="en-US" w:eastAsia="zh-CN" w:bidi="ar-SA"/>
        </w:rPr>
        <w:t>属于</w:t>
      </w:r>
      <w:r>
        <w:rPr>
          <w:rFonts w:hint="eastAsia" w:ascii="Times New Roman" w:hAnsi="Times New Roman" w:eastAsia="仿宋_GB2312" w:cs="仿宋_GB2312"/>
          <w:color w:val="000000"/>
          <w:kern w:val="0"/>
          <w:sz w:val="32"/>
          <w:szCs w:val="32"/>
          <w:lang w:val="en-US" w:eastAsia="zh-CN" w:bidi="ar-SA"/>
        </w:rPr>
        <w:t>一</w:t>
      </w:r>
      <w:r>
        <w:rPr>
          <w:rFonts w:hint="default" w:ascii="Times New Roman" w:hAnsi="Times New Roman" w:eastAsia="仿宋_GB2312" w:cs="仿宋_GB2312"/>
          <w:color w:val="000000"/>
          <w:kern w:val="0"/>
          <w:sz w:val="32"/>
          <w:szCs w:val="32"/>
          <w:lang w:val="en-US" w:eastAsia="zh-CN" w:bidi="ar-SA"/>
        </w:rPr>
        <w:t>级单位，现有预算单位</w:t>
      </w:r>
      <w:r>
        <w:rPr>
          <w:rFonts w:hint="eastAsia" w:ascii="Times New Roman" w:hAnsi="Times New Roman" w:eastAsia="仿宋_GB2312" w:cs="仿宋_GB2312"/>
          <w:color w:val="000000"/>
          <w:kern w:val="0"/>
          <w:sz w:val="32"/>
          <w:szCs w:val="32"/>
          <w:lang w:val="en-US" w:eastAsia="zh-CN" w:bidi="ar-SA"/>
        </w:rPr>
        <w:t>1</w:t>
      </w:r>
      <w:r>
        <w:rPr>
          <w:rFonts w:hint="default" w:ascii="Times New Roman" w:hAnsi="Times New Roman" w:eastAsia="仿宋_GB2312" w:cs="仿宋_GB2312"/>
          <w:color w:val="000000"/>
          <w:kern w:val="0"/>
          <w:sz w:val="32"/>
          <w:szCs w:val="32"/>
          <w:lang w:val="en-US" w:eastAsia="zh-CN" w:bidi="ar-SA"/>
        </w:rPr>
        <w:t>个。本部门共有事业编</w:t>
      </w:r>
      <w:r>
        <w:rPr>
          <w:rFonts w:hint="eastAsia" w:ascii="Times New Roman" w:hAnsi="Times New Roman" w:eastAsia="仿宋_GB2312" w:cs="仿宋_GB2312"/>
          <w:color w:val="000000"/>
          <w:kern w:val="0"/>
          <w:sz w:val="32"/>
          <w:szCs w:val="32"/>
          <w:lang w:val="en-US" w:eastAsia="zh-CN" w:bidi="ar-SA"/>
        </w:rPr>
        <w:t>2</w:t>
      </w:r>
      <w:r>
        <w:rPr>
          <w:rFonts w:hint="default" w:ascii="Times New Roman" w:hAnsi="Times New Roman" w:eastAsia="仿宋_GB2312" w:cs="仿宋_GB2312"/>
          <w:color w:val="000000"/>
          <w:kern w:val="0"/>
          <w:sz w:val="32"/>
          <w:szCs w:val="32"/>
          <w:lang w:val="en-US" w:eastAsia="zh-CN" w:bidi="ar-SA"/>
        </w:rPr>
        <w:t>名。实有人数</w:t>
      </w:r>
      <w:r>
        <w:rPr>
          <w:rFonts w:hint="eastAsia" w:ascii="Times New Roman" w:hAnsi="Times New Roman" w:eastAsia="仿宋_GB2312" w:cs="仿宋_GB2312"/>
          <w:color w:val="000000"/>
          <w:kern w:val="0"/>
          <w:sz w:val="32"/>
          <w:szCs w:val="32"/>
          <w:lang w:val="en-US" w:eastAsia="zh-CN" w:bidi="ar-SA"/>
        </w:rPr>
        <w:t>2</w:t>
      </w:r>
      <w:r>
        <w:rPr>
          <w:rFonts w:hint="default" w:ascii="Times New Roman" w:hAnsi="Times New Roman" w:eastAsia="仿宋_GB2312" w:cs="仿宋_GB2312"/>
          <w:color w:val="000000"/>
          <w:kern w:val="0"/>
          <w:sz w:val="32"/>
          <w:szCs w:val="32"/>
          <w:lang w:val="en-US" w:eastAsia="zh-CN" w:bidi="ar-SA"/>
        </w:rPr>
        <w:t>人，其中：在职人员</w:t>
      </w:r>
      <w:r>
        <w:rPr>
          <w:rFonts w:hint="eastAsia" w:ascii="Times New Roman" w:hAnsi="Times New Roman" w:eastAsia="仿宋_GB2312" w:cs="仿宋_GB2312"/>
          <w:color w:val="000000"/>
          <w:kern w:val="0"/>
          <w:sz w:val="32"/>
          <w:szCs w:val="32"/>
          <w:lang w:val="en-US" w:eastAsia="zh-CN" w:bidi="ar-SA"/>
        </w:rPr>
        <w:t>2</w:t>
      </w:r>
      <w:r>
        <w:rPr>
          <w:rFonts w:hint="default" w:ascii="Times New Roman" w:hAnsi="Times New Roman" w:eastAsia="仿宋_GB2312" w:cs="仿宋_GB2312"/>
          <w:color w:val="000000"/>
          <w:kern w:val="0"/>
          <w:sz w:val="32"/>
          <w:szCs w:val="32"/>
          <w:lang w:val="en-US" w:eastAsia="zh-CN" w:bidi="ar-SA"/>
        </w:rPr>
        <w:t>人，离休</w:t>
      </w:r>
      <w:r>
        <w:rPr>
          <w:rFonts w:hint="eastAsia" w:ascii="Times New Roman" w:hAnsi="Times New Roman" w:eastAsia="仿宋_GB2312" w:cs="仿宋_GB2312"/>
          <w:color w:val="000000"/>
          <w:kern w:val="0"/>
          <w:sz w:val="32"/>
          <w:szCs w:val="32"/>
          <w:lang w:val="en-US" w:eastAsia="zh-CN" w:bidi="ar-SA"/>
        </w:rPr>
        <w:t>0</w:t>
      </w:r>
      <w:r>
        <w:rPr>
          <w:rFonts w:hint="default" w:ascii="Times New Roman" w:hAnsi="Times New Roman" w:eastAsia="仿宋_GB2312" w:cs="仿宋_GB2312"/>
          <w:color w:val="000000"/>
          <w:kern w:val="0"/>
          <w:sz w:val="32"/>
          <w:szCs w:val="32"/>
          <w:lang w:val="en-US" w:eastAsia="zh-CN" w:bidi="ar-SA"/>
        </w:rPr>
        <w:t>人，退休</w:t>
      </w:r>
      <w:r>
        <w:rPr>
          <w:rFonts w:hint="eastAsia" w:ascii="Times New Roman" w:hAnsi="Times New Roman" w:eastAsia="仿宋_GB2312" w:cs="仿宋_GB2312"/>
          <w:color w:val="000000"/>
          <w:kern w:val="0"/>
          <w:sz w:val="32"/>
          <w:szCs w:val="32"/>
          <w:lang w:val="en-US" w:eastAsia="zh-CN" w:bidi="ar-SA"/>
        </w:rPr>
        <w:t>0</w:t>
      </w:r>
      <w:r>
        <w:rPr>
          <w:rFonts w:hint="default" w:ascii="Times New Roman" w:hAnsi="Times New Roman" w:eastAsia="仿宋_GB2312" w:cs="仿宋_GB2312"/>
          <w:color w:val="000000"/>
          <w:kern w:val="0"/>
          <w:sz w:val="32"/>
          <w:szCs w:val="32"/>
          <w:lang w:val="en-US" w:eastAsia="zh-CN" w:bidi="ar-SA"/>
        </w:rPr>
        <w:t>人。我单位内设处室</w:t>
      </w:r>
      <w:r>
        <w:rPr>
          <w:rFonts w:hint="eastAsia" w:ascii="Times New Roman" w:hAnsi="Times New Roman" w:eastAsia="仿宋_GB2312" w:cs="仿宋_GB2312"/>
          <w:color w:val="000000"/>
          <w:kern w:val="0"/>
          <w:sz w:val="32"/>
          <w:szCs w:val="32"/>
          <w:lang w:val="en-US" w:eastAsia="zh-CN" w:bidi="ar-SA"/>
        </w:rPr>
        <w:t>1</w:t>
      </w:r>
      <w:r>
        <w:rPr>
          <w:rFonts w:hint="default" w:ascii="Times New Roman" w:hAnsi="Times New Roman" w:eastAsia="仿宋_GB2312" w:cs="仿宋_GB2312"/>
          <w:color w:val="000000"/>
          <w:kern w:val="0"/>
          <w:sz w:val="32"/>
          <w:szCs w:val="32"/>
          <w:lang w:val="en-US" w:eastAsia="zh-CN" w:bidi="ar-SA"/>
        </w:rPr>
        <w:t>个，</w:t>
      </w:r>
      <w:r>
        <w:rPr>
          <w:rFonts w:hint="eastAsia" w:ascii="Times New Roman" w:hAnsi="Times New Roman" w:eastAsia="仿宋_GB2312" w:cs="仿宋_GB2312"/>
          <w:color w:val="000000"/>
          <w:kern w:val="0"/>
          <w:sz w:val="32"/>
          <w:szCs w:val="32"/>
          <w:lang w:val="en-US" w:eastAsia="zh-CN" w:bidi="ar-SA"/>
        </w:rPr>
        <w:t>为综合办公室，</w:t>
      </w:r>
      <w:r>
        <w:rPr>
          <w:rFonts w:hint="default" w:ascii="Times New Roman" w:hAnsi="Times New Roman" w:eastAsia="仿宋_GB2312" w:cs="仿宋_GB2312"/>
          <w:color w:val="000000"/>
          <w:kern w:val="0"/>
          <w:sz w:val="32"/>
          <w:szCs w:val="32"/>
          <w:lang w:val="en-US" w:eastAsia="zh-CN" w:bidi="ar-SA"/>
        </w:rPr>
        <w:t>纳入本年部门决算</w:t>
      </w:r>
      <w:r>
        <w:rPr>
          <w:rFonts w:hint="eastAsia" w:ascii="Times New Roman" w:hAnsi="Times New Roman" w:eastAsia="仿宋_GB2312" w:cs="仿宋_GB2312"/>
          <w:color w:val="000000"/>
          <w:kern w:val="0"/>
          <w:sz w:val="32"/>
          <w:szCs w:val="32"/>
          <w:lang w:val="en-US" w:eastAsia="zh-CN" w:bidi="ar-SA"/>
        </w:rPr>
        <w:t>。</w:t>
      </w:r>
    </w:p>
    <w:p>
      <w:pPr>
        <w:widowControl/>
        <w:numPr>
          <w:ilvl w:val="0"/>
          <w:numId w:val="2"/>
        </w:numPr>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p>
    <w:p>
      <w:pPr>
        <w:widowControl/>
        <w:spacing w:line="600" w:lineRule="exact"/>
        <w:ind w:firstLine="640" w:firstLineChars="200"/>
        <w:rPr>
          <w:rFonts w:hint="default"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从决算单位构成看，湖南省株洲市石峰区文学艺术界联合会2023</w:t>
      </w:r>
      <w:r>
        <w:rPr>
          <w:rFonts w:hint="default" w:ascii="Times New Roman" w:hAnsi="Times New Roman" w:eastAsia="仿宋_GB2312" w:cs="仿宋_GB2312"/>
          <w:color w:val="000000"/>
          <w:kern w:val="0"/>
          <w:sz w:val="32"/>
          <w:szCs w:val="32"/>
          <w:lang w:val="en-US" w:eastAsia="zh-CN" w:bidi="ar-SA"/>
        </w:rPr>
        <w:t>年部门决算汇总公开单位构成包括：</w:t>
      </w:r>
      <w:r>
        <w:rPr>
          <w:rFonts w:hint="eastAsia" w:ascii="Times New Roman" w:hAnsi="Times New Roman" w:eastAsia="仿宋_GB2312" w:cs="仿宋_GB2312"/>
          <w:color w:val="000000"/>
          <w:kern w:val="0"/>
          <w:sz w:val="32"/>
          <w:szCs w:val="32"/>
          <w:lang w:val="en-US" w:eastAsia="zh-CN" w:bidi="ar-SA"/>
        </w:rPr>
        <w:t>湖南省株洲市石峰区文学艺术界联合会</w:t>
      </w:r>
      <w:r>
        <w:rPr>
          <w:rFonts w:hint="default" w:ascii="Times New Roman" w:hAnsi="Times New Roman" w:eastAsia="仿宋_GB2312" w:cs="仿宋_GB2312"/>
          <w:color w:val="000000"/>
          <w:kern w:val="0"/>
          <w:sz w:val="32"/>
          <w:szCs w:val="32"/>
          <w:lang w:val="en-US" w:eastAsia="zh-CN" w:bidi="ar-SA"/>
        </w:rPr>
        <w:t>本级，我</w:t>
      </w:r>
      <w:r>
        <w:rPr>
          <w:rFonts w:hint="eastAsia" w:ascii="Times New Roman" w:hAnsi="Times New Roman" w:eastAsia="仿宋_GB2312" w:cs="仿宋_GB2312"/>
          <w:color w:val="000000"/>
          <w:kern w:val="0"/>
          <w:sz w:val="32"/>
          <w:szCs w:val="32"/>
          <w:lang w:val="en-US" w:eastAsia="zh-CN" w:bidi="ar-SA"/>
        </w:rPr>
        <w:t>单位无</w:t>
      </w:r>
      <w:r>
        <w:rPr>
          <w:rFonts w:hint="default" w:ascii="Times New Roman" w:hAnsi="Times New Roman" w:eastAsia="仿宋_GB2312" w:cs="仿宋_GB2312"/>
          <w:color w:val="000000"/>
          <w:kern w:val="0"/>
          <w:sz w:val="32"/>
          <w:szCs w:val="32"/>
          <w:lang w:val="en-US" w:eastAsia="zh-CN" w:bidi="ar-SA"/>
        </w:rPr>
        <w:t>其他二级决算单位。</w:t>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pPr>
        <w:pStyle w:val="18"/>
        <w:jc w:val="center"/>
        <w:rPr>
          <w:rFonts w:ascii="Times New Roman" w:hAnsi="Times New Roman" w:eastAsia="方正小标宋简体" w:cs="Times New Roman"/>
          <w:sz w:val="76"/>
          <w:szCs w:val="76"/>
        </w:rPr>
      </w:pPr>
    </w:p>
    <w:p>
      <w:pPr>
        <w:pStyle w:val="18"/>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pPr>
        <w:rPr>
          <w:rFonts w:ascii="Times New Roman" w:hAnsi="Times New Roman" w:eastAsia="仿宋_GB2312" w:cs="Times New Roman"/>
          <w:sz w:val="72"/>
          <w:szCs w:val="72"/>
        </w:rPr>
      </w:pPr>
    </w:p>
    <w:p>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pPr>
        <w:pStyle w:val="18"/>
        <w:jc w:val="center"/>
        <w:rPr>
          <w:rFonts w:ascii="Times New Roman" w:hAnsi="Times New Roman" w:eastAsia="方正小标宋简体" w:cs="Times New Roman"/>
          <w:sz w:val="76"/>
          <w:szCs w:val="76"/>
        </w:rPr>
      </w:pPr>
    </w:p>
    <w:p>
      <w:pPr>
        <w:pStyle w:val="18"/>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pPr>
        <w:pStyle w:val="18"/>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一、收入支出决算总体情况说明</w:t>
      </w:r>
    </w:p>
    <w:p>
      <w:pPr>
        <w:pStyle w:val="18"/>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2023年度收、支总计44.13万元。与上年相比，增加10.23万元，增加30.18%，主要是因为人员职务职级晋升，人员经费增加，项目经费增加。</w:t>
      </w:r>
    </w:p>
    <w:p>
      <w:pPr>
        <w:pStyle w:val="18"/>
        <w:spacing w:line="57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二、收入决算情况说明</w:t>
      </w:r>
    </w:p>
    <w:p>
      <w:pPr>
        <w:pStyle w:val="18"/>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2023年度收入合计44.13万元，其中：财政拨款收入44.13万元，占100%。</w:t>
      </w:r>
    </w:p>
    <w:p>
      <w:pPr>
        <w:pStyle w:val="18"/>
        <w:spacing w:line="57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三、支出决算情况说明</w:t>
      </w:r>
    </w:p>
    <w:p>
      <w:pPr>
        <w:pStyle w:val="18"/>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2023年度支出合计44.13万元，其中：基本支出35.90万元，占81.37%；项目支出8.22万元，占18.63%。</w:t>
      </w:r>
    </w:p>
    <w:p>
      <w:pPr>
        <w:pStyle w:val="18"/>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四、财政拨款收入支出决算总体情况说明</w:t>
      </w:r>
    </w:p>
    <w:p>
      <w:pPr>
        <w:pStyle w:val="18"/>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2023年度财政拨款收、支总计44.13万元，与上年相比，增加13.23万元,增加42.82%，主要是因为人员职务职级晋升，人员经费增加，项目经费增加。</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（一）财政拨款支出决算总体情况</w:t>
      </w:r>
    </w:p>
    <w:p>
      <w:pPr>
        <w:pStyle w:val="18"/>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2023年度财政拨款支出44.13万元，占本年支出合计的100%，与上年相比，增加13.23万元,增加42.82%，主要是因为人员职务职级晋升，人员经费增加，项目经费增加。</w:t>
      </w:r>
    </w:p>
    <w:p>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（二）财政拨款支出决算结构情况</w:t>
      </w:r>
    </w:p>
    <w:p>
      <w:pPr>
        <w:pStyle w:val="8"/>
        <w:autoSpaceDE w:val="0"/>
        <w:autoSpaceDN w:val="0"/>
        <w:adjustRightInd w:val="0"/>
        <w:spacing w:line="570" w:lineRule="exact"/>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2023年度财政拨款支出44.13万元，主要用于以下方面：一般公共服务（类）支出44.13万元，占100%。</w:t>
      </w:r>
    </w:p>
    <w:p>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（三）财政拨款支出决算具体情况</w:t>
      </w:r>
    </w:p>
    <w:p>
      <w:pPr>
        <w:pStyle w:val="8"/>
        <w:autoSpaceDE w:val="0"/>
        <w:autoSpaceDN w:val="0"/>
        <w:adjustRightInd w:val="0"/>
        <w:spacing w:line="57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年度财政拨款支出年初预算数为</w:t>
      </w:r>
      <w:r>
        <w:rPr>
          <w:rFonts w:hint="eastAsia" w:ascii="Times New Roman" w:hAnsi="Times New Roman" w:eastAsia="仿宋_GB2312" w:cs="仿宋_GB2312"/>
          <w:color w:val="000000"/>
          <w:kern w:val="0"/>
          <w:sz w:val="32"/>
          <w:szCs w:val="32"/>
          <w:lang w:val="en-US" w:eastAsia="zh-CN"/>
        </w:rPr>
        <w:t>35.20</w:t>
      </w:r>
      <w:r>
        <w:rPr>
          <w:rFonts w:hint="eastAsia" w:ascii="Times New Roman" w:hAnsi="Times New Roman" w:eastAsia="仿宋_GB2312" w:cs="仿宋_GB2312"/>
          <w:color w:val="000000"/>
          <w:kern w:val="0"/>
          <w:sz w:val="32"/>
          <w:szCs w:val="32"/>
        </w:rPr>
        <w:t>万元，支出决算数为</w:t>
      </w:r>
      <w:r>
        <w:rPr>
          <w:rFonts w:hint="eastAsia" w:ascii="Times New Roman" w:hAnsi="Times New Roman" w:eastAsia="仿宋_GB2312" w:cs="仿宋_GB2312"/>
          <w:color w:val="000000"/>
          <w:kern w:val="0"/>
          <w:sz w:val="32"/>
          <w:szCs w:val="32"/>
          <w:lang w:val="en-US" w:eastAsia="zh-CN"/>
        </w:rPr>
        <w:t>44.13</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完成年初预算的</w:t>
      </w:r>
      <w:r>
        <w:rPr>
          <w:rFonts w:hint="eastAsia" w:ascii="Times New Roman" w:hAnsi="Times New Roman" w:eastAsia="仿宋_GB2312" w:cs="仿宋_GB2312"/>
          <w:color w:val="000000"/>
          <w:kern w:val="0"/>
          <w:sz w:val="32"/>
          <w:szCs w:val="32"/>
          <w:lang w:val="en-US" w:eastAsia="zh-CN"/>
        </w:rPr>
        <w:t>125.37</w:t>
      </w:r>
      <w:r>
        <w:rPr>
          <w:rFonts w:hint="eastAsia" w:ascii="Times New Roman" w:hAnsi="Times New Roman" w:eastAsia="仿宋_GB2312" w:cs="仿宋_GB2312"/>
          <w:color w:val="000000"/>
          <w:kern w:val="0"/>
          <w:sz w:val="32"/>
          <w:szCs w:val="32"/>
        </w:rPr>
        <w:t>%，其中：</w:t>
      </w:r>
    </w:p>
    <w:p>
      <w:pPr>
        <w:pStyle w:val="8"/>
        <w:autoSpaceDE w:val="0"/>
        <w:autoSpaceDN w:val="0"/>
        <w:adjustRightInd w:val="0"/>
        <w:spacing w:line="57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1、一般公共服务（类）</w:t>
      </w:r>
      <w:r>
        <w:rPr>
          <w:rFonts w:hint="eastAsia" w:ascii="Times New Roman" w:hAnsi="Times New Roman" w:eastAsia="仿宋_GB2312" w:cs="仿宋_GB2312"/>
          <w:color w:val="000000"/>
          <w:kern w:val="0"/>
          <w:sz w:val="32"/>
          <w:szCs w:val="32"/>
          <w:lang w:eastAsia="zh-CN"/>
        </w:rPr>
        <w:t>宣传事务</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行政运行</w:t>
      </w:r>
      <w:r>
        <w:rPr>
          <w:rFonts w:hint="eastAsia" w:ascii="Times New Roman" w:hAnsi="Times New Roman" w:eastAsia="仿宋_GB2312" w:cs="仿宋_GB2312"/>
          <w:color w:val="000000"/>
          <w:kern w:val="0"/>
          <w:sz w:val="32"/>
          <w:szCs w:val="32"/>
        </w:rPr>
        <w:t>（项）。</w:t>
      </w:r>
    </w:p>
    <w:p>
      <w:pPr>
        <w:pStyle w:val="8"/>
        <w:autoSpaceDE w:val="0"/>
        <w:autoSpaceDN w:val="0"/>
        <w:adjustRightInd w:val="0"/>
        <w:spacing w:line="57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年初预算为</w:t>
      </w:r>
      <w:r>
        <w:rPr>
          <w:rFonts w:hint="eastAsia" w:ascii="Times New Roman" w:hAnsi="Times New Roman" w:eastAsia="仿宋_GB2312" w:cs="仿宋_GB2312"/>
          <w:color w:val="000000"/>
          <w:kern w:val="0"/>
          <w:sz w:val="32"/>
          <w:szCs w:val="32"/>
          <w:lang w:val="en-US" w:eastAsia="zh-CN"/>
        </w:rPr>
        <w:t>32.20</w:t>
      </w:r>
      <w:r>
        <w:rPr>
          <w:rFonts w:hint="eastAsia" w:ascii="Times New Roman" w:hAnsi="Times New Roman" w:eastAsia="仿宋_GB2312" w:cs="仿宋_GB2312"/>
          <w:color w:val="000000"/>
          <w:kern w:val="0"/>
          <w:sz w:val="32"/>
          <w:szCs w:val="32"/>
        </w:rPr>
        <w:t>万元，支出决算为</w:t>
      </w:r>
      <w:r>
        <w:rPr>
          <w:rFonts w:hint="eastAsia" w:ascii="Times New Roman" w:hAnsi="Times New Roman" w:eastAsia="仿宋_GB2312" w:cs="仿宋_GB2312"/>
          <w:color w:val="000000"/>
          <w:kern w:val="0"/>
          <w:sz w:val="32"/>
          <w:szCs w:val="32"/>
          <w:lang w:val="en-US" w:eastAsia="zh-CN"/>
        </w:rPr>
        <w:t>35.90</w:t>
      </w:r>
      <w:r>
        <w:rPr>
          <w:rFonts w:hint="eastAsia" w:ascii="Times New Roman" w:hAnsi="Times New Roman" w:eastAsia="仿宋_GB2312" w:cs="仿宋_GB2312"/>
          <w:color w:val="000000"/>
          <w:kern w:val="0"/>
          <w:sz w:val="32"/>
          <w:szCs w:val="32"/>
        </w:rPr>
        <w:t>万元，完成年初预算的</w:t>
      </w:r>
      <w:r>
        <w:rPr>
          <w:rFonts w:hint="eastAsia" w:ascii="Times New Roman" w:hAnsi="Times New Roman" w:eastAsia="仿宋_GB2312" w:cs="仿宋_GB2312"/>
          <w:color w:val="000000"/>
          <w:kern w:val="0"/>
          <w:sz w:val="32"/>
          <w:szCs w:val="32"/>
          <w:lang w:val="en-US" w:eastAsia="zh-CN"/>
        </w:rPr>
        <w:t>111.49</w:t>
      </w:r>
      <w:r>
        <w:rPr>
          <w:rFonts w:hint="eastAsia" w:ascii="Times New Roman" w:hAnsi="Times New Roman" w:eastAsia="仿宋_GB2312" w:cs="仿宋_GB2312"/>
          <w:color w:val="000000"/>
          <w:kern w:val="0"/>
          <w:sz w:val="32"/>
          <w:szCs w:val="32"/>
        </w:rPr>
        <w:t>%，决算数大于年初预算数的主要原因是：</w:t>
      </w:r>
      <w:r>
        <w:rPr>
          <w:rFonts w:hint="eastAsia" w:ascii="Times New Roman" w:hAnsi="Times New Roman" w:eastAsia="仿宋_GB2312" w:cs="仿宋_GB2312"/>
          <w:color w:val="000000"/>
          <w:kern w:val="0"/>
          <w:sz w:val="32"/>
          <w:szCs w:val="32"/>
          <w:lang w:val="en-US" w:eastAsia="zh-CN" w:bidi="ar-SA"/>
        </w:rPr>
        <w:t>人员职务职级晋升，人员经费增加</w:t>
      </w:r>
      <w:r>
        <w:rPr>
          <w:rFonts w:hint="eastAsia" w:ascii="Times New Roman" w:hAnsi="Times New Roman" w:eastAsia="仿宋_GB2312" w:cs="仿宋_GB2312"/>
          <w:color w:val="000000"/>
          <w:kern w:val="0"/>
          <w:sz w:val="32"/>
          <w:szCs w:val="32"/>
          <w:lang w:eastAsia="zh-CN"/>
        </w:rPr>
        <w:t>。</w:t>
      </w:r>
    </w:p>
    <w:p>
      <w:pPr>
        <w:pStyle w:val="8"/>
        <w:autoSpaceDE w:val="0"/>
        <w:autoSpaceDN w:val="0"/>
        <w:adjustRightInd w:val="0"/>
        <w:spacing w:line="57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2、一般公共服务（类）</w:t>
      </w:r>
      <w:r>
        <w:rPr>
          <w:rFonts w:hint="eastAsia" w:ascii="Times New Roman" w:hAnsi="Times New Roman" w:eastAsia="仿宋_GB2312" w:cs="仿宋_GB2312"/>
          <w:color w:val="000000"/>
          <w:kern w:val="0"/>
          <w:sz w:val="32"/>
          <w:szCs w:val="32"/>
          <w:lang w:eastAsia="zh-CN"/>
        </w:rPr>
        <w:t>宣传事务</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一般行政管理事务</w:t>
      </w:r>
      <w:r>
        <w:rPr>
          <w:rFonts w:hint="eastAsia" w:ascii="Times New Roman" w:hAnsi="Times New Roman" w:eastAsia="仿宋_GB2312" w:cs="仿宋_GB2312"/>
          <w:color w:val="000000"/>
          <w:kern w:val="0"/>
          <w:sz w:val="32"/>
          <w:szCs w:val="32"/>
        </w:rPr>
        <w:t>（项）。</w:t>
      </w:r>
    </w:p>
    <w:p>
      <w:pPr>
        <w:pStyle w:val="8"/>
        <w:autoSpaceDE w:val="0"/>
        <w:autoSpaceDN w:val="0"/>
        <w:adjustRightInd w:val="0"/>
        <w:spacing w:line="57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年初预算为</w:t>
      </w:r>
      <w:r>
        <w:rPr>
          <w:rFonts w:hint="eastAsia" w:ascii="Times New Roman" w:hAnsi="Times New Roman" w:eastAsia="仿宋_GB2312" w:cs="仿宋_GB2312"/>
          <w:color w:val="000000"/>
          <w:kern w:val="0"/>
          <w:sz w:val="32"/>
          <w:szCs w:val="32"/>
          <w:lang w:val="en-US" w:eastAsia="zh-CN"/>
        </w:rPr>
        <w:t>3.00</w:t>
      </w:r>
      <w:r>
        <w:rPr>
          <w:rFonts w:hint="eastAsia" w:ascii="Times New Roman" w:hAnsi="Times New Roman" w:eastAsia="仿宋_GB2312" w:cs="仿宋_GB2312"/>
          <w:color w:val="000000"/>
          <w:kern w:val="0"/>
          <w:sz w:val="32"/>
          <w:szCs w:val="32"/>
        </w:rPr>
        <w:t>万元，支出决算为</w:t>
      </w:r>
      <w:r>
        <w:rPr>
          <w:rFonts w:hint="eastAsia" w:ascii="Times New Roman" w:hAnsi="Times New Roman" w:eastAsia="仿宋_GB2312" w:cs="仿宋_GB2312"/>
          <w:color w:val="000000"/>
          <w:kern w:val="0"/>
          <w:sz w:val="32"/>
          <w:szCs w:val="32"/>
          <w:lang w:val="en-US" w:eastAsia="zh-CN"/>
        </w:rPr>
        <w:t>3.98</w:t>
      </w:r>
      <w:r>
        <w:rPr>
          <w:rFonts w:hint="eastAsia" w:ascii="Times New Roman" w:hAnsi="Times New Roman" w:eastAsia="仿宋_GB2312" w:cs="仿宋_GB2312"/>
          <w:color w:val="000000"/>
          <w:kern w:val="0"/>
          <w:sz w:val="32"/>
          <w:szCs w:val="32"/>
        </w:rPr>
        <w:t>万元，完成年初预算的</w:t>
      </w:r>
      <w:r>
        <w:rPr>
          <w:rFonts w:hint="eastAsia" w:ascii="Times New Roman" w:hAnsi="Times New Roman" w:eastAsia="仿宋_GB2312" w:cs="仿宋_GB2312"/>
          <w:color w:val="000000"/>
          <w:kern w:val="0"/>
          <w:sz w:val="32"/>
          <w:szCs w:val="32"/>
          <w:lang w:val="en-US" w:eastAsia="zh-CN"/>
        </w:rPr>
        <w:t>100</w:t>
      </w:r>
      <w:r>
        <w:rPr>
          <w:rFonts w:hint="eastAsia" w:ascii="Times New Roman" w:hAnsi="Times New Roman" w:eastAsia="仿宋_GB2312" w:cs="仿宋_GB2312"/>
          <w:color w:val="000000"/>
          <w:kern w:val="0"/>
          <w:sz w:val="32"/>
          <w:szCs w:val="32"/>
        </w:rPr>
        <w:t>%，决算数大于年初预算数的主要原因是：</w:t>
      </w:r>
      <w:r>
        <w:rPr>
          <w:rFonts w:hint="eastAsia" w:ascii="Times New Roman" w:hAnsi="Times New Roman" w:eastAsia="仿宋_GB2312" w:cs="仿宋_GB2312"/>
          <w:color w:val="000000"/>
          <w:kern w:val="0"/>
          <w:sz w:val="32"/>
          <w:szCs w:val="32"/>
          <w:lang w:eastAsia="zh-CN"/>
        </w:rPr>
        <w:t>项目增加经费增加。</w:t>
      </w:r>
    </w:p>
    <w:p>
      <w:pPr>
        <w:pStyle w:val="8"/>
        <w:autoSpaceDE w:val="0"/>
        <w:autoSpaceDN w:val="0"/>
        <w:adjustRightInd w:val="0"/>
        <w:spacing w:line="57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、一般公共服务（类）</w:t>
      </w:r>
      <w:r>
        <w:rPr>
          <w:rFonts w:hint="eastAsia" w:ascii="Times New Roman" w:hAnsi="Times New Roman" w:eastAsia="仿宋_GB2312" w:cs="仿宋_GB2312"/>
          <w:color w:val="000000"/>
          <w:kern w:val="0"/>
          <w:sz w:val="32"/>
          <w:szCs w:val="32"/>
          <w:lang w:eastAsia="zh-CN"/>
        </w:rPr>
        <w:t>宣传事务</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其他宣传事务支出</w:t>
      </w:r>
      <w:r>
        <w:rPr>
          <w:rFonts w:hint="eastAsia" w:ascii="Times New Roman" w:hAnsi="Times New Roman" w:eastAsia="仿宋_GB2312" w:cs="仿宋_GB2312"/>
          <w:color w:val="000000"/>
          <w:kern w:val="0"/>
          <w:sz w:val="32"/>
          <w:szCs w:val="32"/>
        </w:rPr>
        <w:t>（项）。</w:t>
      </w:r>
    </w:p>
    <w:p>
      <w:pPr>
        <w:pStyle w:val="8"/>
        <w:autoSpaceDE w:val="0"/>
        <w:autoSpaceDN w:val="0"/>
        <w:adjustRightInd w:val="0"/>
        <w:spacing w:line="57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年初预算为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万元，支出决算为</w:t>
      </w:r>
      <w:r>
        <w:rPr>
          <w:rFonts w:hint="eastAsia" w:ascii="Times New Roman" w:hAnsi="Times New Roman" w:eastAsia="仿宋_GB2312" w:cs="仿宋_GB2312"/>
          <w:color w:val="000000"/>
          <w:kern w:val="0"/>
          <w:sz w:val="32"/>
          <w:szCs w:val="32"/>
          <w:lang w:val="en-US" w:eastAsia="zh-CN"/>
        </w:rPr>
        <w:t>4.24</w:t>
      </w:r>
      <w:r>
        <w:rPr>
          <w:rFonts w:hint="eastAsia" w:ascii="Times New Roman" w:hAnsi="Times New Roman" w:eastAsia="仿宋_GB2312" w:cs="仿宋_GB2312"/>
          <w:color w:val="000000"/>
          <w:kern w:val="0"/>
          <w:sz w:val="32"/>
          <w:szCs w:val="32"/>
        </w:rPr>
        <w:t>万元，完成年初预算的</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%，决算数</w:t>
      </w:r>
      <w:r>
        <w:rPr>
          <w:rFonts w:hint="eastAsia" w:ascii="Times New Roman" w:hAnsi="Times New Roman" w:eastAsia="仿宋_GB2312" w:cs="仿宋_GB2312"/>
          <w:color w:val="000000"/>
          <w:kern w:val="0"/>
          <w:sz w:val="32"/>
          <w:szCs w:val="32"/>
          <w:lang w:eastAsia="zh-CN"/>
        </w:rPr>
        <w:t>大于</w:t>
      </w:r>
      <w:r>
        <w:rPr>
          <w:rFonts w:hint="eastAsia" w:ascii="Times New Roman" w:hAnsi="Times New Roman" w:eastAsia="仿宋_GB2312" w:cs="仿宋_GB2312"/>
          <w:color w:val="000000"/>
          <w:kern w:val="0"/>
          <w:sz w:val="32"/>
          <w:szCs w:val="32"/>
        </w:rPr>
        <w:t>年初预算数的主要原因是</w:t>
      </w:r>
      <w:r>
        <w:rPr>
          <w:rFonts w:hint="eastAsia" w:ascii="Times New Roman" w:hAnsi="Times New Roman" w:eastAsia="仿宋_GB2312" w:cs="仿宋_GB2312"/>
          <w:color w:val="000000"/>
          <w:kern w:val="0"/>
          <w:sz w:val="32"/>
          <w:szCs w:val="32"/>
          <w:lang w:eastAsia="zh-CN"/>
        </w:rPr>
        <w:t>：项目增加经费增加。</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六、一般公共预算财政拨款基本支出决算情况说明</w:t>
      </w:r>
    </w:p>
    <w:p>
      <w:pPr>
        <w:pStyle w:val="8"/>
        <w:autoSpaceDE w:val="0"/>
        <w:autoSpaceDN w:val="0"/>
        <w:adjustRightInd w:val="0"/>
        <w:spacing w:line="57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年度财政拨款基本支出</w:t>
      </w:r>
      <w:r>
        <w:rPr>
          <w:rFonts w:hint="eastAsia" w:ascii="Times New Roman" w:hAnsi="Times New Roman" w:eastAsia="仿宋_GB2312" w:cs="仿宋_GB2312"/>
          <w:color w:val="000000"/>
          <w:kern w:val="0"/>
          <w:sz w:val="32"/>
          <w:szCs w:val="32"/>
          <w:lang w:val="en-US" w:eastAsia="zh-CN"/>
        </w:rPr>
        <w:t>35.90</w:t>
      </w:r>
      <w:r>
        <w:rPr>
          <w:rFonts w:hint="eastAsia" w:ascii="Times New Roman" w:hAnsi="Times New Roman" w:eastAsia="仿宋_GB2312" w:cs="仿宋_GB2312"/>
          <w:color w:val="000000"/>
          <w:kern w:val="0"/>
          <w:sz w:val="32"/>
          <w:szCs w:val="32"/>
        </w:rPr>
        <w:t>万元，其中：人员经费</w:t>
      </w:r>
      <w:r>
        <w:rPr>
          <w:rFonts w:hint="eastAsia" w:ascii="Times New Roman" w:hAnsi="Times New Roman" w:eastAsia="仿宋_GB2312" w:cs="仿宋_GB2312"/>
          <w:color w:val="000000"/>
          <w:kern w:val="0"/>
          <w:sz w:val="32"/>
          <w:szCs w:val="32"/>
          <w:lang w:val="en-US" w:eastAsia="zh-CN"/>
        </w:rPr>
        <w:t>30.98</w:t>
      </w:r>
      <w:r>
        <w:rPr>
          <w:rFonts w:hint="eastAsia" w:ascii="Times New Roman" w:hAnsi="Times New Roman" w:eastAsia="仿宋_GB2312" w:cs="仿宋_GB2312"/>
          <w:color w:val="000000"/>
          <w:kern w:val="0"/>
          <w:sz w:val="32"/>
          <w:szCs w:val="32"/>
        </w:rPr>
        <w:t>万元，占基本支出的</w:t>
      </w:r>
      <w:r>
        <w:rPr>
          <w:rFonts w:hint="eastAsia" w:ascii="Times New Roman" w:hAnsi="Times New Roman" w:eastAsia="仿宋_GB2312" w:cs="仿宋_GB2312"/>
          <w:color w:val="000000"/>
          <w:kern w:val="0"/>
          <w:sz w:val="32"/>
          <w:szCs w:val="32"/>
          <w:lang w:val="en-US" w:eastAsia="zh-CN"/>
        </w:rPr>
        <w:t>86.30</w:t>
      </w:r>
      <w:r>
        <w:rPr>
          <w:rFonts w:hint="eastAsia" w:ascii="Times New Roman" w:hAnsi="Times New Roman" w:eastAsia="仿宋_GB2312" w:cs="仿宋_GB2312"/>
          <w:color w:val="000000"/>
          <w:kern w:val="0"/>
          <w:sz w:val="32"/>
          <w:szCs w:val="32"/>
        </w:rPr>
        <w:t>%,主要包括基本工资、津贴补贴、奖金、伙食补助费</w:t>
      </w:r>
      <w:r>
        <w:rPr>
          <w:rFonts w:hint="eastAsia" w:ascii="Times New Roman" w:hAnsi="Times New Roman" w:eastAsia="仿宋_GB2312" w:cs="仿宋_GB2312"/>
          <w:color w:val="000000"/>
          <w:kern w:val="0"/>
          <w:sz w:val="32"/>
          <w:szCs w:val="32"/>
          <w:lang w:eastAsia="zh-CN"/>
        </w:rPr>
        <w:t>、机关事业单位养老保险缴费、职工医疗保险缴费、公务员医疗补助缴费、</w:t>
      </w:r>
      <w:r>
        <w:rPr>
          <w:rFonts w:hint="eastAsia" w:ascii="Times New Roman" w:hAnsi="Times New Roman" w:eastAsia="仿宋_GB2312" w:cs="仿宋_GB2312"/>
          <w:color w:val="000000"/>
          <w:kern w:val="0"/>
          <w:sz w:val="32"/>
          <w:szCs w:val="32"/>
          <w:lang w:val="en-US" w:eastAsia="zh-CN"/>
        </w:rPr>
        <w:t>其他社会保障缴费、</w:t>
      </w:r>
      <w:r>
        <w:rPr>
          <w:rFonts w:hint="eastAsia" w:ascii="Times New Roman" w:hAnsi="Times New Roman" w:eastAsia="仿宋_GB2312" w:cs="仿宋_GB2312"/>
          <w:color w:val="000000"/>
          <w:kern w:val="0"/>
          <w:sz w:val="32"/>
          <w:szCs w:val="32"/>
          <w:lang w:eastAsia="zh-CN"/>
        </w:rPr>
        <w:t>住房公积金、</w:t>
      </w:r>
      <w:r>
        <w:rPr>
          <w:rFonts w:hint="eastAsia" w:ascii="Times New Roman" w:hAnsi="Times New Roman" w:eastAsia="仿宋_GB2312" w:cs="仿宋_GB2312"/>
          <w:color w:val="000000"/>
          <w:kern w:val="0"/>
          <w:sz w:val="32"/>
          <w:szCs w:val="32"/>
          <w:lang w:val="en-US" w:eastAsia="zh-CN"/>
        </w:rPr>
        <w:t>对个人和家庭的补助、</w:t>
      </w:r>
      <w:r>
        <w:rPr>
          <w:rFonts w:hint="eastAsia" w:ascii="Times New Roman" w:hAnsi="Times New Roman" w:eastAsia="仿宋_GB2312" w:cs="仿宋_GB2312"/>
          <w:color w:val="000000"/>
          <w:kern w:val="0"/>
          <w:sz w:val="32"/>
          <w:szCs w:val="32"/>
          <w:lang w:eastAsia="zh-CN"/>
        </w:rPr>
        <w:t>奖励金等</w:t>
      </w: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4.92</w:t>
      </w:r>
      <w:r>
        <w:rPr>
          <w:rFonts w:hint="eastAsia" w:ascii="Times New Roman" w:hAnsi="Times New Roman" w:eastAsia="仿宋_GB2312" w:cs="仿宋_GB2312"/>
          <w:color w:val="000000"/>
          <w:kern w:val="0"/>
          <w:sz w:val="32"/>
          <w:szCs w:val="32"/>
        </w:rPr>
        <w:t>万元，占基本支出的</w:t>
      </w:r>
      <w:r>
        <w:rPr>
          <w:rFonts w:hint="eastAsia" w:ascii="Times New Roman" w:hAnsi="Times New Roman" w:eastAsia="仿宋_GB2312" w:cs="仿宋_GB2312"/>
          <w:color w:val="000000"/>
          <w:kern w:val="0"/>
          <w:sz w:val="32"/>
          <w:szCs w:val="32"/>
          <w:lang w:val="en-US" w:eastAsia="zh-CN"/>
        </w:rPr>
        <w:t>13.70</w:t>
      </w:r>
      <w:r>
        <w:rPr>
          <w:rFonts w:hint="eastAsia" w:ascii="Times New Roman" w:hAnsi="Times New Roman" w:eastAsia="仿宋_GB2312" w:cs="仿宋_GB2312"/>
          <w:color w:val="000000"/>
          <w:kern w:val="0"/>
          <w:sz w:val="32"/>
          <w:szCs w:val="32"/>
        </w:rPr>
        <w:t>%，主要包括办公费、</w:t>
      </w:r>
      <w:r>
        <w:rPr>
          <w:rFonts w:hint="eastAsia" w:ascii="Times New Roman" w:hAnsi="Times New Roman" w:eastAsia="仿宋_GB2312" w:cs="仿宋_GB2312"/>
          <w:color w:val="000000"/>
          <w:kern w:val="0"/>
          <w:sz w:val="32"/>
          <w:szCs w:val="32"/>
          <w:lang w:eastAsia="zh-CN"/>
        </w:rPr>
        <w:t>印刷费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val="en-US" w:eastAsia="zh-CN"/>
        </w:rPr>
        <w:t>培训费</w:t>
      </w:r>
      <w:r>
        <w:rPr>
          <w:rFonts w:hint="eastAsia" w:ascii="Times New Roman" w:hAnsi="Times New Roman" w:eastAsia="仿宋_GB2312" w:cs="仿宋_GB2312"/>
          <w:color w:val="000000"/>
          <w:kern w:val="0"/>
          <w:sz w:val="32"/>
          <w:szCs w:val="32"/>
          <w:lang w:eastAsia="zh-CN"/>
        </w:rPr>
        <w:t>、工会经费、其他交通费用</w:t>
      </w:r>
      <w:r>
        <w:rPr>
          <w:rFonts w:hint="eastAsia" w:ascii="Times New Roman" w:hAnsi="Times New Roman" w:eastAsia="仿宋_GB2312" w:cs="仿宋_GB2312"/>
          <w:color w:val="000000"/>
          <w:kern w:val="0"/>
          <w:sz w:val="32"/>
          <w:szCs w:val="32"/>
        </w:rPr>
        <w:t>。</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pPr>
        <w:pStyle w:val="18"/>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2023年度“三公”经费财政拨款支出预算为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万元，决算数等于预算数,其中：</w:t>
      </w:r>
    </w:p>
    <w:p>
      <w:pPr>
        <w:pStyle w:val="18"/>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因公出国（境）费支出预算为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pPr>
        <w:pStyle w:val="18"/>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公务接待费支出预算为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pPr>
        <w:pStyle w:val="18"/>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公务用车购置费支出预算为0万元，支出决算为0万元，决算数等于预算数。</w:t>
      </w:r>
    </w:p>
    <w:p>
      <w:pPr>
        <w:pStyle w:val="18"/>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公务用车运行维护费支出预算为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pPr>
        <w:pStyle w:val="18"/>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8"/>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%,公务用车购置费及运行维护费支出决算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%。其中：</w:t>
      </w:r>
    </w:p>
    <w:p>
      <w:pPr>
        <w:pStyle w:val="18"/>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人次。    </w:t>
      </w:r>
    </w:p>
    <w:p>
      <w:pPr>
        <w:pStyle w:val="18"/>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人次。</w:t>
      </w:r>
    </w:p>
    <w:p>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八、政府性基金预算收入支出决算情况</w:t>
      </w:r>
    </w:p>
    <w:p>
      <w:pPr>
        <w:pStyle w:val="8"/>
        <w:autoSpaceDE w:val="0"/>
        <w:autoSpaceDN w:val="0"/>
        <w:adjustRightInd w:val="0"/>
        <w:spacing w:line="57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年度政府性基金预算财政拨款收入</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万元；年初结转和结余</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万元，其中基本支出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万元，项目支出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万元；年末结转和结余</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val="en-US" w:eastAsia="zh-CN"/>
        </w:rPr>
        <w:t>2020年度</w:t>
      </w:r>
      <w:r>
        <w:rPr>
          <w:rFonts w:hint="eastAsia" w:ascii="Times New Roman" w:hAnsi="Times New Roman" w:eastAsia="仿宋_GB2312" w:cs="仿宋_GB2312"/>
          <w:color w:val="000000"/>
          <w:kern w:val="0"/>
          <w:sz w:val="32"/>
          <w:szCs w:val="32"/>
        </w:rPr>
        <w:t>本单位无政府性基金收</w:t>
      </w:r>
      <w:r>
        <w:rPr>
          <w:rFonts w:hint="eastAsia" w:ascii="Times New Roman" w:hAnsi="Times New Roman" w:eastAsia="仿宋_GB2312" w:cs="仿宋_GB2312"/>
          <w:color w:val="000000"/>
          <w:kern w:val="0"/>
          <w:sz w:val="32"/>
          <w:szCs w:val="32"/>
          <w:lang w:eastAsia="zh-CN"/>
        </w:rPr>
        <w:t>入支出。</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pPr>
        <w:pStyle w:val="8"/>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十、机关运行经费支出说明</w:t>
      </w:r>
    </w:p>
    <w:p>
      <w:pPr>
        <w:pStyle w:val="18"/>
        <w:ind w:firstLine="640" w:firstLineChars="200"/>
        <w:rPr>
          <w:rFonts w:hint="eastAsia" w:ascii="Times New Roman" w:hAnsi="Times New Roman" w:eastAsia="黑体" w:cs="黑体"/>
          <w:color w:val="000000"/>
          <w:kern w:val="0"/>
          <w:sz w:val="32"/>
          <w:szCs w:val="32"/>
        </w:rPr>
      </w:pPr>
      <w:r>
        <w:rPr>
          <w:rFonts w:hint="eastAsia" w:ascii="Times New Roman" w:hAnsi="Times New Roman" w:eastAsia="仿宋_GB2312" w:cs="仿宋_GB2312"/>
          <w:color w:val="000000"/>
          <w:kern w:val="0"/>
          <w:sz w:val="32"/>
          <w:szCs w:val="32"/>
          <w:lang w:val="en-US" w:eastAsia="zh-CN" w:bidi="ar-SA"/>
        </w:rPr>
        <w:t>本部门2023年度机关运行经费支出4.92万元，比上年决算数增加2.15万元，增加77.62 %。主要原因是：人员职务职级晋升，人员经费增加。</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十一、一般性支出情况说明</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hint="eastAsia" w:ascii="Times New Roman" w:hAnsi="Times New Roman" w:eastAsia="仿宋_GB2312" w:cs="仿宋_GB2312"/>
          <w:color w:val="000000"/>
          <w:kern w:val="0"/>
          <w:sz w:val="32"/>
          <w:szCs w:val="32"/>
          <w:lang w:val="en-US" w:eastAsia="zh-CN" w:bidi="ar-SA"/>
        </w:rPr>
        <w:t xml:space="preserve">2023年本部门开支会议费0万元；开支培训费0.05万元，用于开展事业单位人员培训，人数2人，内容为事业单位人员培训。 </w:t>
      </w:r>
      <w:r>
        <w:rPr>
          <w:rFonts w:ascii="Times New Roman" w:hAnsi="Times New Roman" w:eastAsia="黑体" w:cs="Times New Roman"/>
          <w:color w:val="000000"/>
          <w:kern w:val="0"/>
          <w:sz w:val="32"/>
          <w:szCs w:val="32"/>
        </w:rPr>
        <w:t>十二、政府采购支出说明</w:t>
      </w:r>
    </w:p>
    <w:p>
      <w:pPr>
        <w:pStyle w:val="18"/>
        <w:ind w:firstLine="640" w:firstLineChars="200"/>
        <w:rPr>
          <w:rFonts w:hint="eastAsia" w:ascii="Times New Roman" w:hAnsi="Times New Roman" w:eastAsia="黑体" w:cs="黑体"/>
          <w:color w:val="000000"/>
          <w:kern w:val="0"/>
          <w:sz w:val="32"/>
          <w:szCs w:val="32"/>
        </w:rPr>
      </w:pPr>
      <w:r>
        <w:rPr>
          <w:rFonts w:hint="eastAsia" w:ascii="Times New Roman" w:hAnsi="Times New Roman" w:eastAsia="仿宋_GB2312" w:cs="仿宋_GB2312"/>
          <w:color w:val="000000"/>
          <w:kern w:val="0"/>
          <w:sz w:val="32"/>
          <w:szCs w:val="32"/>
          <w:lang w:val="en-US" w:eastAsia="zh-CN" w:bidi="ar-SA"/>
        </w:rPr>
        <w:t>部门2023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十三、国有资产占用情况说明</w:t>
      </w:r>
    </w:p>
    <w:p>
      <w:pPr>
        <w:pStyle w:val="8"/>
        <w:autoSpaceDE w:val="0"/>
        <w:autoSpaceDN w:val="0"/>
        <w:adjustRightInd w:val="0"/>
        <w:spacing w:line="570" w:lineRule="exact"/>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截至2023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（一）绩效管理评价工作开展情况。</w:t>
      </w:r>
    </w:p>
    <w:p>
      <w:pPr>
        <w:pStyle w:val="18"/>
        <w:ind w:firstLine="640" w:firstLineChars="200"/>
        <w:rPr>
          <w:rFonts w:hint="eastAsia" w:ascii="Times New Roman" w:hAnsi="Times New Roman" w:eastAsia="楷体_GB2312" w:cs="楷体_GB2312"/>
          <w:b/>
          <w:color w:val="000000"/>
          <w:kern w:val="0"/>
          <w:sz w:val="32"/>
          <w:szCs w:val="32"/>
        </w:rPr>
      </w:pPr>
      <w:r>
        <w:rPr>
          <w:rFonts w:hint="eastAsia" w:ascii="Times New Roman" w:hAnsi="Times New Roman" w:eastAsia="仿宋_GB2312" w:cs="仿宋_GB2312"/>
          <w:color w:val="000000"/>
          <w:kern w:val="0"/>
          <w:sz w:val="32"/>
          <w:szCs w:val="32"/>
          <w:lang w:val="en-US" w:eastAsia="zh-CN" w:bidi="ar-SA"/>
        </w:rPr>
        <w:t>根据预算绩效管理要求，本单位组织对 2023年度2个项目支出开展了绩效自评，共涉及资金8.22万元，占项目支出预算总额的100%。本单位共组织对项目开展了重点绩效评价，涉及资金8.22万元。从评价情况来看，有关项目立项程序完整、规范，预算执行及时、有效，绩效目标得到较好实现，绩效管理水平不断提高，绩效指标体系建设逐渐丰富和完善。</w:t>
      </w:r>
    </w:p>
    <w:p>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（二）部门评价项目绩效评价结果。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对应年初预算申报及年中预算调整的子项目分别描述绩效情况（可单独提供项目绩效评价报告），格式参考如下：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文联专项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3.00</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1.22</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4.22</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文联专项</w:t>
      </w:r>
      <w:r>
        <w:rPr>
          <w:rFonts w:hint="default" w:ascii="Times New Roman" w:hAnsi="Times New Roman" w:eastAsia="仿宋_GB2312" w:cs="Times New Roman"/>
          <w:color w:val="auto"/>
          <w:sz w:val="32"/>
          <w:szCs w:val="32"/>
        </w:rPr>
        <w:t>项目</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4.22</w:t>
      </w:r>
      <w:r>
        <w:rPr>
          <w:rFonts w:hint="default" w:ascii="Times New Roman" w:hAnsi="Times New Roman" w:eastAsia="仿宋_GB2312" w:cs="Times New Roman"/>
          <w:color w:val="auto"/>
          <w:sz w:val="32"/>
          <w:szCs w:val="32"/>
        </w:rPr>
        <w:t>万元，主要用于</w:t>
      </w:r>
      <w:r>
        <w:rPr>
          <w:rFonts w:hint="eastAsia" w:ascii="仿宋" w:hAnsi="仿宋" w:eastAsia="仿宋" w:cs="仿宋"/>
          <w:sz w:val="32"/>
          <w:szCs w:val="32"/>
        </w:rPr>
        <w:t>为了丰富广大人民群众精神文化生活，并为石峰区转型升级提供良好的舆论氛围和充沛精神动力，区文联积极发动8大文艺协会志愿者们开展文学、书法、美术、音乐、舞蹈、朗诵等各类公益艺术教育活动。</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贯彻二十大 讴歌新时代”首届学雷锋文艺志愿服务“时代风尚”先进典型颁奖典礼活动经费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4.00</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4.00</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贯彻二十大 讴歌新时代”首届学雷锋文艺志愿服务“时代风尚”先进典型颁奖典礼活动经费</w:t>
      </w:r>
      <w:r>
        <w:rPr>
          <w:rFonts w:hint="default" w:ascii="Times New Roman" w:hAnsi="Times New Roman" w:eastAsia="仿宋_GB2312" w:cs="Times New Roman"/>
          <w:color w:val="auto"/>
          <w:sz w:val="32"/>
          <w:szCs w:val="32"/>
        </w:rPr>
        <w:t>项目</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4.00</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丰富了</w:t>
      </w:r>
      <w:r>
        <w:rPr>
          <w:rFonts w:hint="eastAsia" w:ascii="Times New Roman" w:hAnsi="Times New Roman" w:eastAsia="仿宋_GB2312" w:cs="Times New Roman"/>
          <w:sz w:val="32"/>
          <w:szCs w:val="32"/>
          <w:lang w:val="en-US" w:eastAsia="zh-CN"/>
        </w:rPr>
        <w:t>辖区内居民的文艺体验，将九郎山、秋瑾故居、中车轨道交通等石峰特色文化资源向省一级领导和来宾进行宣传推介。</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bookmarkStart w:id="0" w:name="_GoBack"/>
      <w:bookmarkEnd w:id="0"/>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pPr>
        <w:pStyle w:val="18"/>
        <w:jc w:val="center"/>
        <w:rPr>
          <w:rFonts w:ascii="Times New Roman" w:hAnsi="Times New Roman" w:eastAsia="方正小标宋简体" w:cs="Times New Roman"/>
          <w:sz w:val="76"/>
          <w:szCs w:val="76"/>
        </w:rPr>
      </w:pP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pStyle w:val="18"/>
        <w:jc w:val="both"/>
        <w:rPr>
          <w:rFonts w:hint="eastAsia" w:ascii="Times New Roman" w:hAnsi="Times New Roman" w:cs="Times New Roman"/>
          <w:sz w:val="72"/>
          <w:szCs w:val="72"/>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pPr>
        <w:pStyle w:val="18"/>
        <w:jc w:val="center"/>
        <w:rPr>
          <w:rFonts w:ascii="Times New Roman" w:hAnsi="Times New Roman" w:eastAsia="方正小标宋简体" w:cs="Times New Roman"/>
          <w:sz w:val="56"/>
          <w:szCs w:val="56"/>
        </w:rPr>
      </w:pPr>
    </w:p>
    <w:p>
      <w:pPr>
        <w:pStyle w:val="18"/>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pPr>
        <w:pStyle w:val="18"/>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pPr>
        <w:pStyle w:val="18"/>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lang w:eastAsia="zh-CN"/>
        </w:rPr>
        <w:t>自评报告</w:t>
      </w:r>
    </w:p>
    <w:p>
      <w:pPr>
        <w:pStyle w:val="18"/>
        <w:spacing w:line="596" w:lineRule="exact"/>
        <w:jc w:val="center"/>
        <w:rPr>
          <w:rFonts w:hint="eastAsia" w:ascii="Times New Roman" w:hAnsi="Times New Roman" w:eastAsia="方正小标宋简体" w:cs="Times New Roman"/>
          <w:sz w:val="32"/>
          <w:szCs w:val="32"/>
          <w:lang w:eastAsia="zh-CN"/>
        </w:rPr>
      </w:pPr>
    </w:p>
    <w:p>
      <w:pPr>
        <w:pStyle w:val="18"/>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10B6F7"/>
    <w:multiLevelType w:val="singleLevel"/>
    <w:tmpl w:val="9310B6F7"/>
    <w:lvl w:ilvl="0" w:tentative="0">
      <w:start w:val="2"/>
      <w:numFmt w:val="chineseCounting"/>
      <w:suff w:val="nothing"/>
      <w:lvlText w:val="（%1）"/>
      <w:lvlJc w:val="left"/>
      <w:rPr>
        <w:rFonts w:hint="eastAsia"/>
      </w:rPr>
    </w:lvl>
  </w:abstractNum>
  <w:abstractNum w:abstractNumId="1">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wNjFlYzQ2YjlhNWJkYTAzNzUyYzZkMTQzM2M4M2I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6915006"/>
    <w:rsid w:val="0751274D"/>
    <w:rsid w:val="07634BF4"/>
    <w:rsid w:val="07A77932"/>
    <w:rsid w:val="08F14AE1"/>
    <w:rsid w:val="0B567F72"/>
    <w:rsid w:val="0C7C6B53"/>
    <w:rsid w:val="0D3F15F5"/>
    <w:rsid w:val="0EF6245F"/>
    <w:rsid w:val="11E43B98"/>
    <w:rsid w:val="13692089"/>
    <w:rsid w:val="16613707"/>
    <w:rsid w:val="18985D2F"/>
    <w:rsid w:val="18FA38C9"/>
    <w:rsid w:val="1B323160"/>
    <w:rsid w:val="1B714E5F"/>
    <w:rsid w:val="1E532BCB"/>
    <w:rsid w:val="1EBE63A2"/>
    <w:rsid w:val="1F041D62"/>
    <w:rsid w:val="1F6317DE"/>
    <w:rsid w:val="1F745786"/>
    <w:rsid w:val="21B1218A"/>
    <w:rsid w:val="238B2E7B"/>
    <w:rsid w:val="28944EC1"/>
    <w:rsid w:val="2AD95BF4"/>
    <w:rsid w:val="2F101369"/>
    <w:rsid w:val="321612FC"/>
    <w:rsid w:val="32B56379"/>
    <w:rsid w:val="34A949F9"/>
    <w:rsid w:val="38090922"/>
    <w:rsid w:val="38D75D21"/>
    <w:rsid w:val="395219B1"/>
    <w:rsid w:val="41AE5C8C"/>
    <w:rsid w:val="46BE0A2A"/>
    <w:rsid w:val="472236C4"/>
    <w:rsid w:val="47867568"/>
    <w:rsid w:val="47C05439"/>
    <w:rsid w:val="4B1C68ED"/>
    <w:rsid w:val="4B8003CD"/>
    <w:rsid w:val="4F976C0B"/>
    <w:rsid w:val="523F5138"/>
    <w:rsid w:val="538D47D7"/>
    <w:rsid w:val="538E105C"/>
    <w:rsid w:val="53BF69FD"/>
    <w:rsid w:val="591A5257"/>
    <w:rsid w:val="5D2E7409"/>
    <w:rsid w:val="60841B7E"/>
    <w:rsid w:val="635D15B9"/>
    <w:rsid w:val="64714AD2"/>
    <w:rsid w:val="64857E64"/>
    <w:rsid w:val="65965345"/>
    <w:rsid w:val="65F04BE5"/>
    <w:rsid w:val="6A484E25"/>
    <w:rsid w:val="6E0F6D2F"/>
    <w:rsid w:val="6EAE4254"/>
    <w:rsid w:val="7238752D"/>
    <w:rsid w:val="74205B29"/>
    <w:rsid w:val="75F714AD"/>
    <w:rsid w:val="78081C98"/>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style>
  <w:style w:type="paragraph" w:styleId="3">
    <w:name w:val="Body Text"/>
    <w:basedOn w:val="1"/>
    <w:link w:val="14"/>
    <w:qFormat/>
    <w:uiPriority w:val="99"/>
    <w:pPr>
      <w:spacing w:before="100" w:beforeAutospacing="1" w:after="120"/>
    </w:pPr>
    <w:rPr>
      <w:rFonts w:ascii="Times New Roman" w:hAnsi="Times New Roman" w:cs="Times New Roman"/>
    </w:rPr>
  </w:style>
  <w:style w:type="paragraph" w:styleId="4">
    <w:name w:val="Body Text Indent"/>
    <w:basedOn w:val="1"/>
    <w:qFormat/>
    <w:uiPriority w:val="0"/>
    <w:pPr>
      <w:spacing w:after="120"/>
      <w:ind w:left="420" w:leftChars="200"/>
    </w:pPr>
  </w:style>
  <w:style w:type="paragraph" w:styleId="5">
    <w:name w:val="Balloon Text"/>
    <w:basedOn w:val="1"/>
    <w:link w:val="15"/>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paragraph" w:styleId="9">
    <w:name w:val="Body Text First Indent 2"/>
    <w:basedOn w:val="4"/>
    <w:qFormat/>
    <w:uiPriority w:val="0"/>
    <w:pPr>
      <w:ind w:firstLine="420" w:firstLineChars="200"/>
    </w:pPr>
    <w:rPr>
      <w:rFonts w:ascii="Calibri" w:hAnsi="Calibri"/>
      <w:szCs w:val="24"/>
    </w:rPr>
  </w:style>
  <w:style w:type="character" w:styleId="12">
    <w:name w:val="annotation reference"/>
    <w:basedOn w:val="11"/>
    <w:semiHidden/>
    <w:qFormat/>
    <w:uiPriority w:val="99"/>
    <w:rPr>
      <w:sz w:val="21"/>
      <w:szCs w:val="21"/>
    </w:rPr>
  </w:style>
  <w:style w:type="character" w:customStyle="1" w:styleId="13">
    <w:name w:val="批注文字 Char"/>
    <w:basedOn w:val="11"/>
    <w:link w:val="2"/>
    <w:semiHidden/>
    <w:qFormat/>
    <w:locked/>
    <w:uiPriority w:val="99"/>
    <w:rPr>
      <w:rFonts w:ascii="Calibri" w:hAnsi="Calibri" w:cs="Calibri"/>
      <w:sz w:val="21"/>
      <w:szCs w:val="21"/>
    </w:rPr>
  </w:style>
  <w:style w:type="character" w:customStyle="1" w:styleId="14">
    <w:name w:val="正文文本 Char"/>
    <w:basedOn w:val="11"/>
    <w:link w:val="3"/>
    <w:qFormat/>
    <w:locked/>
    <w:uiPriority w:val="99"/>
    <w:rPr>
      <w:rFonts w:eastAsia="宋体"/>
      <w:kern w:val="2"/>
      <w:sz w:val="21"/>
      <w:szCs w:val="21"/>
      <w:lang w:val="en-US" w:eastAsia="zh-CN"/>
    </w:rPr>
  </w:style>
  <w:style w:type="character" w:customStyle="1" w:styleId="15">
    <w:name w:val="批注框文本 Char"/>
    <w:basedOn w:val="11"/>
    <w:link w:val="5"/>
    <w:semiHidden/>
    <w:qFormat/>
    <w:locked/>
    <w:uiPriority w:val="99"/>
    <w:rPr>
      <w:sz w:val="18"/>
      <w:szCs w:val="18"/>
    </w:rPr>
  </w:style>
  <w:style w:type="character" w:customStyle="1" w:styleId="16">
    <w:name w:val="页脚 Char"/>
    <w:basedOn w:val="11"/>
    <w:link w:val="6"/>
    <w:qFormat/>
    <w:locked/>
    <w:uiPriority w:val="99"/>
    <w:rPr>
      <w:sz w:val="18"/>
      <w:szCs w:val="18"/>
    </w:rPr>
  </w:style>
  <w:style w:type="character" w:customStyle="1" w:styleId="17">
    <w:name w:val="页眉 Char"/>
    <w:basedOn w:val="11"/>
    <w:link w:val="7"/>
    <w:qFormat/>
    <w:locked/>
    <w:uiPriority w:val="99"/>
    <w:rPr>
      <w:sz w:val="18"/>
      <w:szCs w:val="18"/>
    </w:rPr>
  </w:style>
  <w:style w:type="paragraph" w:customStyle="1" w:styleId="1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9">
    <w:name w:val="List Paragraph"/>
    <w:basedOn w:val="1"/>
    <w:qFormat/>
    <w:uiPriority w:val="99"/>
    <w:pPr>
      <w:ind w:firstLine="420" w:firstLineChars="200"/>
    </w:pPr>
  </w:style>
  <w:style w:type="paragraph" w:customStyle="1" w:styleId="20">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1686</Words>
  <Characters>1736</Characters>
  <Lines>56</Lines>
  <Paragraphs>15</Paragraphs>
  <TotalTime>4</TotalTime>
  <ScaleCrop>false</ScaleCrop>
  <LinksUpToDate>false</LinksUpToDate>
  <CharactersWithSpaces>1749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lenovo</cp:lastModifiedBy>
  <cp:lastPrinted>2022-10-11T01:13:00Z</cp:lastPrinted>
  <dcterms:modified xsi:type="dcterms:W3CDTF">2024-11-14T00:58:26Z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D5AABCCCD1FB406CB3573171425540DE</vt:lpwstr>
  </property>
</Properties>
</file>