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2580D">
      <w:pPr>
        <w:pStyle w:val="21"/>
        <w:jc w:val="both"/>
        <w:rPr>
          <w:rFonts w:ascii="Times New Roman" w:hAnsi="Times New Roman" w:cs="Times New Roman"/>
          <w:sz w:val="56"/>
          <w:szCs w:val="56"/>
        </w:rPr>
      </w:pPr>
    </w:p>
    <w:p w14:paraId="62FA7C77">
      <w:pPr>
        <w:pStyle w:val="21"/>
        <w:jc w:val="both"/>
        <w:rPr>
          <w:rFonts w:ascii="Times New Roman" w:hAnsi="Times New Roman" w:cs="Times New Roman"/>
          <w:sz w:val="56"/>
          <w:szCs w:val="56"/>
        </w:rPr>
      </w:pPr>
    </w:p>
    <w:p w14:paraId="1D792FB2">
      <w:pPr>
        <w:pStyle w:val="21"/>
        <w:jc w:val="both"/>
        <w:rPr>
          <w:rFonts w:ascii="Times New Roman" w:hAnsi="Times New Roman" w:cs="Times New Roman"/>
          <w:sz w:val="84"/>
          <w:szCs w:val="84"/>
        </w:rPr>
      </w:pPr>
    </w:p>
    <w:p w14:paraId="7C3434D5">
      <w:pPr>
        <w:pStyle w:val="21"/>
        <w:jc w:val="center"/>
        <w:rPr>
          <w:rFonts w:ascii="Times New Roman" w:hAnsi="Times New Roman" w:eastAsia="方正小标宋简体" w:cs="Times New Roman"/>
          <w:sz w:val="76"/>
          <w:szCs w:val="76"/>
        </w:rPr>
      </w:pPr>
    </w:p>
    <w:p w14:paraId="13509283">
      <w:pPr>
        <w:pStyle w:val="21"/>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5A78A076">
      <w:pPr>
        <w:pStyle w:val="21"/>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株洲市石峰区文化旅游体育局</w:t>
      </w:r>
    </w:p>
    <w:p w14:paraId="3D257F58">
      <w:pPr>
        <w:pStyle w:val="21"/>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57FE8A33">
      <w:pPr>
        <w:pStyle w:val="21"/>
        <w:jc w:val="both"/>
        <w:rPr>
          <w:rFonts w:ascii="Times New Roman" w:hAnsi="Times New Roman" w:cs="Times New Roman"/>
          <w:sz w:val="32"/>
          <w:szCs w:val="32"/>
        </w:rPr>
      </w:pPr>
    </w:p>
    <w:p w14:paraId="58015042">
      <w:pPr>
        <w:pStyle w:val="21"/>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2443ADE3">
      <w:pPr>
        <w:pStyle w:val="21"/>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株洲市石峰区文化旅游体育局</w:t>
      </w:r>
      <w:r>
        <w:rPr>
          <w:rFonts w:ascii="Times New Roman" w:hAnsi="Times New Roman" w:cs="Times New Roman"/>
          <w:sz w:val="32"/>
          <w:szCs w:val="32"/>
        </w:rPr>
        <w:t>概况</w:t>
      </w:r>
    </w:p>
    <w:p w14:paraId="6FF91517">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8D53E5A">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4B15508A">
      <w:pPr>
        <w:pStyle w:val="21"/>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52E31F0C">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2965803">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3271285">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DD0690E">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368B4BD">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85BFCD0">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3843FC3">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003975F8">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1389F41F">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46C8C092">
      <w:pPr>
        <w:pStyle w:val="21"/>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2A3CB0C8">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13AA16F">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0358DC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C54254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2038BD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59A38D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8445B7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5E620480">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28B034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78799E8F">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3D15805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2AD9E6C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2CC515CF">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19025620">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55DE5B8E">
      <w:pPr>
        <w:pStyle w:val="21"/>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458525DB">
      <w:pPr>
        <w:pStyle w:val="21"/>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133F9616">
      <w:pPr>
        <w:pStyle w:val="21"/>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1A300F70">
      <w:pPr>
        <w:pStyle w:val="21"/>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49B19D61">
      <w:pPr>
        <w:pStyle w:val="21"/>
        <w:jc w:val="both"/>
        <w:rPr>
          <w:rFonts w:ascii="Times New Roman" w:hAnsi="Times New Roman" w:cs="Times New Roman"/>
          <w:sz w:val="84"/>
          <w:szCs w:val="84"/>
        </w:rPr>
      </w:pPr>
    </w:p>
    <w:p w14:paraId="66430E75">
      <w:pPr>
        <w:pStyle w:val="21"/>
        <w:jc w:val="both"/>
        <w:rPr>
          <w:rFonts w:ascii="Times New Roman" w:hAnsi="Times New Roman" w:cs="Times New Roman"/>
          <w:sz w:val="84"/>
          <w:szCs w:val="84"/>
        </w:rPr>
      </w:pPr>
    </w:p>
    <w:p w14:paraId="5ADF4B1D">
      <w:pPr>
        <w:pStyle w:val="21"/>
        <w:jc w:val="center"/>
        <w:rPr>
          <w:rFonts w:ascii="Times New Roman" w:hAnsi="Times New Roman" w:eastAsia="方正小标宋简体" w:cs="Times New Roman"/>
          <w:w w:val="90"/>
          <w:sz w:val="76"/>
          <w:szCs w:val="76"/>
        </w:rPr>
      </w:pPr>
    </w:p>
    <w:p w14:paraId="164C1074">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7DF253D6">
      <w:pPr>
        <w:pStyle w:val="21"/>
        <w:jc w:val="center"/>
        <w:rPr>
          <w:rFonts w:ascii="Times New Roman" w:hAnsi="Times New Roman" w:eastAsia="方正小标宋简体" w:cs="Times New Roman"/>
          <w:sz w:val="76"/>
          <w:szCs w:val="76"/>
        </w:rPr>
      </w:pPr>
    </w:p>
    <w:p w14:paraId="764DE359">
      <w:pPr>
        <w:pStyle w:val="21"/>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株洲市石峰区文化旅游体育局</w:t>
      </w:r>
    </w:p>
    <w:p w14:paraId="4FFD44A0">
      <w:pPr>
        <w:pStyle w:val="21"/>
        <w:jc w:val="center"/>
        <w:rPr>
          <w:rFonts w:ascii="Times New Roman" w:hAnsi="Times New Roman" w:eastAsia="方正小标宋简体" w:cs="Times New Roman"/>
          <w:sz w:val="76"/>
          <w:szCs w:val="76"/>
        </w:rPr>
      </w:pPr>
      <w:r>
        <w:rPr>
          <w:rFonts w:hint="eastAsia" w:ascii="Times New Roman" w:hAnsi="Times New Roman" w:eastAsia="方正小标宋简体" w:cs="Times New Roman"/>
          <w:sz w:val="72"/>
          <w:szCs w:val="72"/>
          <w:lang w:eastAsia="zh-CN"/>
        </w:rPr>
        <w:t>单位</w:t>
      </w:r>
      <w:r>
        <w:rPr>
          <w:rFonts w:ascii="Times New Roman" w:hAnsi="Times New Roman" w:eastAsia="方正小标宋简体" w:cs="Times New Roman"/>
          <w:sz w:val="76"/>
          <w:szCs w:val="76"/>
        </w:rPr>
        <w:t>概况</w:t>
      </w:r>
    </w:p>
    <w:p w14:paraId="33902B70">
      <w:pPr>
        <w:pStyle w:val="22"/>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587D90EB">
      <w:pPr>
        <w:ind w:firstLine="640" w:firstLineChars="200"/>
        <w:rPr>
          <w:rFonts w:ascii="仿宋_GB2312" w:hAnsi="仿宋_GB2312" w:eastAsia="仿宋_GB2312" w:cs="仿宋_GB2312"/>
          <w:sz w:val="32"/>
          <w:szCs w:val="32"/>
        </w:rPr>
      </w:pPr>
      <w:r>
        <w:rPr>
          <w:rFonts w:ascii="Times New Roman" w:hAnsi="Times New Roman" w:eastAsia="黑体" w:cs="Times New Roman"/>
          <w:sz w:val="32"/>
          <w:szCs w:val="32"/>
        </w:rPr>
        <w:t>.</w:t>
      </w:r>
      <w:r>
        <w:rPr>
          <w:rFonts w:hint="eastAsia" w:ascii="仿宋_GB2312" w:hAnsi="仿宋_GB2312" w:eastAsia="仿宋_GB2312" w:cs="仿宋_GB2312"/>
          <w:sz w:val="32"/>
          <w:szCs w:val="32"/>
        </w:rPr>
        <w:t>（一）拟订全区文化、旅游、体育事业的发展规划并组织实施，指导和协调全区文化、旅游、体育产业的发展。</w:t>
      </w:r>
    </w:p>
    <w:p w14:paraId="187E08B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（二）综合管理全区群众文化、旅游、体育工作，组织、指导、协调各种群众性文化、旅游、体育活动，指导基层文化旅游体育事业建设。负责对区、街道、社区（村）三级文化体育网络建设进行指导。</w:t>
      </w:r>
    </w:p>
    <w:p w14:paraId="4B2DE811">
      <w:pPr>
        <w:ind w:firstLine="640" w:firstLineChars="200"/>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rPr>
        <w:t>负责区内营业性文艺表演团体设立的审批，负责举办营业性演出活动的审批以及占用非营业性演出场所举办营业性演出活动的审批；负责经营高危险性体育项目的审批；负责电子游戏经营单位的设立、变更审批；负责旅行社设立服务网点的备案工作。</w:t>
      </w:r>
    </w:p>
    <w:p w14:paraId="3AF9ADF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（四）协助配合市直部门对辖区内文化、旅游、体育市场进行监管。</w:t>
      </w:r>
    </w:p>
    <w:p w14:paraId="6D9EBD6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（五）负责全区文物保护和利用；负责全区非物质文化遗产保护和优秀民族文化的传承和普及工作。</w:t>
      </w:r>
    </w:p>
    <w:p w14:paraId="583D9A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（六）负责辖区内公共文化、体育设施监督管理。</w:t>
      </w:r>
    </w:p>
    <w:p w14:paraId="3F3B0CA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（七）负责全区旅游资源开发利用和保护工作；组织开展旅游市场监督检查，负责受理游客投诉，维护游客合法权益。</w:t>
      </w:r>
    </w:p>
    <w:p w14:paraId="16877230">
      <w:pPr>
        <w:ind w:firstLine="640" w:firstLineChars="200"/>
        <w:rPr>
          <w:rFonts w:ascii="Times New Roman" w:hAnsi="Times New Roman" w:eastAsia="黑体" w:cs="Times New Roman"/>
          <w:sz w:val="32"/>
          <w:szCs w:val="32"/>
        </w:rPr>
      </w:pPr>
      <w:r>
        <w:rPr>
          <w:rFonts w:hint="eastAsia" w:ascii="仿宋_GB2312" w:hAnsi="仿宋_GB2312" w:eastAsia="仿宋_GB2312" w:cs="仿宋_GB2312"/>
          <w:sz w:val="32"/>
          <w:szCs w:val="32"/>
        </w:rPr>
        <w:t>（八）完成区委、区政府交办的其他任务。</w:t>
      </w:r>
    </w:p>
    <w:p w14:paraId="2536081E">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26D16A1A">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本部门共有编制人数</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人，实有人数</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人。内设科室  </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个，分别为：</w:t>
      </w:r>
      <w:r>
        <w:rPr>
          <w:rFonts w:hint="eastAsia" w:ascii="仿宋_GB2312" w:eastAsia="仿宋_GB2312"/>
          <w:color w:val="000000"/>
          <w:sz w:val="32"/>
          <w:szCs w:val="32"/>
          <w:lang w:eastAsia="zh-CN"/>
        </w:rPr>
        <w:t>综合股。</w:t>
      </w:r>
    </w:p>
    <w:p w14:paraId="65417F51">
      <w:pPr>
        <w:tabs>
          <w:tab w:val="left" w:pos="7560"/>
        </w:tabs>
        <w:adjustRightInd w:val="0"/>
        <w:snapToGrid w:val="0"/>
        <w:spacing w:line="560" w:lineRule="exact"/>
        <w:ind w:firstLine="640" w:firstLineChars="200"/>
        <w:jc w:val="left"/>
        <w:rPr>
          <w:rFonts w:ascii="Times New Roman" w:hAnsi="Times New Roman" w:cs="Times New Roman"/>
          <w:sz w:val="84"/>
          <w:szCs w:val="84"/>
        </w:rPr>
      </w:pPr>
      <w:r>
        <w:rPr>
          <w:rFonts w:hint="eastAsia" w:ascii="仿宋_GB2312" w:eastAsia="仿宋_GB2312"/>
          <w:color w:val="000000"/>
          <w:sz w:val="32"/>
          <w:szCs w:val="32"/>
        </w:rPr>
        <w:t>本部门包含下属二级预算单位</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个，分别为：</w:t>
      </w:r>
      <w:r>
        <w:rPr>
          <w:rFonts w:hint="eastAsia" w:ascii="仿宋_GB2312" w:eastAsia="仿宋_GB2312"/>
          <w:color w:val="000000"/>
          <w:sz w:val="32"/>
          <w:szCs w:val="32"/>
          <w:lang w:eastAsia="zh-CN"/>
        </w:rPr>
        <w:t>石峰区文化馆。</w:t>
      </w:r>
    </w:p>
    <w:p w14:paraId="2339F1DA">
      <w:pPr>
        <w:pStyle w:val="21"/>
        <w:jc w:val="both"/>
        <w:rPr>
          <w:rFonts w:ascii="Times New Roman" w:hAnsi="Times New Roman" w:cs="Times New Roman"/>
          <w:sz w:val="84"/>
          <w:szCs w:val="84"/>
        </w:rPr>
      </w:pPr>
    </w:p>
    <w:p w14:paraId="537E1A99">
      <w:pPr>
        <w:pStyle w:val="21"/>
        <w:jc w:val="both"/>
        <w:rPr>
          <w:rFonts w:ascii="Times New Roman" w:hAnsi="Times New Roman" w:cs="Times New Roman"/>
          <w:sz w:val="84"/>
          <w:szCs w:val="84"/>
        </w:rPr>
      </w:pPr>
    </w:p>
    <w:p w14:paraId="5C361023">
      <w:pPr>
        <w:pStyle w:val="21"/>
        <w:jc w:val="both"/>
        <w:rPr>
          <w:rFonts w:ascii="Times New Roman" w:hAnsi="Times New Roman" w:cs="Times New Roman"/>
          <w:sz w:val="84"/>
          <w:szCs w:val="84"/>
        </w:rPr>
      </w:pPr>
    </w:p>
    <w:p w14:paraId="5019DD3D">
      <w:pPr>
        <w:pStyle w:val="21"/>
        <w:jc w:val="both"/>
        <w:rPr>
          <w:rFonts w:ascii="Times New Roman" w:hAnsi="Times New Roman" w:cs="Times New Roman"/>
          <w:sz w:val="84"/>
          <w:szCs w:val="84"/>
        </w:rPr>
      </w:pPr>
    </w:p>
    <w:p w14:paraId="11E77403">
      <w:pPr>
        <w:pStyle w:val="21"/>
        <w:jc w:val="both"/>
        <w:rPr>
          <w:rFonts w:ascii="Times New Roman" w:hAnsi="Times New Roman" w:cs="Times New Roman"/>
          <w:sz w:val="84"/>
          <w:szCs w:val="84"/>
        </w:rPr>
      </w:pPr>
    </w:p>
    <w:p w14:paraId="2184D2C1">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51A4C5F0">
      <w:pPr>
        <w:pStyle w:val="21"/>
        <w:jc w:val="center"/>
        <w:rPr>
          <w:rFonts w:ascii="Times New Roman" w:hAnsi="Times New Roman" w:eastAsia="方正小标宋简体" w:cs="Times New Roman"/>
          <w:sz w:val="76"/>
          <w:szCs w:val="76"/>
        </w:rPr>
      </w:pPr>
    </w:p>
    <w:p w14:paraId="7E4E6F1A">
      <w:pPr>
        <w:pStyle w:val="21"/>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4627E6DC">
      <w:pPr>
        <w:rPr>
          <w:rFonts w:ascii="Times New Roman" w:hAnsi="Times New Roman" w:eastAsia="仿宋_GB2312" w:cs="Times New Roman"/>
          <w:sz w:val="72"/>
          <w:szCs w:val="72"/>
        </w:rPr>
      </w:pPr>
    </w:p>
    <w:p w14:paraId="77E76FD3">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7D4C8BBC">
      <w:pPr>
        <w:pStyle w:val="21"/>
        <w:jc w:val="both"/>
        <w:rPr>
          <w:rFonts w:ascii="Times New Roman" w:hAnsi="Times New Roman" w:cs="Times New Roman"/>
          <w:sz w:val="84"/>
          <w:szCs w:val="84"/>
        </w:rPr>
      </w:pPr>
    </w:p>
    <w:p w14:paraId="04FCC4B2">
      <w:pPr>
        <w:pStyle w:val="21"/>
        <w:jc w:val="both"/>
        <w:rPr>
          <w:rFonts w:ascii="Times New Roman" w:hAnsi="Times New Roman" w:cs="Times New Roman"/>
          <w:sz w:val="84"/>
          <w:szCs w:val="84"/>
        </w:rPr>
      </w:pPr>
    </w:p>
    <w:p w14:paraId="030FB0B4">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0995C3ED">
      <w:pPr>
        <w:pStyle w:val="21"/>
        <w:jc w:val="center"/>
        <w:rPr>
          <w:rFonts w:ascii="Times New Roman" w:hAnsi="Times New Roman" w:eastAsia="方正小标宋简体" w:cs="Times New Roman"/>
          <w:sz w:val="76"/>
          <w:szCs w:val="76"/>
        </w:rPr>
      </w:pPr>
    </w:p>
    <w:p w14:paraId="214ED13A">
      <w:pPr>
        <w:pStyle w:val="21"/>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5E76EB7C">
      <w:pPr>
        <w:pStyle w:val="21"/>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63E535EB">
      <w:pPr>
        <w:pStyle w:val="21"/>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2023</w:t>
      </w:r>
      <w:r>
        <w:rPr>
          <w:rFonts w:hint="eastAsia" w:asciiTheme="minorEastAsia" w:hAnsiTheme="minorEastAsia" w:eastAsiaTheme="minorEastAsia"/>
          <w:sz w:val="32"/>
          <w:szCs w:val="32"/>
        </w:rPr>
        <w:t>年度收入总计</w:t>
      </w:r>
      <w:r>
        <w:rPr>
          <w:rFonts w:hint="eastAsia" w:asciiTheme="minorEastAsia" w:hAnsiTheme="minorEastAsia" w:eastAsiaTheme="minorEastAsia"/>
          <w:sz w:val="32"/>
          <w:szCs w:val="32"/>
          <w:lang w:val="en-US" w:eastAsia="zh-CN"/>
        </w:rPr>
        <w:t>461.18万</w:t>
      </w:r>
      <w:r>
        <w:rPr>
          <w:rFonts w:hint="eastAsia" w:asciiTheme="minorEastAsia" w:hAnsiTheme="minorEastAsia" w:eastAsiaTheme="minorEastAsia"/>
          <w:sz w:val="32"/>
          <w:szCs w:val="32"/>
        </w:rPr>
        <w:t>元。与20</w:t>
      </w: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年相比，</w:t>
      </w:r>
      <w:r>
        <w:rPr>
          <w:rFonts w:hint="eastAsia" w:asciiTheme="minorEastAsia" w:hAnsiTheme="minorEastAsia" w:eastAsiaTheme="minorEastAsia"/>
          <w:sz w:val="32"/>
          <w:szCs w:val="32"/>
          <w:lang w:eastAsia="zh-CN"/>
        </w:rPr>
        <w:t>增加了</w:t>
      </w:r>
      <w:r>
        <w:rPr>
          <w:rFonts w:hint="eastAsia" w:asciiTheme="minorEastAsia" w:hAnsiTheme="minorEastAsia" w:eastAsiaTheme="minorEastAsia"/>
          <w:sz w:val="32"/>
          <w:szCs w:val="32"/>
          <w:lang w:val="en-US" w:eastAsia="zh-CN"/>
        </w:rPr>
        <w:t>95.01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增加了</w:t>
      </w:r>
      <w:r>
        <w:rPr>
          <w:rFonts w:hint="eastAsia" w:asciiTheme="minorEastAsia" w:hAnsiTheme="minorEastAsia" w:eastAsiaTheme="minorEastAsia"/>
          <w:sz w:val="32"/>
          <w:szCs w:val="32"/>
          <w:lang w:val="en-US" w:eastAsia="zh-CN"/>
        </w:rPr>
        <w:t>20.6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增加了人员及文化和旅游支出费用。</w:t>
      </w:r>
    </w:p>
    <w:p w14:paraId="49D02C8D">
      <w:pPr>
        <w:pStyle w:val="21"/>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cs="Times New Roman"/>
          <w:sz w:val="32"/>
          <w:szCs w:val="32"/>
        </w:rPr>
      </w:pPr>
      <w:r>
        <w:rPr>
          <w:rFonts w:hint="eastAsia" w:asciiTheme="minorEastAsia" w:hAnsiTheme="minorEastAsia" w:eastAsiaTheme="minorEastAsia"/>
          <w:sz w:val="32"/>
          <w:szCs w:val="32"/>
          <w:lang w:val="en-US" w:eastAsia="zh-CN"/>
        </w:rPr>
        <w:t>2023</w:t>
      </w:r>
      <w:r>
        <w:rPr>
          <w:rFonts w:hint="eastAsia" w:asciiTheme="minorEastAsia" w:hAnsiTheme="minorEastAsia" w:eastAsiaTheme="minorEastAsia"/>
          <w:sz w:val="32"/>
          <w:szCs w:val="32"/>
        </w:rPr>
        <w:t>年度</w:t>
      </w:r>
      <w:r>
        <w:rPr>
          <w:rFonts w:hint="eastAsia" w:asciiTheme="minorEastAsia" w:hAnsiTheme="minorEastAsia" w:eastAsiaTheme="minorEastAsia"/>
          <w:sz w:val="32"/>
          <w:szCs w:val="32"/>
          <w:lang w:val="en-US" w:eastAsia="zh-CN"/>
        </w:rPr>
        <w:t>支出</w:t>
      </w:r>
      <w:r>
        <w:rPr>
          <w:rFonts w:hint="eastAsia" w:asciiTheme="minorEastAsia" w:hAnsiTheme="minorEastAsia" w:eastAsiaTheme="minorEastAsia"/>
          <w:sz w:val="32"/>
          <w:szCs w:val="32"/>
        </w:rPr>
        <w:t>总计</w:t>
      </w:r>
      <w:r>
        <w:rPr>
          <w:rFonts w:hint="eastAsia" w:asciiTheme="minorEastAsia" w:hAnsiTheme="minorEastAsia" w:eastAsiaTheme="minorEastAsia"/>
          <w:sz w:val="32"/>
          <w:szCs w:val="32"/>
          <w:lang w:val="en-US" w:eastAsia="zh-CN"/>
        </w:rPr>
        <w:t>461.18</w:t>
      </w:r>
      <w:r>
        <w:rPr>
          <w:rFonts w:hint="eastAsia" w:asciiTheme="minorEastAsia" w:hAnsiTheme="minorEastAsia" w:eastAsiaTheme="minorEastAsia"/>
          <w:sz w:val="32"/>
          <w:szCs w:val="32"/>
        </w:rPr>
        <w:t>万元。与</w:t>
      </w:r>
      <w:r>
        <w:rPr>
          <w:rFonts w:hint="eastAsia" w:asciiTheme="minorEastAsia" w:hAnsiTheme="minorEastAsia" w:eastAsiaTheme="minorEastAsia"/>
          <w:sz w:val="32"/>
          <w:szCs w:val="32"/>
          <w:lang w:val="en-US" w:eastAsia="zh-CN"/>
        </w:rPr>
        <w:t>2022</w:t>
      </w:r>
      <w:r>
        <w:rPr>
          <w:rFonts w:hint="eastAsia" w:asciiTheme="minorEastAsia" w:hAnsiTheme="minorEastAsia" w:eastAsiaTheme="minorEastAsia"/>
          <w:sz w:val="32"/>
          <w:szCs w:val="32"/>
        </w:rPr>
        <w:t>年相比，减少</w:t>
      </w:r>
      <w:r>
        <w:rPr>
          <w:rFonts w:hint="eastAsia" w:asciiTheme="minorEastAsia" w:hAnsiTheme="minorEastAsia" w:eastAsiaTheme="minorEastAsia"/>
          <w:sz w:val="32"/>
          <w:szCs w:val="32"/>
          <w:lang w:val="en-US" w:eastAsia="zh-CN"/>
        </w:rPr>
        <w:t>95.01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20.6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增加了人员及文化和旅游支出费用。</w:t>
      </w:r>
    </w:p>
    <w:p w14:paraId="47F82734">
      <w:pPr>
        <w:pStyle w:val="21"/>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644185C6">
      <w:pPr>
        <w:pStyle w:val="21"/>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2023年度收入合计461.18万元，其中：财政拨款收入453.26万元，占98.3%；上级补助收入0万元，占0%；事业收入0万元，占0%；经营收入0万元，占0%；附属单位上缴收入0万元，占0%；其他收入7.92万元，占1.7%。</w:t>
      </w:r>
    </w:p>
    <w:p w14:paraId="5BFFDBE4">
      <w:pPr>
        <w:pStyle w:val="21"/>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0E96E0BE">
      <w:pPr>
        <w:pStyle w:val="21"/>
        <w:ind w:firstLine="640" w:firstLineChars="200"/>
        <w:rPr>
          <w:rFonts w:ascii="Times New Roman" w:hAnsi="Times New Roman" w:cs="Times New Roman"/>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年度支出合计</w:t>
      </w:r>
      <w:r>
        <w:rPr>
          <w:rFonts w:hint="eastAsia" w:asciiTheme="minorEastAsia" w:hAnsiTheme="minorEastAsia" w:eastAsiaTheme="minorEastAsia"/>
          <w:sz w:val="32"/>
          <w:szCs w:val="32"/>
          <w:lang w:val="en-US" w:eastAsia="zh-CN"/>
        </w:rPr>
        <w:t>461.18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180.68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39.2</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280.5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60.8</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0205DE70">
      <w:pPr>
        <w:pStyle w:val="21"/>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237FAD63">
      <w:pPr>
        <w:pStyle w:val="21"/>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2023年度财政拨款收入总计453.26万元，与2022年相比，增加101.24万元,增加22.3%，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rPr>
        <w:t>了</w:t>
      </w:r>
      <w:r>
        <w:rPr>
          <w:rFonts w:hint="eastAsia" w:asciiTheme="minorEastAsia" w:hAnsiTheme="minorEastAsia" w:eastAsiaTheme="minorEastAsia"/>
          <w:sz w:val="32"/>
          <w:szCs w:val="32"/>
          <w:lang w:eastAsia="zh-CN"/>
        </w:rPr>
        <w:t>人员及文化和旅游支出费用。</w:t>
      </w:r>
      <w:r>
        <w:rPr>
          <w:rFonts w:hint="eastAsia" w:asciiTheme="minorEastAsia" w:hAnsiTheme="minorEastAsia" w:eastAsiaTheme="minorEastAsia"/>
          <w:sz w:val="32"/>
          <w:szCs w:val="32"/>
          <w:lang w:val="en-US" w:eastAsia="zh-CN"/>
        </w:rPr>
        <w:t xml:space="preserve">               </w:t>
      </w:r>
    </w:p>
    <w:p w14:paraId="2E4BCCFD">
      <w:pPr>
        <w:pStyle w:val="2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2023年度财政拨款支出总计453.26万元，与2022年相比增加101.24万元,增加22.3%，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rPr>
        <w:t>了</w:t>
      </w:r>
      <w:r>
        <w:rPr>
          <w:rFonts w:hint="eastAsia" w:asciiTheme="minorEastAsia" w:hAnsiTheme="minorEastAsia" w:eastAsiaTheme="minorEastAsia"/>
          <w:sz w:val="32"/>
          <w:szCs w:val="32"/>
          <w:lang w:eastAsia="zh-CN"/>
        </w:rPr>
        <w:t>人员及文化和旅游支出费用。</w:t>
      </w:r>
    </w:p>
    <w:p w14:paraId="5D518293">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1B1A54B6">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51FC64BA">
      <w:pPr>
        <w:pStyle w:val="21"/>
        <w:ind w:firstLine="800" w:firstLineChars="250"/>
        <w:rPr>
          <w:rFonts w:ascii="Times New Roman" w:hAnsi="Times New Roman" w:eastAsia="楷体_GB2312" w:cs="Times New Roman"/>
          <w:b/>
          <w:color w:val="000000"/>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453.26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98.3</w:t>
      </w:r>
      <w:r>
        <w:rPr>
          <w:rFonts w:hint="eastAsia" w:asciiTheme="minorEastAsia" w:hAnsiTheme="minorEastAsia" w:eastAsiaTheme="minorEastAsia"/>
          <w:sz w:val="32"/>
          <w:szCs w:val="32"/>
        </w:rPr>
        <w:t>%，与上年相比，财政拨款支出</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101.24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22.3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人员及文化和旅游支出费用。</w:t>
      </w:r>
    </w:p>
    <w:p w14:paraId="3EBFA67C">
      <w:pPr>
        <w:pStyle w:val="9"/>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4D6FFAFF">
      <w:pPr>
        <w:pStyle w:val="21"/>
        <w:ind w:firstLine="640" w:firstLineChars="200"/>
        <w:rPr>
          <w:rFonts w:ascii="Times New Roman" w:hAnsi="Times New Roman" w:eastAsia="楷体_GB2312" w:cs="Times New Roman"/>
          <w:b/>
          <w:color w:val="000000"/>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453.26</w:t>
      </w:r>
      <w:r>
        <w:rPr>
          <w:rFonts w:hint="eastAsia" w:asciiTheme="minorEastAsia" w:hAnsiTheme="minorEastAsia" w:eastAsiaTheme="minorEastAsia"/>
          <w:sz w:val="32"/>
          <w:szCs w:val="32"/>
        </w:rPr>
        <w:t>万元，主要用于以下方面：一般公共服务支出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%；科学技术支出支出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%;文化旅游体育与传媒支出</w:t>
      </w:r>
      <w:r>
        <w:rPr>
          <w:rFonts w:hint="eastAsia" w:asciiTheme="minorEastAsia" w:hAnsiTheme="minorEastAsia" w:eastAsiaTheme="minorEastAsia"/>
          <w:sz w:val="32"/>
          <w:szCs w:val="32"/>
          <w:lang w:val="en-US" w:eastAsia="zh-CN"/>
        </w:rPr>
        <w:t>446.45</w:t>
      </w:r>
      <w:r>
        <w:rPr>
          <w:rFonts w:hint="eastAsia" w:asciiTheme="minorEastAsia" w:hAnsiTheme="minorEastAsia" w:eastAsiaTheme="minorEastAsia"/>
          <w:sz w:val="32"/>
          <w:szCs w:val="32"/>
          <w:lang w:eastAsia="zh-CN"/>
        </w:rPr>
        <w:t>万元，占</w:t>
      </w:r>
      <w:r>
        <w:rPr>
          <w:rFonts w:hint="eastAsia" w:asciiTheme="minorEastAsia" w:hAnsiTheme="minorEastAsia" w:eastAsiaTheme="minorEastAsia"/>
          <w:sz w:val="32"/>
          <w:szCs w:val="32"/>
          <w:lang w:val="en-US" w:eastAsia="zh-CN"/>
        </w:rPr>
        <w:t>98.5%；社会保障和就业支出0万元，占0%；其他支出6.8万元，占1.5%。</w:t>
      </w:r>
    </w:p>
    <w:p w14:paraId="5188518E">
      <w:pPr>
        <w:pStyle w:val="9"/>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6906CC08">
      <w:pPr>
        <w:pStyle w:val="2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年度财政拨款支出年初预算数为</w:t>
      </w:r>
      <w:r>
        <w:rPr>
          <w:rFonts w:hint="eastAsia" w:ascii="仿宋_GB2312" w:eastAsia="仿宋_GB2312"/>
          <w:color w:val="000000"/>
          <w:sz w:val="32"/>
          <w:szCs w:val="32"/>
          <w:lang w:val="en-US" w:eastAsia="zh-CN"/>
        </w:rPr>
        <w:t>240.71</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461.18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191.6</w:t>
      </w:r>
      <w:r>
        <w:rPr>
          <w:rFonts w:hint="eastAsia" w:asciiTheme="minorEastAsia" w:hAnsiTheme="minorEastAsia" w:eastAsiaTheme="minorEastAsia"/>
          <w:sz w:val="32"/>
          <w:szCs w:val="32"/>
        </w:rPr>
        <w:t>%，其中：</w:t>
      </w:r>
    </w:p>
    <w:p w14:paraId="238EB1F8">
      <w:pPr>
        <w:pStyle w:val="2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、文化旅游体育与传媒支出。</w:t>
      </w:r>
    </w:p>
    <w:p w14:paraId="5D84E5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xml:space="preserve">2023年初预算为240.71万元，支出决算为461.18万元，完成年初预算的191.6%，决算数大于年初预算数的主要原因是：8个镇街的综合文化站均已完成评估定级，评定了7个二级站，1个三级站；设立了株洲街头艺术站田心分站，为辖区增添了文化艺术氛围；结合职教城成立15周年，9月-11月举办“青春不止这YOUNG”九郎山职教城青年歌手大赛，进一步挖掘株洲音乐新声力量，并邀请专业团队打造大赛原创主题歌《青春不止这 </w:t>
      </w:r>
      <w:r>
        <w:rPr>
          <w:rFonts w:hint="default" w:cs="黑体" w:asciiTheme="minorEastAsia" w:hAnsiTheme="minorEastAsia" w:eastAsiaTheme="minorEastAsia"/>
          <w:color w:val="000000"/>
          <w:kern w:val="0"/>
          <w:sz w:val="32"/>
          <w:szCs w:val="32"/>
          <w:lang w:val="en-US" w:eastAsia="zh-CN" w:bidi="ar-SA"/>
        </w:rPr>
        <w:t>Young</w:t>
      </w:r>
      <w:r>
        <w:rPr>
          <w:rFonts w:hint="eastAsia" w:cs="黑体" w:asciiTheme="minorEastAsia" w:hAnsiTheme="minorEastAsia" w:eastAsiaTheme="minorEastAsia"/>
          <w:color w:val="000000"/>
          <w:kern w:val="0"/>
          <w:sz w:val="32"/>
          <w:szCs w:val="32"/>
          <w:lang w:val="en-US" w:eastAsia="zh-CN" w:bidi="ar-SA"/>
        </w:rPr>
        <w:t>》；在文旅大发展态势下，积极作为，努力为石峰旅游添砖加瓦。如“追风拾野享春天”九郎山踏春系列活动，连续两个多月，设置的主会场，分会场，均安排了演出团队，定期演出，吸引人流；举办“九龙龘嬉田心”石峰区2025年元宵喜乐会、“乡韵石峰·送戏下乡”、“文化家家亲·送戏进社区”、“四季村晚”等文化惠民活动100余场。开设声乐、舞蹈、化妆、瑜伽等16类公益培训班67期，惠及3161人次，让群众在家门口就能享受高质量的公共文化服务；省级项目福亭晏拓印技艺被纳入小学五年级教材，石峰剪纸成为多所小学“三点半课堂”科目。以“文化和自然遗产日”为契机，开展非遗进校园活动，挖掘并申报市级非遗项目3个。配合电视台拍摄剪纸视频，在国内外平台播出，提高社会关注度。同时，支持福亭晏拓印、石峰剪纸等项目参加多项展览和活动，成功评定市级非遗工坊，为文化遗产保护贡献力量；另外，打造八桥夜市，点亮清水塘大桥网红地标。八桥夜市将于十一期间正式开业。在场景的打造和活动的设置上，我们融入了星空、音乐、马戏、相亲、工业等元素，游客在夜市上不仅能品尝到各种各样的美食，感受到满满的烟火气，在大桥行人层拍照打卡满天繁星场景，还能参与我们创新开展的沙滩音乐节、马戏节、夜市车展、跳蚤市场等多元化的活动。</w:t>
      </w:r>
    </w:p>
    <w:p w14:paraId="0EF79C78">
      <w:pPr>
        <w:pStyle w:val="21"/>
        <w:numPr>
          <w:ilvl w:val="0"/>
          <w:numId w:val="4"/>
        </w:numPr>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其他支出。</w:t>
      </w:r>
    </w:p>
    <w:p w14:paraId="217E3D2D">
      <w:pPr>
        <w:pStyle w:val="21"/>
        <w:numPr>
          <w:ilvl w:val="0"/>
          <w:numId w:val="0"/>
        </w:numPr>
        <w:ind w:firstLine="640" w:firstLineChars="200"/>
        <w:rPr>
          <w:rFonts w:ascii="Times New Roman" w:hAnsi="Times New Roman" w:eastAsia="楷体_GB2312" w:cs="Times New Roman"/>
          <w:b/>
          <w:color w:val="000000"/>
          <w:kern w:val="0"/>
          <w:sz w:val="32"/>
          <w:szCs w:val="32"/>
        </w:rPr>
      </w:pPr>
      <w:r>
        <w:rPr>
          <w:rFonts w:hint="eastAsia" w:asciiTheme="minorEastAsia" w:hAnsiTheme="minorEastAsia" w:eastAsiaTheme="minorEastAsia"/>
          <w:sz w:val="32"/>
          <w:szCs w:val="32"/>
          <w:lang w:val="en-US" w:eastAsia="zh-CN"/>
        </w:rPr>
        <w:t>2023</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7.92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公益培训等。</w:t>
      </w:r>
    </w:p>
    <w:p w14:paraId="596ED0DC">
      <w:pPr>
        <w:pStyle w:val="9"/>
        <w:numPr>
          <w:ilvl w:val="0"/>
          <w:numId w:val="2"/>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一般公共预算财政拨款基本支出决算情况说明</w:t>
      </w:r>
    </w:p>
    <w:p w14:paraId="39FD22C4">
      <w:pPr>
        <w:pStyle w:val="21"/>
        <w:ind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172.76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154.51</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89.4</w:t>
      </w:r>
      <w:r>
        <w:rPr>
          <w:rFonts w:hint="eastAsia" w:asciiTheme="minorEastAsia" w:hAnsiTheme="minorEastAsia" w:eastAsiaTheme="minorEastAsia"/>
          <w:sz w:val="32"/>
          <w:szCs w:val="32"/>
        </w:rPr>
        <w:t>%,主要包括基本工资、津贴补贴、奖金、伙食补助费</w:t>
      </w:r>
      <w:r>
        <w:rPr>
          <w:rFonts w:asciiTheme="minorEastAsia" w:hAnsiTheme="minorEastAsia" w:eastAsiaTheme="minorEastAsia"/>
          <w:sz w:val="32"/>
          <w:szCs w:val="32"/>
        </w:rPr>
        <w:t>……</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18.25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10.6</w:t>
      </w:r>
      <w:r>
        <w:rPr>
          <w:rFonts w:hint="eastAsia" w:asciiTheme="minorEastAsia" w:hAnsiTheme="minorEastAsia" w:eastAsiaTheme="minorEastAsia"/>
          <w:sz w:val="32"/>
          <w:szCs w:val="32"/>
        </w:rPr>
        <w:t>%，主要包括办公费、印刷费、咨询费、手续费。</w:t>
      </w:r>
    </w:p>
    <w:p w14:paraId="17737315">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20E36D21">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2D95F0B5">
      <w:pPr>
        <w:pStyle w:val="21"/>
        <w:ind w:firstLine="800" w:firstLine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2023年度“三公”经费财政拨款支出预算为0万元，支出决算为0万元，完成预算的0%，决算数等于预算数,其中：</w:t>
      </w:r>
    </w:p>
    <w:p w14:paraId="25F066D5">
      <w:pPr>
        <w:pStyle w:val="21"/>
        <w:ind w:firstLine="800" w:firstLine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因公出国（境）费支出预算为0万元，支出决算为0万元，完成预算的0%，决算数等于预算数。</w:t>
      </w:r>
    </w:p>
    <w:p w14:paraId="53315337">
      <w:pPr>
        <w:pStyle w:val="21"/>
        <w:ind w:firstLine="800" w:firstLine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公务接待费支出预算为0万元，支出决算为0万元，完成预算的0%，决算数等于预算数。</w:t>
      </w:r>
    </w:p>
    <w:p w14:paraId="68AACA6F">
      <w:pPr>
        <w:pStyle w:val="21"/>
        <w:ind w:firstLine="800" w:firstLine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公务用车购置费支出预算为0万元，支出决算为0万元，完成预算的0.0%，完成预算的0%，决算数等于预算数。</w:t>
      </w:r>
    </w:p>
    <w:p w14:paraId="0F5FD972">
      <w:pPr>
        <w:pStyle w:val="21"/>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公务用车运行维护费支出预算为0万元，支出决算为0万元，完成预算的0%，决算数等于预算数。</w:t>
      </w:r>
    </w:p>
    <w:p w14:paraId="731430DB">
      <w:pPr>
        <w:pStyle w:val="21"/>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97095B9">
      <w:pPr>
        <w:pStyle w:val="21"/>
        <w:ind w:firstLine="800" w:firstLine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2023年度“三公”经费财政拨款支出决算中，公务接待费支出决算0万元，占0%,因公出国（境）费支出决算0万元，占0%,公务用车购置费及运行维护费支出决算0万元，占0%。其中：</w:t>
      </w:r>
    </w:p>
    <w:p w14:paraId="7CDF8D9D">
      <w:pPr>
        <w:pStyle w:val="21"/>
        <w:ind w:firstLine="800" w:firstLine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xml:space="preserve">1、因公出国（境）费支出决算为0万元，全年安排因公出国（境）团组0个，累计0人次。    </w:t>
      </w:r>
    </w:p>
    <w:p w14:paraId="1E00693E">
      <w:pPr>
        <w:pStyle w:val="21"/>
        <w:ind w:firstLine="800" w:firstLine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2、公务接待费支出决算为0万元，全年共接待来访团组0个、来宾0人次。</w:t>
      </w:r>
    </w:p>
    <w:p w14:paraId="08CCD82B">
      <w:pPr>
        <w:pStyle w:val="21"/>
        <w:ind w:firstLine="800" w:firstLineChars="25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3、公务用车购置费及运行维护费支出决算为0万元，其中：公务用车购置费0万元，购置公务用车0辆。公务用车运行维护费0万元，截止2023年12月31日，我单位开支财政拨款的公务用车保有量为0辆。</w:t>
      </w:r>
    </w:p>
    <w:p w14:paraId="08E7DFF6">
      <w:pPr>
        <w:pStyle w:val="9"/>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2FD7E5B5">
      <w:pPr>
        <w:pStyle w:val="9"/>
        <w:autoSpaceDE w:val="0"/>
        <w:autoSpaceDN w:val="0"/>
        <w:adjustRightInd w:val="0"/>
        <w:spacing w:line="570" w:lineRule="exact"/>
        <w:ind w:firstLine="640" w:firstLineChars="200"/>
        <w:rPr>
          <w:rFonts w:hint="eastAsia" w:ascii="Times New Roman" w:hAnsi="Times New Roman" w:cs="Times New Roman" w:eastAsiaTheme="minorEastAsia"/>
          <w:color w:val="000000"/>
          <w:kern w:val="0"/>
          <w:sz w:val="32"/>
          <w:szCs w:val="32"/>
          <w:lang w:val="en-US"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年度政府性基金预算财政拨款收入</w:t>
      </w:r>
      <w:r>
        <w:rPr>
          <w:rFonts w:hint="eastAsia" w:asciiTheme="minorEastAsia" w:hAnsiTheme="minorEastAsia" w:eastAsiaTheme="minorEastAsia"/>
          <w:sz w:val="32"/>
          <w:szCs w:val="32"/>
          <w:lang w:val="en-US" w:eastAsia="zh-CN"/>
        </w:rPr>
        <w:t>6.8</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6.8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6.8</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14:paraId="7ED1027E">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3650BC69">
      <w:pPr>
        <w:pStyle w:val="9"/>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4A0741FA">
      <w:pPr>
        <w:pStyle w:val="9"/>
        <w:numPr>
          <w:ilvl w:val="0"/>
          <w:numId w:val="5"/>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04F829C3">
      <w:pPr>
        <w:pStyle w:val="9"/>
        <w:autoSpaceDE w:val="0"/>
        <w:autoSpaceDN w:val="0"/>
        <w:adjustRightInd w:val="0"/>
        <w:spacing w:line="570" w:lineRule="exact"/>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年度机关运行经费支出</w:t>
      </w:r>
      <w:r>
        <w:rPr>
          <w:rFonts w:hint="eastAsia" w:asciiTheme="minorEastAsia" w:hAnsiTheme="minorEastAsia" w:eastAsiaTheme="minorEastAsia"/>
          <w:sz w:val="32"/>
          <w:szCs w:val="32"/>
          <w:lang w:val="en-US" w:eastAsia="zh-CN"/>
        </w:rPr>
        <w:t>172.76</w:t>
      </w:r>
      <w:r>
        <w:rPr>
          <w:rFonts w:hint="eastAsia" w:asciiTheme="minorEastAsia" w:hAnsiTheme="minorEastAsia" w:eastAsiaTheme="minorEastAsia"/>
          <w:sz w:val="32"/>
          <w:szCs w:val="32"/>
        </w:rPr>
        <w:t>万元，比年初预算数</w:t>
      </w:r>
      <w:r>
        <w:rPr>
          <w:rFonts w:hint="eastAsia" w:asciiTheme="minorEastAsia" w:hAnsiTheme="minorEastAsia" w:eastAsiaTheme="minorEastAsia"/>
          <w:sz w:val="32"/>
          <w:szCs w:val="32"/>
          <w:lang w:eastAsia="zh-CN"/>
        </w:rPr>
        <w:t>增加了</w:t>
      </w:r>
      <w:r>
        <w:rPr>
          <w:rFonts w:hint="eastAsia" w:asciiTheme="minorEastAsia" w:hAnsiTheme="minorEastAsia" w:eastAsiaTheme="minorEastAsia"/>
          <w:sz w:val="32"/>
          <w:szCs w:val="32"/>
          <w:lang w:val="en-US" w:eastAsia="zh-CN"/>
        </w:rPr>
        <w:t>12.05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降低了</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人员增加，工资福利奖金支出</w:t>
      </w:r>
      <w:r>
        <w:rPr>
          <w:rFonts w:hint="eastAsia" w:asciiTheme="minorEastAsia" w:hAnsiTheme="minorEastAsia" w:eastAsiaTheme="minorEastAsia"/>
          <w:sz w:val="32"/>
          <w:szCs w:val="32"/>
        </w:rPr>
        <w:t>。</w:t>
      </w:r>
    </w:p>
    <w:p w14:paraId="3FE99778">
      <w:pPr>
        <w:pStyle w:val="9"/>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27529E59">
      <w:pPr>
        <w:pStyle w:val="21"/>
        <w:ind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14:paraId="2688CDD0">
      <w:pPr>
        <w:pStyle w:val="9"/>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639C1631">
      <w:pPr>
        <w:pStyle w:val="21"/>
        <w:ind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年度政府采购支出总额</w:t>
      </w:r>
      <w:r>
        <w:rPr>
          <w:rFonts w:hint="eastAsia" w:asciiTheme="minorEastAsia" w:hAnsiTheme="minorEastAsia" w:eastAsiaTheme="minorEastAsia"/>
          <w:sz w:val="32"/>
          <w:szCs w:val="32"/>
          <w:lang w:val="en-US" w:eastAsia="zh-CN"/>
        </w:rPr>
        <w:t>331.61</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331.61</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14:paraId="5ACA6183">
      <w:pPr>
        <w:pStyle w:val="9"/>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0D77DCA3">
      <w:pPr>
        <w:pStyle w:val="9"/>
        <w:autoSpaceDE w:val="0"/>
        <w:autoSpaceDN w:val="0"/>
        <w:adjustRightInd w:val="0"/>
        <w:spacing w:line="570" w:lineRule="exact"/>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截至2023年12月31日，部门（单位）共有车辆0辆，其中，主要领导干部用车0辆，机要通信用车0辆、应急保障用车0辆、执法执勤用车0辆、特种专业技术用车0辆、其他用车0辆。</w:t>
      </w:r>
    </w:p>
    <w:p w14:paraId="3BEF1276">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1EC7E302">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781E60CA">
      <w:pPr>
        <w:tabs>
          <w:tab w:val="left" w:pos="7560"/>
        </w:tabs>
        <w:adjustRightInd w:val="0"/>
        <w:snapToGrid w:val="0"/>
        <w:spacing w:line="540" w:lineRule="exact"/>
        <w:ind w:firstLine="640" w:firstLineChars="200"/>
        <w:jc w:val="left"/>
        <w:rPr>
          <w:rFonts w:hint="default" w:cs="Calibri" w:asciiTheme="minorEastAsia" w:hAnsiTheme="minorEastAsia" w:eastAsiaTheme="minorEastAsia"/>
          <w:kern w:val="2"/>
          <w:sz w:val="32"/>
          <w:szCs w:val="32"/>
          <w:lang w:val="en-US" w:eastAsia="zh-CN" w:bidi="ar-SA"/>
        </w:rPr>
      </w:pPr>
      <w:r>
        <w:rPr>
          <w:rFonts w:hint="default" w:cs="Calibri" w:asciiTheme="minorEastAsia" w:hAnsiTheme="minorEastAsia" w:eastAsiaTheme="minorEastAsia"/>
          <w:kern w:val="2"/>
          <w:sz w:val="32"/>
          <w:szCs w:val="32"/>
          <w:lang w:val="en-US" w:eastAsia="zh-CN" w:bidi="ar-SA"/>
        </w:rPr>
        <w:t>1</w:t>
      </w:r>
      <w:r>
        <w:rPr>
          <w:rFonts w:hint="eastAsia" w:cs="Calibri" w:asciiTheme="minorEastAsia" w:hAnsiTheme="minorEastAsia" w:eastAsiaTheme="minorEastAsia"/>
          <w:kern w:val="2"/>
          <w:sz w:val="32"/>
          <w:szCs w:val="32"/>
          <w:lang w:val="en-US" w:eastAsia="zh-CN" w:bidi="ar-SA"/>
        </w:rPr>
        <w:t>．</w:t>
      </w:r>
      <w:r>
        <w:rPr>
          <w:rFonts w:hint="default" w:cs="Calibri" w:asciiTheme="minorEastAsia" w:hAnsiTheme="minorEastAsia" w:eastAsiaTheme="minorEastAsia"/>
          <w:kern w:val="2"/>
          <w:sz w:val="32"/>
          <w:szCs w:val="32"/>
          <w:lang w:val="en-US" w:eastAsia="zh-CN" w:bidi="ar-SA"/>
        </w:rPr>
        <w:t>项目“文化旅游体育专项”年初预算金额</w:t>
      </w:r>
      <w:r>
        <w:rPr>
          <w:rFonts w:hint="eastAsia" w:cs="Calibri" w:asciiTheme="minorEastAsia" w:hAnsiTheme="minorEastAsia" w:eastAsiaTheme="minorEastAsia"/>
          <w:kern w:val="2"/>
          <w:sz w:val="32"/>
          <w:szCs w:val="32"/>
          <w:lang w:val="en-US" w:eastAsia="zh-CN" w:bidi="ar-SA"/>
        </w:rPr>
        <w:t>60</w:t>
      </w:r>
      <w:r>
        <w:rPr>
          <w:rFonts w:hint="default" w:cs="Calibri" w:asciiTheme="minorEastAsia" w:hAnsiTheme="minorEastAsia" w:eastAsiaTheme="minorEastAsia"/>
          <w:kern w:val="2"/>
          <w:sz w:val="32"/>
          <w:szCs w:val="32"/>
          <w:lang w:val="en-US" w:eastAsia="zh-CN" w:bidi="ar-SA"/>
        </w:rPr>
        <w:t>万元，年中调增</w:t>
      </w:r>
      <w:r>
        <w:rPr>
          <w:rFonts w:hint="eastAsia" w:cs="Calibri" w:asciiTheme="minorEastAsia" w:hAnsiTheme="minorEastAsia" w:eastAsiaTheme="minorEastAsia"/>
          <w:kern w:val="2"/>
          <w:sz w:val="32"/>
          <w:szCs w:val="32"/>
          <w:lang w:val="en-US" w:eastAsia="zh-CN" w:bidi="ar-SA"/>
        </w:rPr>
        <w:t>220.49万元，</w:t>
      </w:r>
      <w:r>
        <w:rPr>
          <w:rFonts w:hint="default" w:cs="Calibri" w:asciiTheme="minorEastAsia" w:hAnsiTheme="minorEastAsia" w:eastAsiaTheme="minorEastAsia"/>
          <w:kern w:val="2"/>
          <w:sz w:val="32"/>
          <w:szCs w:val="32"/>
          <w:lang w:val="en-US" w:eastAsia="zh-CN" w:bidi="ar-SA"/>
        </w:rPr>
        <w:t>实际支出</w:t>
      </w:r>
      <w:r>
        <w:rPr>
          <w:rFonts w:hint="eastAsia" w:cs="Calibri" w:asciiTheme="minorEastAsia" w:hAnsiTheme="minorEastAsia" w:eastAsiaTheme="minorEastAsia"/>
          <w:kern w:val="2"/>
          <w:sz w:val="32"/>
          <w:szCs w:val="32"/>
          <w:lang w:val="en-US" w:eastAsia="zh-CN" w:bidi="ar-SA"/>
        </w:rPr>
        <w:t>280.49</w:t>
      </w:r>
      <w:r>
        <w:rPr>
          <w:rFonts w:hint="default" w:cs="Calibri" w:asciiTheme="minorEastAsia" w:hAnsiTheme="minorEastAsia" w:eastAsiaTheme="minorEastAsia"/>
          <w:kern w:val="2"/>
          <w:sz w:val="32"/>
          <w:szCs w:val="32"/>
          <w:lang w:val="en-US" w:eastAsia="zh-CN" w:bidi="ar-SA"/>
        </w:rPr>
        <w:t>万元，结余结转</w:t>
      </w:r>
      <w:r>
        <w:rPr>
          <w:rFonts w:hint="eastAsia" w:cs="Calibri" w:asciiTheme="minorEastAsia" w:hAnsiTheme="minorEastAsia" w:eastAsiaTheme="minorEastAsia"/>
          <w:kern w:val="2"/>
          <w:sz w:val="32"/>
          <w:szCs w:val="32"/>
          <w:lang w:val="en-US" w:eastAsia="zh-CN" w:bidi="ar-SA"/>
        </w:rPr>
        <w:t>0</w:t>
      </w:r>
      <w:r>
        <w:rPr>
          <w:rFonts w:hint="default" w:cs="Calibri" w:asciiTheme="minorEastAsia" w:hAnsiTheme="minorEastAsia" w:eastAsiaTheme="minorEastAsia"/>
          <w:kern w:val="2"/>
          <w:sz w:val="32"/>
          <w:szCs w:val="32"/>
          <w:lang w:val="en-US" w:eastAsia="zh-CN" w:bidi="ar-SA"/>
        </w:rPr>
        <w:t>万元。项目实施及绩效情况如下：</w:t>
      </w:r>
    </w:p>
    <w:p w14:paraId="7379BA49">
      <w:pPr>
        <w:tabs>
          <w:tab w:val="left" w:pos="7560"/>
        </w:tabs>
        <w:adjustRightInd w:val="0"/>
        <w:snapToGrid w:val="0"/>
        <w:spacing w:line="540" w:lineRule="exact"/>
        <w:ind w:firstLine="640" w:firstLineChars="200"/>
        <w:jc w:val="left"/>
        <w:rPr>
          <w:rFonts w:hint="eastAsia" w:cs="Calibri" w:asciiTheme="minorEastAsia" w:hAnsiTheme="minorEastAsia" w:eastAsiaTheme="minorEastAsia"/>
          <w:kern w:val="2"/>
          <w:sz w:val="32"/>
          <w:szCs w:val="32"/>
          <w:lang w:val="en-US" w:eastAsia="zh-CN" w:bidi="ar-SA"/>
        </w:rPr>
      </w:pPr>
      <w:r>
        <w:rPr>
          <w:rFonts w:hint="default" w:cs="Calibri" w:asciiTheme="minorEastAsia" w:hAnsiTheme="minorEastAsia" w:eastAsiaTheme="minorEastAsia"/>
          <w:kern w:val="2"/>
          <w:sz w:val="32"/>
          <w:szCs w:val="32"/>
          <w:lang w:val="en-US" w:eastAsia="zh-CN" w:bidi="ar-SA"/>
        </w:rPr>
        <w:t>（1）文化旅游体育专项工作经费</w:t>
      </w:r>
      <w:r>
        <w:rPr>
          <w:rFonts w:hint="eastAsia" w:cs="Calibri" w:asciiTheme="minorEastAsia" w:hAnsiTheme="minorEastAsia" w:eastAsiaTheme="minorEastAsia"/>
          <w:kern w:val="2"/>
          <w:sz w:val="32"/>
          <w:szCs w:val="32"/>
          <w:lang w:val="en-US" w:eastAsia="zh-CN" w:bidi="ar-SA"/>
        </w:rPr>
        <w:t>：</w:t>
      </w:r>
    </w:p>
    <w:p w14:paraId="651931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cs="Calibri" w:asciiTheme="minorEastAsia" w:hAnsiTheme="minorEastAsia" w:eastAsiaTheme="minorEastAsia"/>
          <w:kern w:val="2"/>
          <w:sz w:val="32"/>
          <w:szCs w:val="32"/>
          <w:lang w:val="en-US" w:eastAsia="zh-CN" w:bidi="ar-SA"/>
        </w:rPr>
      </w:pPr>
      <w:r>
        <w:rPr>
          <w:rFonts w:hint="default" w:cs="Calibri" w:asciiTheme="minorEastAsia" w:hAnsiTheme="minorEastAsia" w:eastAsiaTheme="minorEastAsia"/>
          <w:kern w:val="2"/>
          <w:sz w:val="32"/>
          <w:szCs w:val="32"/>
          <w:lang w:val="en-US" w:eastAsia="zh-CN" w:bidi="ar-SA"/>
        </w:rPr>
        <w:t>项目支出</w:t>
      </w:r>
      <w:r>
        <w:rPr>
          <w:rFonts w:hint="eastAsia" w:cs="Calibri" w:asciiTheme="minorEastAsia" w:hAnsiTheme="minorEastAsia" w:eastAsiaTheme="minorEastAsia"/>
          <w:kern w:val="2"/>
          <w:sz w:val="32"/>
          <w:szCs w:val="32"/>
          <w:lang w:val="en-US" w:eastAsia="zh-CN" w:bidi="ar-SA"/>
        </w:rPr>
        <w:t>238.49</w:t>
      </w:r>
      <w:r>
        <w:rPr>
          <w:rFonts w:hint="default" w:cs="Calibri" w:asciiTheme="minorEastAsia" w:hAnsiTheme="minorEastAsia" w:eastAsiaTheme="minorEastAsia"/>
          <w:kern w:val="2"/>
          <w:sz w:val="32"/>
          <w:szCs w:val="32"/>
          <w:lang w:val="en-US" w:eastAsia="zh-CN" w:bidi="ar-SA"/>
        </w:rPr>
        <w:t>万元，主要用于</w:t>
      </w:r>
      <w:r>
        <w:rPr>
          <w:rFonts w:hint="eastAsia" w:cs="Calibri" w:asciiTheme="minorEastAsia" w:hAnsiTheme="minorEastAsia" w:eastAsiaTheme="minorEastAsia"/>
          <w:kern w:val="2"/>
          <w:sz w:val="32"/>
          <w:szCs w:val="32"/>
          <w:lang w:val="en-US" w:eastAsia="zh-CN" w:bidi="ar-SA"/>
        </w:rPr>
        <w:t>图书馆委托运营及三所24小时书屋委托运营费用，新增“门前三小”5个，打造“幸福邻里文体分院”5个。大力实施文化惠民“双百工程”，举办“福满株洲·欢乐石峰”清水塘印象元宵喜乐会、“乡韵石峰·送戏下乡”、“文化家家亲·送戏进社区”、“四季村晚”等文化惠民活动209场次。开设中国舞、化妆、声乐、收纳整理、手机视频剪辑等公益培训214个课时，招募学员约2400名，让群众在“家门口”也能享受高质量的公共文化服务。</w:t>
      </w:r>
    </w:p>
    <w:p w14:paraId="345A70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石峰区共计承办、举办或协办活动549场，发布省级以上媒体报道280篇，打造市级以上成果亮点171个。</w:t>
      </w:r>
    </w:p>
    <w:p w14:paraId="49FD344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举办“向往的生活·城市微度假计划”营地经济发展论坛，联合长沙市雨花区、株洲市经开区、湘潭市岳塘区举办长株潭一体化绿心欢乐跑暨九郎山生态旅游节，石峰九郎知名度不断提升。打造“石峰亲子游”品牌，整合中车株机、技成教育、斯凯航空、方特、九郎山、秋瑾故居等现有文旅资源，包装策划出石峰生态游“湖山”之旅、“匠心智造”工业游学之旅、“特色亲子游”项目之旅亲子游线路3条,成功举办40期，近1500组家庭参加，营业额36万。</w:t>
      </w:r>
    </w:p>
    <w:p w14:paraId="204B488E">
      <w:pPr>
        <w:pStyle w:val="14"/>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完成体育场地和体育产业普查，组织街道、社区（村）对辖区所有健身器材及破损情况进行摸底排查，为街道、社区（村）添置健身器材14套，近100件。学校、机关企事业单位的体育设施全覆盖，社区建有体育设施率100%，公共体育场馆开放率100%。2023舞动中国排舞联赛（湖南株洲站）荣获三个特等奖、四个一等奖。株洲市第十届老年人体育比赛获最佳组织奖等四个奖项。健身气功市级赛荣获三个一等奖。湖南省第四届运动会株洲市选拔赛团体总分第四名。株洲市文旅广体系统机关气排球比赛荣获团体第四名。举办了第二届长株潭融城半程马拉松、“九郎山杯”广场舞大赛、趣味运动会、三级社会体育指导员培训、游泳竞赛等一系列丰富多彩的赛事活动。另外，联合中车举办半程马拉松，联合株洲市棋类协会举办“九郎山杯”第五届围棋甲级联赛，联合区教育局举行石峰区中小学生篮球赛，引导更多群众参与全民健身，激发群众体育新活力。</w:t>
      </w:r>
    </w:p>
    <w:p w14:paraId="72055B53">
      <w:pPr>
        <w:pStyle w:val="14"/>
        <w:keepNext w:val="0"/>
        <w:keepLines w:val="0"/>
        <w:pageBreakBefore w:val="0"/>
        <w:widowControl w:val="0"/>
        <w:numPr>
          <w:ilvl w:val="0"/>
          <w:numId w:val="6"/>
        </w:numPr>
        <w:kinsoku/>
        <w:wordWrap/>
        <w:overflowPunct/>
        <w:topLinePunct w:val="0"/>
        <w:autoSpaceDE/>
        <w:autoSpaceDN/>
        <w:bidi w:val="0"/>
        <w:adjustRightInd/>
        <w:snapToGrid/>
        <w:spacing w:after="0" w:line="580" w:lineRule="exact"/>
        <w:ind w:left="0" w:leftChars="0" w:firstLine="640" w:firstLineChars="200"/>
        <w:textAlignment w:val="auto"/>
        <w:rPr>
          <w:rFonts w:hint="default" w:cs="Calibri" w:asciiTheme="minorEastAsia" w:hAnsiTheme="minorEastAsia" w:eastAsiaTheme="minorEastAsia"/>
          <w:kern w:val="2"/>
          <w:sz w:val="32"/>
          <w:szCs w:val="32"/>
          <w:lang w:val="en-US" w:eastAsia="zh-CN" w:bidi="ar-SA"/>
        </w:rPr>
      </w:pPr>
      <w:r>
        <w:rPr>
          <w:rFonts w:hint="default" w:cs="Calibri" w:asciiTheme="minorEastAsia" w:hAnsiTheme="minorEastAsia" w:eastAsiaTheme="minorEastAsia"/>
          <w:kern w:val="2"/>
          <w:sz w:val="32"/>
          <w:szCs w:val="32"/>
          <w:lang w:val="en-US" w:eastAsia="zh-CN" w:bidi="ar-SA"/>
        </w:rPr>
        <w:t>三馆免费开放经费项目</w:t>
      </w:r>
    </w:p>
    <w:p w14:paraId="1B25AF58">
      <w:pPr>
        <w:pStyle w:val="14"/>
        <w:keepNext w:val="0"/>
        <w:keepLines w:val="0"/>
        <w:pageBreakBefore w:val="0"/>
        <w:widowControl w:val="0"/>
        <w:numPr>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default" w:cs="Calibri" w:asciiTheme="minorEastAsia" w:hAnsiTheme="minorEastAsia" w:eastAsiaTheme="minorEastAsia"/>
          <w:kern w:val="2"/>
          <w:sz w:val="32"/>
          <w:szCs w:val="32"/>
          <w:lang w:val="en-US" w:eastAsia="zh-CN" w:bidi="ar-SA"/>
        </w:rPr>
        <w:t>项目支出</w:t>
      </w:r>
      <w:r>
        <w:rPr>
          <w:rFonts w:hint="eastAsia" w:cs="Calibri" w:asciiTheme="minorEastAsia" w:hAnsiTheme="minorEastAsia" w:eastAsiaTheme="minorEastAsia"/>
          <w:kern w:val="2"/>
          <w:sz w:val="32"/>
          <w:szCs w:val="32"/>
          <w:lang w:val="en-US" w:eastAsia="zh-CN" w:bidi="ar-SA"/>
        </w:rPr>
        <w:t>42</w:t>
      </w:r>
      <w:r>
        <w:rPr>
          <w:rFonts w:hint="default" w:cs="Calibri" w:asciiTheme="minorEastAsia" w:hAnsiTheme="minorEastAsia" w:eastAsiaTheme="minorEastAsia"/>
          <w:kern w:val="2"/>
          <w:sz w:val="32"/>
          <w:szCs w:val="32"/>
          <w:lang w:val="en-US" w:eastAsia="zh-CN" w:bidi="ar-SA"/>
        </w:rPr>
        <w:t>万元，主要用于文化馆的电费、水费、饮用水费、电话费及卫生人员守馆人员工资等、图书馆文化馆宽带费用以及拨付7个街道综合文化站免费开放费用等。</w:t>
      </w:r>
    </w:p>
    <w:p w14:paraId="2035D2BD">
      <w:pPr>
        <w:pStyle w:val="9"/>
        <w:numPr>
          <w:ilvl w:val="0"/>
          <w:numId w:val="7"/>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56963257">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（一）文化工作方面：</w:t>
      </w:r>
    </w:p>
    <w:p w14:paraId="51BA7458">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1.石峰区沙坡里非遗工坊被评定为非遗工坊省级示范点，是株洲市首个非遗工坊省级示范点。</w:t>
      </w:r>
    </w:p>
    <w:p w14:paraId="34CB4A63">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2.福亭晏拓印技艺获评省级非物质文化遗产代表性项目，成功打破我区无省级项目的非遗历史。</w:t>
      </w:r>
    </w:p>
    <w:p w14:paraId="558B3106">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3</w:t>
      </w:r>
      <w:r>
        <w:rPr>
          <w:rFonts w:hint="default" w:cs="Calibri" w:asciiTheme="minorEastAsia" w:hAnsiTheme="minorEastAsia" w:eastAsiaTheme="minorEastAsia"/>
          <w:kern w:val="2"/>
          <w:sz w:val="32"/>
          <w:szCs w:val="32"/>
          <w:lang w:val="en-US" w:eastAsia="zh-CN" w:bidi="ar-SA"/>
        </w:rPr>
        <w:t>.</w:t>
      </w:r>
      <w:r>
        <w:rPr>
          <w:rFonts w:hint="eastAsia" w:cs="Calibri" w:asciiTheme="minorEastAsia" w:hAnsiTheme="minorEastAsia" w:eastAsiaTheme="minorEastAsia"/>
          <w:kern w:val="2"/>
          <w:sz w:val="32"/>
          <w:szCs w:val="32"/>
          <w:lang w:val="en-US" w:eastAsia="zh-CN" w:bidi="ar-SA"/>
        </w:rPr>
        <w:t>由我区田心剪纸牵头，与渌口、芦淞区合并申报的株洲剪纸，获评省级非物质文化遗产代表性项目。</w:t>
      </w:r>
    </w:p>
    <w:p w14:paraId="3EB90BFD">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4</w:t>
      </w:r>
      <w:r>
        <w:rPr>
          <w:rFonts w:hint="default" w:cs="Calibri" w:asciiTheme="minorEastAsia" w:hAnsiTheme="minorEastAsia" w:eastAsiaTheme="minorEastAsia"/>
          <w:kern w:val="2"/>
          <w:sz w:val="32"/>
          <w:szCs w:val="32"/>
          <w:lang w:val="en-US" w:eastAsia="zh-CN" w:bidi="ar-SA"/>
        </w:rPr>
        <w:t>.</w:t>
      </w:r>
      <w:r>
        <w:rPr>
          <w:rFonts w:hint="eastAsia" w:cs="Calibri" w:asciiTheme="minorEastAsia" w:hAnsiTheme="minorEastAsia" w:eastAsiaTheme="minorEastAsia"/>
          <w:kern w:val="2"/>
          <w:sz w:val="32"/>
          <w:szCs w:val="32"/>
          <w:lang w:val="en-US" w:eastAsia="zh-CN" w:bidi="ar-SA"/>
        </w:rPr>
        <w:t>《五线谱上快乐的音符》参加湖南省“欢乐潇湘”总决赛荣获“优秀节目”。</w:t>
      </w:r>
    </w:p>
    <w:p w14:paraId="1DD19ABB">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（二）旅游工作方面：</w:t>
      </w:r>
    </w:p>
    <w:p w14:paraId="415457A0">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1.石峰区九郎山森林公园成功创建国家级3A级旅游景区。</w:t>
      </w:r>
    </w:p>
    <w:p w14:paraId="52382A18">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2.株洲数字工业创新中心获评省级工业旅游示范点。</w:t>
      </w:r>
    </w:p>
    <w:p w14:paraId="7A02889A">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3.老乡亲农家院子餐饮店、轩农府餐饮店获评湖南省四星级乡村旅游点。</w:t>
      </w:r>
    </w:p>
    <w:p w14:paraId="6A60AACE">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4.石峰区云栖桃源WeLand营地成功入选湖南省乡村旅游精品营地。</w:t>
      </w:r>
    </w:p>
    <w:p w14:paraId="02C75FDB">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5.斯凯航空无人机研学基地获评市级工业旅游示范点。</w:t>
      </w:r>
    </w:p>
    <w:p w14:paraId="271F8E9B">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6.三季度全市评比中石峰区打造“三个高地”品牌推广工作荣获亚军。</w:t>
      </w:r>
    </w:p>
    <w:p w14:paraId="16610580">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default"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（三）体育工作方面:</w:t>
      </w:r>
    </w:p>
    <w:p w14:paraId="25380C3C">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1.2023舞动中国排舞联赛（湖南株洲站）荣获三个特等奖、四个一等奖。</w:t>
      </w:r>
    </w:p>
    <w:p w14:paraId="6D54EF5B">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2.株洲市第十届老年人体育比赛获最佳组织奖等四个奖项。</w:t>
      </w:r>
    </w:p>
    <w:p w14:paraId="559EE9B2">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3.健身气功市级赛荣获三个一等奖。</w:t>
      </w:r>
    </w:p>
    <w:p w14:paraId="39C1B11A">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eastAsia"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4.湖南省第四届运动会株洲市选拔赛团体总分第四名。</w:t>
      </w:r>
    </w:p>
    <w:p w14:paraId="3ECB2D42">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0" w:leftChars="0" w:firstLine="640" w:firstLineChars="200"/>
        <w:textAlignment w:val="auto"/>
        <w:rPr>
          <w:rFonts w:hint="default" w:cs="Calibri" w:asciiTheme="minorEastAsia" w:hAnsiTheme="minorEastAsia" w:eastAsiaTheme="minorEastAsia"/>
          <w:kern w:val="2"/>
          <w:sz w:val="32"/>
          <w:szCs w:val="32"/>
          <w:lang w:val="en-US" w:eastAsia="zh-CN" w:bidi="ar-SA"/>
        </w:rPr>
      </w:pPr>
      <w:r>
        <w:rPr>
          <w:rFonts w:hint="eastAsia" w:cs="Calibri" w:asciiTheme="minorEastAsia" w:hAnsiTheme="minorEastAsia" w:eastAsiaTheme="minorEastAsia"/>
          <w:kern w:val="2"/>
          <w:sz w:val="32"/>
          <w:szCs w:val="32"/>
          <w:lang w:val="en-US" w:eastAsia="zh-CN" w:bidi="ar-SA"/>
        </w:rPr>
        <w:t>5</w:t>
      </w:r>
      <w:r>
        <w:rPr>
          <w:rFonts w:hint="default" w:cs="Calibri" w:asciiTheme="minorEastAsia" w:hAnsiTheme="minorEastAsia" w:eastAsiaTheme="minorEastAsia"/>
          <w:kern w:val="2"/>
          <w:sz w:val="32"/>
          <w:szCs w:val="32"/>
          <w:lang w:val="en-US" w:eastAsia="zh-CN" w:bidi="ar-SA"/>
        </w:rPr>
        <w:t>.</w:t>
      </w:r>
      <w:r>
        <w:rPr>
          <w:rFonts w:hint="eastAsia" w:cs="Calibri" w:asciiTheme="minorEastAsia" w:hAnsiTheme="minorEastAsia" w:eastAsiaTheme="minorEastAsia"/>
          <w:kern w:val="2"/>
          <w:sz w:val="32"/>
          <w:szCs w:val="32"/>
          <w:lang w:val="en-US" w:eastAsia="zh-CN" w:bidi="ar-SA"/>
        </w:rPr>
        <w:t>株洲市文旅广体系统机关气排球比赛荣获团体第四名。</w:t>
      </w:r>
    </w:p>
    <w:p w14:paraId="537BB1AC">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267ABA2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59833B46">
      <w:pPr>
        <w:pStyle w:val="21"/>
        <w:jc w:val="both"/>
        <w:rPr>
          <w:rFonts w:ascii="Times New Roman" w:hAnsi="Times New Roman" w:cs="Times New Roman"/>
          <w:sz w:val="84"/>
          <w:szCs w:val="84"/>
        </w:rPr>
      </w:pPr>
    </w:p>
    <w:p w14:paraId="005F7108">
      <w:pPr>
        <w:pStyle w:val="21"/>
        <w:jc w:val="both"/>
        <w:rPr>
          <w:rFonts w:ascii="Times New Roman" w:hAnsi="Times New Roman" w:cs="Times New Roman"/>
          <w:sz w:val="84"/>
          <w:szCs w:val="84"/>
        </w:rPr>
      </w:pPr>
    </w:p>
    <w:p w14:paraId="652C6E04">
      <w:pPr>
        <w:pStyle w:val="21"/>
        <w:jc w:val="both"/>
        <w:rPr>
          <w:rFonts w:ascii="Times New Roman" w:hAnsi="Times New Roman" w:cs="Times New Roman"/>
          <w:sz w:val="84"/>
          <w:szCs w:val="84"/>
        </w:rPr>
      </w:pPr>
    </w:p>
    <w:p w14:paraId="09BC66FF">
      <w:pPr>
        <w:pStyle w:val="21"/>
        <w:jc w:val="both"/>
        <w:rPr>
          <w:rFonts w:ascii="Times New Roman" w:hAnsi="Times New Roman" w:cs="Times New Roman"/>
          <w:sz w:val="84"/>
          <w:szCs w:val="84"/>
        </w:rPr>
      </w:pPr>
    </w:p>
    <w:p w14:paraId="311BE812">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3ECD4E6A">
      <w:pPr>
        <w:pStyle w:val="21"/>
        <w:jc w:val="center"/>
        <w:rPr>
          <w:rFonts w:ascii="Times New Roman" w:hAnsi="Times New Roman" w:eastAsia="方正小标宋简体" w:cs="Times New Roman"/>
          <w:sz w:val="76"/>
          <w:szCs w:val="76"/>
        </w:rPr>
      </w:pPr>
    </w:p>
    <w:p w14:paraId="574065A5">
      <w:pPr>
        <w:pStyle w:val="21"/>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7D1AA81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4E0F07E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04FFFD3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717D82F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03D5B98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5F775E7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09A17CB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3F002AB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44E50C20">
      <w:pPr>
        <w:pStyle w:val="21"/>
        <w:jc w:val="both"/>
        <w:rPr>
          <w:rFonts w:hint="eastAsia" w:ascii="Times New Roman" w:hAnsi="Times New Roman" w:cs="Times New Roman"/>
          <w:sz w:val="72"/>
          <w:szCs w:val="72"/>
        </w:rPr>
      </w:pPr>
    </w:p>
    <w:p w14:paraId="37427916">
      <w:pPr>
        <w:pStyle w:val="21"/>
        <w:jc w:val="both"/>
        <w:rPr>
          <w:rFonts w:ascii="Times New Roman" w:hAnsi="Times New Roman" w:cs="Times New Roman"/>
          <w:sz w:val="84"/>
          <w:szCs w:val="84"/>
        </w:rPr>
      </w:pPr>
    </w:p>
    <w:p w14:paraId="47267D86">
      <w:pPr>
        <w:pStyle w:val="21"/>
        <w:jc w:val="both"/>
        <w:rPr>
          <w:rFonts w:ascii="Times New Roman" w:hAnsi="Times New Roman" w:cs="Times New Roman"/>
          <w:sz w:val="84"/>
          <w:szCs w:val="84"/>
        </w:rPr>
      </w:pPr>
    </w:p>
    <w:p w14:paraId="3EA10199">
      <w:pPr>
        <w:pStyle w:val="21"/>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2F401BE4">
      <w:pPr>
        <w:pStyle w:val="21"/>
        <w:jc w:val="center"/>
        <w:rPr>
          <w:rFonts w:ascii="Times New Roman" w:hAnsi="Times New Roman" w:eastAsia="方正小标宋简体" w:cs="Times New Roman"/>
          <w:sz w:val="56"/>
          <w:szCs w:val="56"/>
        </w:rPr>
      </w:pPr>
    </w:p>
    <w:p w14:paraId="0B9C6F29">
      <w:pPr>
        <w:pStyle w:val="21"/>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24C2B45E">
      <w:pPr>
        <w:pStyle w:val="21"/>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56AA809E">
      <w:pPr>
        <w:pStyle w:val="21"/>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14:paraId="2465607E">
      <w:pPr>
        <w:pStyle w:val="21"/>
        <w:spacing w:line="596" w:lineRule="exact"/>
        <w:jc w:val="center"/>
        <w:rPr>
          <w:rFonts w:hint="eastAsia" w:ascii="Times New Roman" w:hAnsi="Times New Roman" w:eastAsia="方正小标宋简体" w:cs="Times New Roman"/>
          <w:sz w:val="32"/>
          <w:szCs w:val="32"/>
          <w:lang w:eastAsia="zh-CN"/>
        </w:rPr>
      </w:pPr>
    </w:p>
    <w:p w14:paraId="41749878">
      <w:pPr>
        <w:pStyle w:val="21"/>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0E67">
    <w:pPr>
      <w:pStyle w:val="7"/>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EA5302">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02EA5302">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166AF"/>
    <w:multiLevelType w:val="singleLevel"/>
    <w:tmpl w:val="C15166AF"/>
    <w:lvl w:ilvl="0" w:tentative="0">
      <w:start w:val="4"/>
      <w:numFmt w:val="decimal"/>
      <w:suff w:val="nothing"/>
      <w:lvlText w:val="%1、"/>
      <w:lvlJc w:val="left"/>
    </w:lvl>
  </w:abstractNum>
  <w:abstractNum w:abstractNumId="1">
    <w:nsid w:val="F2B4059E"/>
    <w:multiLevelType w:val="singleLevel"/>
    <w:tmpl w:val="F2B4059E"/>
    <w:lvl w:ilvl="0" w:tentative="0">
      <w:start w:val="1"/>
      <w:numFmt w:val="chineseCounting"/>
      <w:suff w:val="nothing"/>
      <w:lvlText w:val="%1、"/>
      <w:lvlJc w:val="left"/>
      <w:rPr>
        <w:rFonts w:hint="eastAsia"/>
      </w:rPr>
    </w:lvl>
  </w:abstractNum>
  <w:abstractNum w:abstractNumId="2">
    <w:nsid w:val="0323CC01"/>
    <w:multiLevelType w:val="singleLevel"/>
    <w:tmpl w:val="0323CC01"/>
    <w:lvl w:ilvl="0" w:tentative="0">
      <w:start w:val="2"/>
      <w:numFmt w:val="decimal"/>
      <w:suff w:val="nothing"/>
      <w:lvlText w:val="（%1）"/>
      <w:lvlJc w:val="left"/>
    </w:lvl>
  </w:abstractNum>
  <w:abstractNum w:abstractNumId="3">
    <w:nsid w:val="05001BEB"/>
    <w:multiLevelType w:val="singleLevel"/>
    <w:tmpl w:val="05001BEB"/>
    <w:lvl w:ilvl="0" w:tentative="0">
      <w:start w:val="10"/>
      <w:numFmt w:val="chineseCounting"/>
      <w:suff w:val="nothing"/>
      <w:lvlText w:val="%1、"/>
      <w:lvlJc w:val="left"/>
      <w:rPr>
        <w:rFonts w:hint="eastAsia"/>
      </w:rPr>
    </w:lvl>
  </w:abstractNum>
  <w:abstractNum w:abstractNumId="4">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7837451"/>
    <w:multiLevelType w:val="singleLevel"/>
    <w:tmpl w:val="57837451"/>
    <w:lvl w:ilvl="0" w:tentative="0">
      <w:start w:val="2"/>
      <w:numFmt w:val="chineseCounting"/>
      <w:suff w:val="nothing"/>
      <w:lvlText w:val="（%1）"/>
      <w:lvlJc w:val="left"/>
      <w:rPr>
        <w:rFonts w:hint="eastAsia"/>
      </w:rPr>
    </w:lvl>
  </w:abstractNum>
  <w:abstractNum w:abstractNumId="6">
    <w:nsid w:val="5E92C60C"/>
    <w:multiLevelType w:val="singleLevel"/>
    <w:tmpl w:val="5E92C60C"/>
    <w:lvl w:ilvl="0" w:tentative="0">
      <w:start w:val="2"/>
      <w:numFmt w:val="chineseCounting"/>
      <w:suff w:val="nothing"/>
      <w:lvlText w:val="（%1）"/>
      <w:lvlJc w:val="left"/>
      <w:rPr>
        <w:rFonts w:hint="eastAsia"/>
      </w:r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0FC"/>
    <w:rsid w:val="0D3F15F5"/>
    <w:rsid w:val="0EF6245F"/>
    <w:rsid w:val="0F2B249C"/>
    <w:rsid w:val="11E43B98"/>
    <w:rsid w:val="13692089"/>
    <w:rsid w:val="136F13A8"/>
    <w:rsid w:val="13741F37"/>
    <w:rsid w:val="18985D2F"/>
    <w:rsid w:val="18FA38C9"/>
    <w:rsid w:val="193C34F7"/>
    <w:rsid w:val="1B323160"/>
    <w:rsid w:val="1B714E5F"/>
    <w:rsid w:val="1E532BCB"/>
    <w:rsid w:val="1EBE63A2"/>
    <w:rsid w:val="1F041D62"/>
    <w:rsid w:val="1F6317DE"/>
    <w:rsid w:val="1F745786"/>
    <w:rsid w:val="21B1218A"/>
    <w:rsid w:val="238B2E7B"/>
    <w:rsid w:val="29471828"/>
    <w:rsid w:val="2AD95BF4"/>
    <w:rsid w:val="2F101369"/>
    <w:rsid w:val="321612FC"/>
    <w:rsid w:val="32B56379"/>
    <w:rsid w:val="349E076A"/>
    <w:rsid w:val="38090922"/>
    <w:rsid w:val="38D75D21"/>
    <w:rsid w:val="395219B1"/>
    <w:rsid w:val="431A7B56"/>
    <w:rsid w:val="46BE0A2A"/>
    <w:rsid w:val="472236C4"/>
    <w:rsid w:val="47867568"/>
    <w:rsid w:val="47C05439"/>
    <w:rsid w:val="47EC6A41"/>
    <w:rsid w:val="4B1C68ED"/>
    <w:rsid w:val="4B8003CD"/>
    <w:rsid w:val="4F976C0B"/>
    <w:rsid w:val="523F5138"/>
    <w:rsid w:val="538D47D7"/>
    <w:rsid w:val="538E105C"/>
    <w:rsid w:val="53AC0356"/>
    <w:rsid w:val="53BF69FD"/>
    <w:rsid w:val="591A5257"/>
    <w:rsid w:val="5D2E7409"/>
    <w:rsid w:val="5F166FCB"/>
    <w:rsid w:val="60841B7E"/>
    <w:rsid w:val="635D15B9"/>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99"/>
    <w:pPr>
      <w:spacing w:before="100" w:beforeAutospacing="1" w:after="120"/>
    </w:pPr>
    <w:rPr>
      <w:rFonts w:ascii="Times New Roman" w:hAnsi="Times New Roman" w:cs="Times New Roman"/>
    </w:rPr>
  </w:style>
  <w:style w:type="paragraph" w:styleId="3">
    <w:name w:val="annotation text"/>
    <w:basedOn w:val="1"/>
    <w:link w:val="16"/>
    <w:semiHidden/>
    <w:qFormat/>
    <w:uiPriority w:val="99"/>
    <w:pPr>
      <w:jc w:val="left"/>
    </w:pPr>
  </w:style>
  <w:style w:type="paragraph" w:styleId="4">
    <w:name w:val="Body Text Indent"/>
    <w:basedOn w:val="1"/>
    <w:next w:val="5"/>
    <w:qFormat/>
    <w:uiPriority w:val="0"/>
    <w:pPr>
      <w:widowControl w:val="0"/>
      <w:spacing w:after="120"/>
      <w:ind w:left="200" w:leftChars="200"/>
      <w:jc w:val="both"/>
    </w:pPr>
    <w:rPr>
      <w:rFonts w:ascii="Calibri" w:hAnsi="Calibri" w:eastAsia="宋体" w:cs="Times New Roman"/>
      <w:kern w:val="2"/>
      <w:sz w:val="21"/>
      <w:szCs w:val="24"/>
      <w:lang w:val="en-US" w:eastAsia="zh-CN" w:bidi="ar-SA"/>
    </w:rPr>
  </w:style>
  <w:style w:type="paragraph" w:styleId="5">
    <w:name w:val="Body Text Indent 2"/>
    <w:basedOn w:val="1"/>
    <w:qFormat/>
    <w:uiPriority w:val="0"/>
    <w:pPr>
      <w:spacing w:after="120" w:afterLines="0" w:afterAutospacing="0" w:line="480" w:lineRule="auto"/>
      <w:ind w:left="420" w:leftChars="200"/>
    </w:pPr>
  </w:style>
  <w:style w:type="paragraph" w:styleId="6">
    <w:name w:val="Balloon Text"/>
    <w:basedOn w:val="1"/>
    <w:link w:val="18"/>
    <w:semiHidden/>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Body Text First Indent 2"/>
    <w:basedOn w:val="4"/>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character" w:styleId="13">
    <w:name w:val="annotation reference"/>
    <w:basedOn w:val="12"/>
    <w:semiHidden/>
    <w:qFormat/>
    <w:uiPriority w:val="99"/>
    <w:rPr>
      <w:sz w:val="21"/>
      <w:szCs w:val="21"/>
    </w:rPr>
  </w:style>
  <w:style w:type="paragraph" w:customStyle="1" w:styleId="14">
    <w:name w:val="正文文字"/>
    <w:basedOn w:val="15"/>
    <w:next w:val="1"/>
    <w:qFormat/>
    <w:uiPriority w:val="99"/>
    <w:pPr>
      <w:spacing w:before="100" w:beforeAutospacing="1" w:after="120"/>
    </w:pPr>
  </w:style>
  <w:style w:type="paragraph" w:customStyle="1" w:styleId="15">
    <w:name w:val="正文1"/>
    <w:next w:val="14"/>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6">
    <w:name w:val="批注文字 Char"/>
    <w:basedOn w:val="12"/>
    <w:link w:val="3"/>
    <w:semiHidden/>
    <w:qFormat/>
    <w:locked/>
    <w:uiPriority w:val="99"/>
    <w:rPr>
      <w:rFonts w:ascii="Calibri" w:hAnsi="Calibri" w:cs="Calibri"/>
      <w:sz w:val="21"/>
      <w:szCs w:val="21"/>
    </w:rPr>
  </w:style>
  <w:style w:type="character" w:customStyle="1" w:styleId="17">
    <w:name w:val="正文文本 Char"/>
    <w:basedOn w:val="12"/>
    <w:link w:val="2"/>
    <w:qFormat/>
    <w:locked/>
    <w:uiPriority w:val="99"/>
    <w:rPr>
      <w:rFonts w:eastAsia="宋体"/>
      <w:kern w:val="2"/>
      <w:sz w:val="21"/>
      <w:szCs w:val="21"/>
      <w:lang w:val="en-US" w:eastAsia="zh-CN"/>
    </w:rPr>
  </w:style>
  <w:style w:type="character" w:customStyle="1" w:styleId="18">
    <w:name w:val="批注框文本 Char"/>
    <w:basedOn w:val="12"/>
    <w:link w:val="6"/>
    <w:semiHidden/>
    <w:qFormat/>
    <w:locked/>
    <w:uiPriority w:val="99"/>
    <w:rPr>
      <w:sz w:val="18"/>
      <w:szCs w:val="18"/>
    </w:rPr>
  </w:style>
  <w:style w:type="character" w:customStyle="1" w:styleId="19">
    <w:name w:val="页脚 Char"/>
    <w:basedOn w:val="12"/>
    <w:link w:val="7"/>
    <w:qFormat/>
    <w:locked/>
    <w:uiPriority w:val="99"/>
    <w:rPr>
      <w:sz w:val="18"/>
      <w:szCs w:val="18"/>
    </w:rPr>
  </w:style>
  <w:style w:type="character" w:customStyle="1" w:styleId="20">
    <w:name w:val="页眉 Char"/>
    <w:basedOn w:val="12"/>
    <w:link w:val="8"/>
    <w:qFormat/>
    <w:locked/>
    <w:uiPriority w:val="99"/>
    <w:rPr>
      <w:sz w:val="18"/>
      <w:szCs w:val="18"/>
    </w:rPr>
  </w:style>
  <w:style w:type="paragraph" w:customStyle="1" w:styleId="2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2">
    <w:name w:val="List Paragraph"/>
    <w:basedOn w:val="1"/>
    <w:qFormat/>
    <w:uiPriority w:val="99"/>
    <w:pPr>
      <w:ind w:firstLine="420" w:firstLineChars="200"/>
    </w:pPr>
  </w:style>
  <w:style w:type="paragraph" w:customStyle="1" w:styleId="23">
    <w:name w:val="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5711</Words>
  <Characters>6149</Characters>
  <Lines>56</Lines>
  <Paragraphs>15</Paragraphs>
  <TotalTime>3</TotalTime>
  <ScaleCrop>false</ScaleCrop>
  <LinksUpToDate>false</LinksUpToDate>
  <CharactersWithSpaces>6185</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2024-10-21T03:47:14Z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352CFB5975F24D4A926F5C3A0FD70E8A_13</vt:lpwstr>
  </property>
</Properties>
</file>