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6E4440">
      <w:pPr>
        <w:pStyle w:val="16"/>
        <w:jc w:val="both"/>
        <w:rPr>
          <w:rFonts w:ascii="Times New Roman" w:hAnsi="Times New Roman" w:cs="Times New Roman"/>
          <w:sz w:val="56"/>
          <w:szCs w:val="56"/>
        </w:rPr>
      </w:pPr>
    </w:p>
    <w:p w14:paraId="4B3DAA23">
      <w:pPr>
        <w:pStyle w:val="16"/>
        <w:jc w:val="both"/>
        <w:rPr>
          <w:rFonts w:ascii="Times New Roman" w:hAnsi="Times New Roman" w:cs="Times New Roman"/>
          <w:sz w:val="56"/>
          <w:szCs w:val="56"/>
        </w:rPr>
      </w:pPr>
    </w:p>
    <w:p w14:paraId="754679B4">
      <w:pPr>
        <w:pStyle w:val="16"/>
        <w:jc w:val="both"/>
        <w:rPr>
          <w:rFonts w:ascii="Times New Roman" w:hAnsi="Times New Roman" w:cs="Times New Roman"/>
          <w:sz w:val="84"/>
          <w:szCs w:val="84"/>
        </w:rPr>
      </w:pPr>
    </w:p>
    <w:p w14:paraId="5DB0C625">
      <w:pPr>
        <w:pStyle w:val="16"/>
        <w:jc w:val="center"/>
        <w:rPr>
          <w:rFonts w:ascii="Times New Roman" w:hAnsi="Times New Roman" w:eastAsia="方正小标宋简体" w:cs="Times New Roman"/>
          <w:sz w:val="76"/>
          <w:szCs w:val="76"/>
        </w:rPr>
      </w:pPr>
    </w:p>
    <w:p w14:paraId="25171064">
      <w:pPr>
        <w:pStyle w:val="16"/>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2023年度</w:t>
      </w:r>
    </w:p>
    <w:p w14:paraId="5BF21B4A">
      <w:pPr>
        <w:pStyle w:val="16"/>
        <w:jc w:val="center"/>
        <w:rPr>
          <w:rFonts w:ascii="Times New Roman" w:hAnsi="Times New Roman" w:cs="Times New Roman"/>
        </w:rPr>
      </w:pPr>
      <w:r>
        <w:rPr>
          <w:rFonts w:hint="eastAsia" w:ascii="Times New Roman" w:hAnsi="Times New Roman" w:eastAsia="方正小标宋简体" w:cs="方正小标宋简体"/>
          <w:sz w:val="72"/>
          <w:szCs w:val="72"/>
        </w:rPr>
        <w:t>株洲市石峰区铜塘湾街道办事处</w:t>
      </w:r>
    </w:p>
    <w:p w14:paraId="3C9D588C">
      <w:pPr>
        <w:pStyle w:val="16"/>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部门决算</w:t>
      </w:r>
    </w:p>
    <w:p w14:paraId="6398227B">
      <w:pPr>
        <w:pStyle w:val="16"/>
        <w:jc w:val="both"/>
        <w:rPr>
          <w:rFonts w:ascii="Times New Roman" w:hAnsi="Times New Roman" w:cs="Times New Roman"/>
          <w:sz w:val="32"/>
          <w:szCs w:val="32"/>
        </w:rPr>
      </w:pPr>
    </w:p>
    <w:p w14:paraId="5DF2CE5D">
      <w:pPr>
        <w:pStyle w:val="16"/>
        <w:spacing w:line="440" w:lineRule="exact"/>
        <w:ind w:firstLine="640" w:firstLineChars="200"/>
        <w:jc w:val="center"/>
        <w:rPr>
          <w:rFonts w:ascii="Times New Roman" w:hAnsi="Times New Roman" w:cs="Times New Roman"/>
          <w:sz w:val="32"/>
          <w:szCs w:val="32"/>
        </w:rPr>
      </w:pPr>
      <w:r>
        <w:rPr>
          <w:rFonts w:ascii="Times New Roman" w:hAnsi="Times New Roman" w:cs="Times New Roman"/>
          <w:sz w:val="32"/>
          <w:szCs w:val="32"/>
        </w:rPr>
        <w:br w:type="page"/>
      </w:r>
      <w:r>
        <w:rPr>
          <w:rFonts w:hint="eastAsia" w:ascii="Times New Roman" w:hAnsi="Times New Roman" w:cs="Times New Roman"/>
          <w:sz w:val="32"/>
          <w:szCs w:val="32"/>
          <w:lang w:val="en-US" w:eastAsia="zh-CN"/>
        </w:rPr>
        <w:t xml:space="preserve"> </w:t>
      </w:r>
      <w:r>
        <w:rPr>
          <w:rFonts w:ascii="Times New Roman" w:hAnsi="Times New Roman" w:cs="Times New Roman"/>
          <w:sz w:val="32"/>
          <w:szCs w:val="32"/>
        </w:rPr>
        <w:t>目录</w:t>
      </w:r>
    </w:p>
    <w:p w14:paraId="06F7E324">
      <w:pPr>
        <w:pStyle w:val="16"/>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第一部分</w:t>
      </w:r>
      <w:r>
        <w:rPr>
          <w:rFonts w:hint="eastAsia" w:ascii="Times New Roman" w:hAnsi="Times New Roman" w:cs="Times New Roman"/>
          <w:sz w:val="32"/>
          <w:szCs w:val="32"/>
          <w:lang w:val="en-US" w:eastAsia="zh-CN"/>
        </w:rPr>
        <w:t xml:space="preserve">  </w:t>
      </w:r>
      <w:r>
        <w:rPr>
          <w:rFonts w:hint="eastAsia" w:ascii="Times New Roman" w:hAnsi="Times New Roman"/>
          <w:sz w:val="32"/>
          <w:szCs w:val="32"/>
        </w:rPr>
        <w:t>株洲市石峰区铜塘湾街道办事处</w:t>
      </w:r>
      <w:r>
        <w:rPr>
          <w:rFonts w:ascii="Times New Roman" w:hAnsi="Times New Roman" w:cs="Times New Roman"/>
          <w:sz w:val="32"/>
          <w:szCs w:val="32"/>
        </w:rPr>
        <w:t>单位概况</w:t>
      </w:r>
    </w:p>
    <w:p w14:paraId="55F5AF0C">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4C3222CB">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w:t>
      </w:r>
    </w:p>
    <w:p w14:paraId="67B3097E">
      <w:pPr>
        <w:pStyle w:val="16"/>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第二部分  2023年度部门决算表</w:t>
      </w:r>
    </w:p>
    <w:p w14:paraId="02FB6550">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05D04FAF">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68782A4E">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00523223">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5A861421">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6829813D">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330A620A">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七、一般公共预算财政拨款“三公”经费支出决算表</w:t>
      </w:r>
    </w:p>
    <w:p w14:paraId="17D92B4A">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八、政府性基金预算财政拨款收入支出决算表</w:t>
      </w:r>
    </w:p>
    <w:p w14:paraId="5BE81F89">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九、国有资本经营预算财政拨款支出决算表</w:t>
      </w:r>
    </w:p>
    <w:p w14:paraId="5E5386C7">
      <w:pPr>
        <w:pStyle w:val="16"/>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第三部分  2023年度部门决算情况说明</w:t>
      </w:r>
    </w:p>
    <w:p w14:paraId="24CD5E0B">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1D6D4C91">
      <w:pPr>
        <w:spacing w:line="4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2E2F0513">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4BC987EB">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7476A106">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735ECA7D">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12F019C1">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七、一般公共预算财政拨款“三公”经费支出决算情况说明</w:t>
      </w:r>
    </w:p>
    <w:p w14:paraId="38C7E887">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722DCC9E">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九、国有资本经营预算支出决算情况</w:t>
      </w:r>
    </w:p>
    <w:p w14:paraId="68780B4A">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十、机关运行经费支出说明</w:t>
      </w:r>
    </w:p>
    <w:p w14:paraId="621F86E3">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十一、一般性支出情况说明</w:t>
      </w:r>
    </w:p>
    <w:p w14:paraId="4E26DD2B">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十二、政府采购支出说明</w:t>
      </w:r>
    </w:p>
    <w:p w14:paraId="0B1BAA1E">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十三、国有资产占用情况说明</w:t>
      </w:r>
    </w:p>
    <w:p w14:paraId="34761DAD">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十四、重点项目预算的绩效评价结果等情况说明</w:t>
      </w:r>
    </w:p>
    <w:p w14:paraId="5315451B">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十五、其他重要事项说明</w:t>
      </w:r>
    </w:p>
    <w:p w14:paraId="1C7A81C4">
      <w:pPr>
        <w:pStyle w:val="16"/>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第四部分  名词解释</w:t>
      </w:r>
    </w:p>
    <w:p w14:paraId="677F306A">
      <w:pPr>
        <w:pStyle w:val="16"/>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第五部分  附件</w:t>
      </w:r>
    </w:p>
    <w:p w14:paraId="17B6E159">
      <w:pPr>
        <w:pStyle w:val="16"/>
        <w:spacing w:line="440" w:lineRule="exact"/>
        <w:jc w:val="both"/>
        <w:rPr>
          <w:rFonts w:ascii="Times New Roman" w:hAnsi="Times New Roman" w:cs="Times New Roman"/>
          <w:sz w:val="84"/>
          <w:szCs w:val="84"/>
        </w:rPr>
      </w:pPr>
      <w:r>
        <w:rPr>
          <w:rFonts w:ascii="Times New Roman" w:hAnsi="Times New Roman" w:cs="Times New Roman"/>
          <w:sz w:val="84"/>
          <w:szCs w:val="84"/>
        </w:rPr>
        <w:br w:type="page"/>
      </w:r>
    </w:p>
    <w:p w14:paraId="3206E7FD">
      <w:pPr>
        <w:pStyle w:val="16"/>
        <w:jc w:val="both"/>
        <w:rPr>
          <w:rFonts w:ascii="Times New Roman" w:hAnsi="Times New Roman" w:cs="Times New Roman"/>
          <w:sz w:val="84"/>
          <w:szCs w:val="84"/>
        </w:rPr>
      </w:pPr>
    </w:p>
    <w:p w14:paraId="247FCB67">
      <w:pPr>
        <w:pStyle w:val="16"/>
        <w:jc w:val="both"/>
        <w:rPr>
          <w:rFonts w:ascii="Times New Roman" w:hAnsi="Times New Roman" w:cs="Times New Roman"/>
          <w:sz w:val="84"/>
          <w:szCs w:val="84"/>
        </w:rPr>
      </w:pPr>
    </w:p>
    <w:p w14:paraId="4C2A05A2">
      <w:pPr>
        <w:pStyle w:val="16"/>
        <w:jc w:val="center"/>
        <w:rPr>
          <w:rFonts w:ascii="Times New Roman" w:hAnsi="Times New Roman" w:eastAsia="方正小标宋简体" w:cs="Times New Roman"/>
          <w:w w:val="90"/>
          <w:sz w:val="76"/>
          <w:szCs w:val="76"/>
        </w:rPr>
      </w:pPr>
    </w:p>
    <w:p w14:paraId="54B479C2">
      <w:pPr>
        <w:pStyle w:val="16"/>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第一部分</w:t>
      </w:r>
    </w:p>
    <w:p w14:paraId="086F2FCA">
      <w:pPr>
        <w:pStyle w:val="16"/>
        <w:jc w:val="center"/>
        <w:rPr>
          <w:rFonts w:ascii="Times New Roman" w:hAnsi="Times New Roman" w:eastAsia="方正小标宋简体" w:cs="Times New Roman"/>
          <w:sz w:val="76"/>
          <w:szCs w:val="76"/>
        </w:rPr>
      </w:pPr>
    </w:p>
    <w:p w14:paraId="178D37F6">
      <w:pPr>
        <w:pStyle w:val="16"/>
        <w:jc w:val="center"/>
        <w:rPr>
          <w:rFonts w:ascii="Times New Roman" w:hAnsi="Times New Roman" w:eastAsia="方正小标宋简体" w:cs="Times New Roman"/>
          <w:sz w:val="76"/>
          <w:szCs w:val="76"/>
        </w:rPr>
      </w:pPr>
      <w:r>
        <w:rPr>
          <w:rFonts w:hint="eastAsia" w:ascii="Times New Roman" w:hAnsi="Times New Roman" w:eastAsia="方正小标宋简体" w:cs="方正小标宋简体"/>
          <w:sz w:val="72"/>
          <w:szCs w:val="72"/>
        </w:rPr>
        <w:t>株洲市石峰区铜塘湾街道办事处</w:t>
      </w:r>
      <w:r>
        <w:rPr>
          <w:rFonts w:ascii="Times New Roman" w:hAnsi="Times New Roman" w:eastAsia="方正小标宋简体" w:cs="Times New Roman"/>
          <w:sz w:val="76"/>
          <w:szCs w:val="76"/>
        </w:rPr>
        <w:t>单位概况</w:t>
      </w:r>
    </w:p>
    <w:p w14:paraId="462D3EB0">
      <w:pPr>
        <w:pStyle w:val="17"/>
        <w:numPr>
          <w:ilvl w:val="0"/>
          <w:numId w:val="1"/>
        </w:numPr>
        <w:overflowPunct w:val="0"/>
        <w:spacing w:line="596" w:lineRule="exact"/>
        <w:ind w:firstLineChars="0"/>
        <w:rPr>
          <w:rFonts w:ascii="Times New Roman" w:hAnsi="Times New Roman" w:eastAsia="黑体" w:cs="Times New Roman"/>
          <w:sz w:val="32"/>
          <w:szCs w:val="32"/>
        </w:rPr>
      </w:pPr>
      <w:r>
        <w:rPr>
          <w:rFonts w:ascii="Times New Roman" w:hAnsi="Times New Roman" w:eastAsia="黑体" w:cs="Times New Roman"/>
          <w:sz w:val="32"/>
          <w:szCs w:val="32"/>
        </w:rPr>
        <w:br w:type="page"/>
      </w:r>
      <w:r>
        <w:rPr>
          <w:rFonts w:ascii="Times New Roman" w:hAnsi="Times New Roman" w:eastAsia="黑体" w:cs="Times New Roman"/>
          <w:sz w:val="32"/>
          <w:szCs w:val="32"/>
        </w:rPr>
        <w:t>部门职责</w:t>
      </w:r>
    </w:p>
    <w:p w14:paraId="5E4ED586">
      <w:pPr>
        <w:spacing w:line="570" w:lineRule="exact"/>
        <w:ind w:firstLine="643" w:firstLineChars="200"/>
        <w:rPr>
          <w:rFonts w:hint="eastAsia" w:ascii="Times New Roman" w:hAnsi="Times New Roman" w:eastAsia="仿宋" w:cs="Times New Roman"/>
          <w:color w:val="000000" w:themeColor="text1"/>
          <w:kern w:val="0"/>
          <w:sz w:val="32"/>
          <w:szCs w:val="32"/>
          <w:lang w:val="en-US" w:eastAsia="zh-CN" w:bidi="ar-SA"/>
        </w:rPr>
      </w:pPr>
      <w:r>
        <w:rPr>
          <w:rFonts w:hint="eastAsia" w:ascii="Times New Roman" w:hAnsi="Times New Roman" w:eastAsia="仿宋" w:cs="Times New Roman"/>
          <w:b/>
          <w:bCs/>
          <w:color w:val="000000" w:themeColor="text1"/>
          <w:kern w:val="0"/>
          <w:sz w:val="32"/>
          <w:szCs w:val="32"/>
          <w:lang w:val="en-US" w:eastAsia="zh-CN" w:bidi="ar-SA"/>
        </w:rPr>
        <w:t>（一）加强党的建设。</w:t>
      </w:r>
      <w:r>
        <w:rPr>
          <w:rFonts w:hint="eastAsia" w:ascii="Times New Roman" w:hAnsi="Times New Roman" w:eastAsia="仿宋" w:cs="Times New Roman"/>
          <w:color w:val="000000" w:themeColor="text1"/>
          <w:kern w:val="0"/>
          <w:sz w:val="32"/>
          <w:szCs w:val="32"/>
          <w:lang w:val="en-US" w:eastAsia="zh-CN" w:bidi="ar-SA"/>
        </w:rPr>
        <w:t>落实基层党建工作责任制，加强基层服务型党组织建设，深入推进“区域化”党建，全面推行街道“大工委”制，增强基层党组织的政治属性和服务功能。</w:t>
      </w:r>
    </w:p>
    <w:p w14:paraId="2B75549E">
      <w:pPr>
        <w:spacing w:line="570" w:lineRule="exact"/>
        <w:ind w:firstLine="643" w:firstLineChars="200"/>
        <w:rPr>
          <w:rFonts w:hint="eastAsia" w:ascii="Times New Roman" w:hAnsi="Times New Roman" w:eastAsia="仿宋" w:cs="Times New Roman"/>
          <w:color w:val="000000" w:themeColor="text1"/>
          <w:kern w:val="0"/>
          <w:sz w:val="32"/>
          <w:szCs w:val="32"/>
          <w:lang w:val="en-US" w:eastAsia="zh-CN" w:bidi="ar-SA"/>
        </w:rPr>
      </w:pPr>
      <w:r>
        <w:rPr>
          <w:rFonts w:hint="eastAsia" w:ascii="Times New Roman" w:hAnsi="Times New Roman" w:eastAsia="仿宋" w:cs="Times New Roman"/>
          <w:b/>
          <w:bCs/>
          <w:color w:val="000000" w:themeColor="text1"/>
          <w:kern w:val="0"/>
          <w:sz w:val="32"/>
          <w:szCs w:val="32"/>
          <w:lang w:val="en-US" w:eastAsia="zh-CN" w:bidi="ar-SA"/>
        </w:rPr>
        <w:t>（二）服务经济发展。</w:t>
      </w:r>
      <w:r>
        <w:rPr>
          <w:rFonts w:hint="eastAsia" w:ascii="Times New Roman" w:hAnsi="Times New Roman" w:eastAsia="仿宋" w:cs="Times New Roman"/>
          <w:color w:val="000000" w:themeColor="text1"/>
          <w:kern w:val="0"/>
          <w:sz w:val="32"/>
          <w:szCs w:val="32"/>
          <w:lang w:val="en-US" w:eastAsia="zh-CN" w:bidi="ar-SA"/>
        </w:rPr>
        <w:t>统筹落实社区发展的重大决策和社区建设规划，参与辖区公共服务设施建设规划，推动辖区健康、有序、可持续发展。优化发展环境，为辖区企业提供良好的服务，统筹做好采集企业信息、促进项目发展、服务驻区企业、优化投资环境等工作。</w:t>
      </w:r>
    </w:p>
    <w:p w14:paraId="31288480">
      <w:pPr>
        <w:spacing w:line="570" w:lineRule="exact"/>
        <w:ind w:firstLine="643" w:firstLineChars="200"/>
        <w:rPr>
          <w:rFonts w:hint="eastAsia" w:ascii="Times New Roman" w:hAnsi="Times New Roman" w:eastAsia="仿宋" w:cs="Times New Roman"/>
          <w:color w:val="000000" w:themeColor="text1"/>
          <w:kern w:val="0"/>
          <w:sz w:val="32"/>
          <w:szCs w:val="32"/>
          <w:lang w:val="en-US" w:eastAsia="zh-CN" w:bidi="ar-SA"/>
        </w:rPr>
      </w:pPr>
      <w:r>
        <w:rPr>
          <w:rFonts w:hint="eastAsia" w:ascii="Times New Roman" w:hAnsi="Times New Roman" w:eastAsia="仿宋" w:cs="Times New Roman"/>
          <w:b/>
          <w:bCs/>
          <w:color w:val="000000" w:themeColor="text1"/>
          <w:kern w:val="0"/>
          <w:sz w:val="32"/>
          <w:szCs w:val="32"/>
          <w:lang w:val="en-US" w:eastAsia="zh-CN" w:bidi="ar-SA"/>
        </w:rPr>
        <w:t>（三）组织公共服务。</w:t>
      </w:r>
      <w:r>
        <w:rPr>
          <w:rFonts w:hint="eastAsia" w:ascii="Times New Roman" w:hAnsi="Times New Roman" w:eastAsia="仿宋" w:cs="Times New Roman"/>
          <w:color w:val="000000" w:themeColor="text1"/>
          <w:kern w:val="0"/>
          <w:sz w:val="32"/>
          <w:szCs w:val="32"/>
          <w:lang w:val="en-US" w:eastAsia="zh-CN" w:bidi="ar-SA"/>
        </w:rPr>
        <w:t>组织实施与居民生活密切相关的公共服务，落实劳动就业、社会保障、法律援助、基本医疗卫生、文化体育、环境保护等公共服务方面的相关政策。</w:t>
      </w:r>
    </w:p>
    <w:p w14:paraId="5C696071">
      <w:pPr>
        <w:spacing w:line="570" w:lineRule="exact"/>
        <w:ind w:firstLine="643" w:firstLineChars="200"/>
        <w:rPr>
          <w:rFonts w:hint="eastAsia" w:ascii="Times New Roman" w:hAnsi="Times New Roman" w:eastAsia="仿宋" w:cs="Times New Roman"/>
          <w:color w:val="000000" w:themeColor="text1"/>
          <w:kern w:val="0"/>
          <w:sz w:val="32"/>
          <w:szCs w:val="32"/>
          <w:lang w:val="en-US" w:eastAsia="zh-CN" w:bidi="ar-SA"/>
        </w:rPr>
      </w:pPr>
      <w:r>
        <w:rPr>
          <w:rFonts w:hint="eastAsia" w:ascii="Times New Roman" w:hAnsi="Times New Roman" w:eastAsia="仿宋" w:cs="Times New Roman"/>
          <w:b/>
          <w:bCs/>
          <w:color w:val="000000" w:themeColor="text1"/>
          <w:kern w:val="0"/>
          <w:sz w:val="32"/>
          <w:szCs w:val="32"/>
          <w:lang w:val="en-US" w:eastAsia="zh-CN" w:bidi="ar-SA"/>
        </w:rPr>
        <w:t>（四）实施公共管理。</w:t>
      </w:r>
      <w:r>
        <w:rPr>
          <w:rFonts w:hint="eastAsia" w:ascii="Times New Roman" w:hAnsi="Times New Roman" w:eastAsia="仿宋" w:cs="Times New Roman"/>
          <w:color w:val="000000" w:themeColor="text1"/>
          <w:kern w:val="0"/>
          <w:sz w:val="32"/>
          <w:szCs w:val="32"/>
          <w:lang w:val="en-US" w:eastAsia="zh-CN" w:bidi="ar-SA"/>
        </w:rPr>
        <w:t>科学设置管理网格，对辖区内城市管理、人口管理、社会管理、民生保障等区域性、综合性工作，承担组织领导、综合协调和监督检查职责。</w:t>
      </w:r>
    </w:p>
    <w:p w14:paraId="52BC54B6">
      <w:pPr>
        <w:spacing w:line="570" w:lineRule="exact"/>
        <w:ind w:firstLine="643" w:firstLineChars="200"/>
        <w:rPr>
          <w:rFonts w:hint="eastAsia" w:ascii="Times New Roman" w:hAnsi="Times New Roman" w:eastAsia="仿宋" w:cs="Times New Roman"/>
          <w:color w:val="000000" w:themeColor="text1"/>
          <w:kern w:val="0"/>
          <w:sz w:val="32"/>
          <w:szCs w:val="32"/>
          <w:lang w:val="en-US" w:eastAsia="zh-CN" w:bidi="ar-SA"/>
        </w:rPr>
      </w:pPr>
      <w:r>
        <w:rPr>
          <w:rFonts w:hint="eastAsia" w:ascii="Times New Roman" w:hAnsi="Times New Roman" w:eastAsia="仿宋" w:cs="Times New Roman"/>
          <w:b/>
          <w:bCs/>
          <w:color w:val="000000" w:themeColor="text1"/>
          <w:kern w:val="0"/>
          <w:sz w:val="32"/>
          <w:szCs w:val="32"/>
          <w:lang w:val="en-US" w:eastAsia="zh-CN" w:bidi="ar-SA"/>
        </w:rPr>
        <w:t>（五）监督行政执法。</w:t>
      </w:r>
      <w:r>
        <w:rPr>
          <w:rFonts w:hint="eastAsia" w:ascii="Times New Roman" w:hAnsi="Times New Roman" w:eastAsia="仿宋" w:cs="Times New Roman"/>
          <w:color w:val="000000" w:themeColor="text1"/>
          <w:kern w:val="0"/>
          <w:sz w:val="32"/>
          <w:szCs w:val="32"/>
          <w:lang w:val="en-US" w:eastAsia="zh-CN" w:bidi="ar-SA"/>
        </w:rPr>
        <w:t>对辖区内各类行政执法工作进行统筹协调，组织开展群众监督和社会监督。</w:t>
      </w:r>
    </w:p>
    <w:p w14:paraId="6C542689">
      <w:pPr>
        <w:spacing w:line="570" w:lineRule="exact"/>
        <w:ind w:firstLine="643" w:firstLineChars="200"/>
        <w:rPr>
          <w:rFonts w:hint="eastAsia" w:ascii="Times New Roman" w:hAnsi="Times New Roman" w:eastAsia="仿宋" w:cs="Times New Roman"/>
          <w:color w:val="000000" w:themeColor="text1"/>
          <w:kern w:val="0"/>
          <w:sz w:val="32"/>
          <w:szCs w:val="32"/>
          <w:lang w:val="en-US" w:eastAsia="zh-CN" w:bidi="ar-SA"/>
        </w:rPr>
      </w:pPr>
      <w:r>
        <w:rPr>
          <w:rFonts w:hint="eastAsia" w:ascii="Times New Roman" w:hAnsi="Times New Roman" w:eastAsia="仿宋" w:cs="Times New Roman"/>
          <w:b/>
          <w:bCs/>
          <w:color w:val="000000" w:themeColor="text1"/>
          <w:kern w:val="0"/>
          <w:sz w:val="32"/>
          <w:szCs w:val="32"/>
          <w:lang w:val="en-US" w:eastAsia="zh-CN" w:bidi="ar-SA"/>
        </w:rPr>
        <w:t>（六）动员社会参与。</w:t>
      </w:r>
      <w:r>
        <w:rPr>
          <w:rFonts w:hint="eastAsia" w:ascii="Times New Roman" w:hAnsi="Times New Roman" w:eastAsia="仿宋" w:cs="Times New Roman"/>
          <w:color w:val="000000" w:themeColor="text1"/>
          <w:kern w:val="0"/>
          <w:sz w:val="32"/>
          <w:szCs w:val="32"/>
          <w:lang w:val="en-US" w:eastAsia="zh-CN" w:bidi="ar-SA"/>
        </w:rPr>
        <w:t>动员和支持各类驻辖区单位、社区居民、社会组织及志愿者等社区力量参与社区治理，引导驻辖区单位履行社会责任，整合区域内各种社会力量为社区发展服务。</w:t>
      </w:r>
    </w:p>
    <w:p w14:paraId="3FEE4D7A">
      <w:pPr>
        <w:spacing w:line="570" w:lineRule="exact"/>
        <w:ind w:firstLine="643" w:firstLineChars="200"/>
        <w:rPr>
          <w:rFonts w:hint="eastAsia" w:ascii="Times New Roman" w:hAnsi="Times New Roman" w:eastAsia="仿宋" w:cs="Times New Roman"/>
          <w:color w:val="000000" w:themeColor="text1"/>
          <w:kern w:val="0"/>
          <w:sz w:val="32"/>
          <w:szCs w:val="32"/>
          <w:lang w:val="en-US" w:eastAsia="zh-CN" w:bidi="ar-SA"/>
        </w:rPr>
      </w:pPr>
      <w:r>
        <w:rPr>
          <w:rFonts w:hint="eastAsia" w:ascii="Times New Roman" w:hAnsi="Times New Roman" w:eastAsia="仿宋" w:cs="Times New Roman"/>
          <w:b/>
          <w:bCs/>
          <w:color w:val="000000" w:themeColor="text1"/>
          <w:kern w:val="0"/>
          <w:sz w:val="32"/>
          <w:szCs w:val="32"/>
          <w:lang w:val="en-US" w:eastAsia="zh-CN" w:bidi="ar-SA"/>
        </w:rPr>
        <w:t>（七）指导基层自治。</w:t>
      </w:r>
      <w:r>
        <w:rPr>
          <w:rFonts w:hint="eastAsia" w:ascii="Times New Roman" w:hAnsi="Times New Roman" w:eastAsia="仿宋" w:cs="Times New Roman"/>
          <w:color w:val="000000" w:themeColor="text1"/>
          <w:kern w:val="0"/>
          <w:sz w:val="32"/>
          <w:szCs w:val="32"/>
          <w:lang w:val="en-US" w:eastAsia="zh-CN" w:bidi="ar-SA"/>
        </w:rPr>
        <w:t>指导村（居）民委员会建设，健全自治功能，组织社区居民、村民和辖区单位参与城乡社区建设和治理。</w:t>
      </w:r>
    </w:p>
    <w:p w14:paraId="4936AD56">
      <w:pPr>
        <w:spacing w:line="570" w:lineRule="exact"/>
        <w:ind w:firstLine="643" w:firstLineChars="200"/>
        <w:rPr>
          <w:rFonts w:hint="eastAsia" w:ascii="Times New Roman" w:hAnsi="Times New Roman" w:eastAsia="仿宋" w:cs="Times New Roman"/>
          <w:color w:val="000000" w:themeColor="text1"/>
          <w:kern w:val="0"/>
          <w:sz w:val="32"/>
          <w:szCs w:val="32"/>
          <w:lang w:val="en-US" w:eastAsia="zh-CN" w:bidi="ar-SA"/>
        </w:rPr>
      </w:pPr>
      <w:r>
        <w:rPr>
          <w:rFonts w:hint="eastAsia" w:ascii="Times New Roman" w:hAnsi="Times New Roman" w:eastAsia="仿宋" w:cs="Times New Roman"/>
          <w:b/>
          <w:bCs/>
          <w:color w:val="000000" w:themeColor="text1"/>
          <w:kern w:val="0"/>
          <w:sz w:val="32"/>
          <w:szCs w:val="32"/>
          <w:lang w:val="en-US" w:eastAsia="zh-CN" w:bidi="ar-SA"/>
        </w:rPr>
        <w:t>（八）维护公共安全。</w:t>
      </w:r>
      <w:r>
        <w:rPr>
          <w:rFonts w:hint="eastAsia" w:ascii="Times New Roman" w:hAnsi="Times New Roman" w:eastAsia="仿宋" w:cs="Times New Roman"/>
          <w:color w:val="000000" w:themeColor="text1"/>
          <w:kern w:val="0"/>
          <w:sz w:val="32"/>
          <w:szCs w:val="32"/>
          <w:lang w:val="en-US" w:eastAsia="zh-CN" w:bidi="ar-SA"/>
        </w:rPr>
        <w:t>承担辖区社会治安综合管理有关工作，处理群众来信来访，反映社情民意，化解矛盾纠纷等。</w:t>
      </w:r>
    </w:p>
    <w:p w14:paraId="6DAD4348">
      <w:pPr>
        <w:spacing w:line="570" w:lineRule="exact"/>
        <w:ind w:firstLine="643" w:firstLineChars="200"/>
        <w:rPr>
          <w:rFonts w:hint="eastAsia" w:ascii="Times New Roman" w:hAnsi="Times New Roman" w:eastAsia="仿宋" w:cs="Times New Roman"/>
          <w:color w:val="000000" w:themeColor="text1"/>
          <w:kern w:val="0"/>
          <w:sz w:val="32"/>
          <w:szCs w:val="32"/>
          <w:lang w:val="en-US" w:eastAsia="zh-CN" w:bidi="ar-SA"/>
        </w:rPr>
      </w:pPr>
      <w:r>
        <w:rPr>
          <w:rFonts w:hint="eastAsia" w:ascii="Times New Roman" w:hAnsi="Times New Roman" w:eastAsia="仿宋" w:cs="Times New Roman"/>
          <w:b/>
          <w:bCs/>
          <w:color w:val="000000" w:themeColor="text1"/>
          <w:kern w:val="0"/>
          <w:sz w:val="32"/>
          <w:szCs w:val="32"/>
          <w:lang w:val="en-US" w:eastAsia="zh-CN" w:bidi="ar-SA"/>
        </w:rPr>
        <w:t>（九）做好国防动员。</w:t>
      </w:r>
      <w:r>
        <w:rPr>
          <w:rFonts w:hint="eastAsia" w:ascii="Times New Roman" w:hAnsi="Times New Roman" w:eastAsia="仿宋" w:cs="Times New Roman"/>
          <w:color w:val="000000" w:themeColor="text1"/>
          <w:kern w:val="0"/>
          <w:sz w:val="32"/>
          <w:szCs w:val="32"/>
          <w:lang w:val="en-US" w:eastAsia="zh-CN" w:bidi="ar-SA"/>
        </w:rPr>
        <w:t>开展国防动员潜力调查，普及全民国防教育，抓好兵役登记、兵员征集工作，加强民兵组织整顿及训练。</w:t>
      </w:r>
    </w:p>
    <w:p w14:paraId="1A47DD0F">
      <w:pPr>
        <w:spacing w:line="570" w:lineRule="exact"/>
        <w:ind w:firstLine="643" w:firstLineChars="200"/>
        <w:rPr>
          <w:rFonts w:hint="eastAsia" w:ascii="Times New Roman" w:hAnsi="Times New Roman" w:eastAsia="仿宋" w:cs="Times New Roman"/>
          <w:b/>
          <w:bCs/>
          <w:color w:val="000000" w:themeColor="text1"/>
          <w:kern w:val="0"/>
          <w:sz w:val="32"/>
          <w:szCs w:val="32"/>
          <w:lang w:val="en-US" w:eastAsia="zh-CN" w:bidi="ar-SA"/>
        </w:rPr>
      </w:pPr>
      <w:r>
        <w:rPr>
          <w:rFonts w:hint="eastAsia" w:ascii="Times New Roman" w:hAnsi="Times New Roman" w:eastAsia="仿宋" w:cs="Times New Roman"/>
          <w:b/>
          <w:bCs/>
          <w:color w:val="000000" w:themeColor="text1"/>
          <w:kern w:val="0"/>
          <w:sz w:val="32"/>
          <w:szCs w:val="32"/>
          <w:lang w:val="en-US" w:eastAsia="zh-CN" w:bidi="ar-SA"/>
        </w:rPr>
        <w:t>（十）完成区委、区政府交办的其他工作任务。</w:t>
      </w:r>
    </w:p>
    <w:p w14:paraId="73E4E89B">
      <w:pPr>
        <w:spacing w:line="570" w:lineRule="exact"/>
        <w:ind w:firstLine="643" w:firstLineChars="200"/>
        <w:rPr>
          <w:rFonts w:ascii="Times New Roman" w:hAnsi="Times New Roman" w:eastAsia="黑体" w:cs="Times New Roman"/>
          <w:sz w:val="32"/>
          <w:szCs w:val="32"/>
        </w:rPr>
      </w:pPr>
      <w:r>
        <w:rPr>
          <w:rFonts w:hint="eastAsia" w:ascii="Times New Roman" w:hAnsi="Times New Roman" w:eastAsia="仿宋" w:cs="Times New Roman"/>
          <w:b/>
          <w:bCs/>
          <w:color w:val="000000" w:themeColor="text1"/>
          <w:kern w:val="0"/>
          <w:sz w:val="32"/>
          <w:szCs w:val="32"/>
          <w:lang w:val="en-US" w:eastAsia="zh-CN" w:bidi="ar-SA"/>
        </w:rPr>
        <w:t>（十一）职能转变。</w:t>
      </w:r>
      <w:r>
        <w:rPr>
          <w:rFonts w:hint="eastAsia" w:ascii="Times New Roman" w:hAnsi="Times New Roman" w:eastAsia="仿宋" w:cs="Times New Roman"/>
          <w:color w:val="000000" w:themeColor="text1"/>
          <w:kern w:val="0"/>
          <w:sz w:val="32"/>
          <w:szCs w:val="32"/>
          <w:lang w:val="en-US" w:eastAsia="zh-CN" w:bidi="ar-SA"/>
        </w:rPr>
        <w:t>一是将街道工作重心转化为优化公共服务，为经济社会发展提供良好的营商环境。二是全面加强基层党的建设，提升党建引领城市基层治理的能力；加强城市管理工作的组织实施和统筹协调；加强辖区内与居民密切相关的行政审批和公共服务事项的组织实施；加强维护辖区公共安全。</w:t>
      </w:r>
    </w:p>
    <w:p w14:paraId="0DEAE4DB">
      <w:pPr>
        <w:numPr>
          <w:ilvl w:val="0"/>
          <w:numId w:val="1"/>
        </w:numPr>
        <w:overflowPunct w:val="0"/>
        <w:spacing w:line="596" w:lineRule="exact"/>
        <w:rPr>
          <w:rFonts w:ascii="Times New Roman" w:hAnsi="Times New Roman" w:eastAsia="黑体" w:cs="Times New Roman"/>
          <w:kern w:val="0"/>
          <w:sz w:val="32"/>
          <w:szCs w:val="32"/>
        </w:rPr>
      </w:pPr>
      <w:r>
        <w:rPr>
          <w:rFonts w:ascii="Times New Roman" w:hAnsi="Times New Roman" w:eastAsia="黑体" w:cs="Times New Roman"/>
          <w:kern w:val="0"/>
          <w:sz w:val="32"/>
          <w:szCs w:val="32"/>
        </w:rPr>
        <w:t>机构设置及决算单位构成</w:t>
      </w:r>
    </w:p>
    <w:p w14:paraId="1DFD7FC1">
      <w:pPr>
        <w:pStyle w:val="16"/>
        <w:numPr>
          <w:ilvl w:val="0"/>
          <w:numId w:val="2"/>
        </w:numPr>
        <w:ind w:firstLine="640" w:firstLineChars="200"/>
        <w:jc w:val="both"/>
        <w:rPr>
          <w:rFonts w:hint="eastAsia" w:ascii="Times New Roman" w:hAnsi="Times New Roman" w:eastAsia="仿宋" w:cs="Times New Roman"/>
          <w:color w:val="000000" w:themeColor="text1"/>
          <w:kern w:val="0"/>
          <w:sz w:val="32"/>
          <w:szCs w:val="32"/>
          <w:lang w:val="en-US" w:eastAsia="zh-CN" w:bidi="ar-SA"/>
        </w:rPr>
      </w:pPr>
      <w:r>
        <w:rPr>
          <w:rFonts w:hint="eastAsia" w:ascii="Times New Roman" w:hAnsi="Times New Roman" w:eastAsia="仿宋" w:cs="Times New Roman"/>
          <w:color w:val="000000" w:themeColor="text1"/>
          <w:kern w:val="0"/>
          <w:sz w:val="32"/>
          <w:szCs w:val="32"/>
          <w:lang w:val="en-US" w:eastAsia="zh-CN" w:bidi="ar-SA"/>
        </w:rPr>
        <w:t xml:space="preserve">内设机构设置。株洲市石峰区铜塘湾街道办事处单位内设机构包 括：党政办公室、党建办公室（公共服务办公室）、城市管理办公室、公共 安全办公室、生态环境办公室（农业农村工作办公室）司法所、财政所、党 群服务中心（文化综合服务站）、网格化管理站(综合治理站、综合便民服 务中心)、退役军人服务站、农业综合服务站、综合行政执法大队。 </w:t>
      </w:r>
    </w:p>
    <w:p w14:paraId="025F9BAE">
      <w:pPr>
        <w:pStyle w:val="17"/>
        <w:overflowPunct w:val="0"/>
        <w:spacing w:line="596" w:lineRule="exact"/>
        <w:ind w:firstLine="640"/>
        <w:rPr>
          <w:rFonts w:ascii="Times New Roman" w:hAnsi="Times New Roman" w:cs="Times New Roman"/>
          <w:sz w:val="84"/>
          <w:szCs w:val="84"/>
        </w:rPr>
      </w:pPr>
      <w:r>
        <w:rPr>
          <w:rFonts w:hint="eastAsia" w:ascii="Times New Roman" w:hAnsi="Times New Roman" w:eastAsia="仿宋" w:cs="Times New Roman"/>
          <w:color w:val="000000" w:themeColor="text1"/>
          <w:kern w:val="0"/>
          <w:sz w:val="32"/>
          <w:szCs w:val="32"/>
          <w:lang w:val="en-US" w:eastAsia="zh-CN" w:bidi="ar-SA"/>
        </w:rPr>
        <w:t>（二）</w:t>
      </w:r>
      <w:r>
        <w:rPr>
          <w:rFonts w:ascii="Times New Roman" w:hAnsi="Times New Roman" w:eastAsia="仿宋_GB2312" w:cs="仿宋_GB2312"/>
          <w:color w:val="000000"/>
          <w:kern w:val="0"/>
          <w:sz w:val="32"/>
          <w:szCs w:val="32"/>
        </w:rPr>
        <w:t>决算单位构成。</w:t>
      </w:r>
      <w:r>
        <w:rPr>
          <w:rFonts w:hint="eastAsia" w:ascii="Times New Roman" w:hAnsi="Times New Roman" w:eastAsia="仿宋_GB2312" w:cs="仿宋_GB2312"/>
          <w:color w:val="000000"/>
          <w:kern w:val="0"/>
          <w:sz w:val="32"/>
          <w:szCs w:val="32"/>
        </w:rPr>
        <w:t>铜塘湾街道办事处 202</w:t>
      </w:r>
      <w:r>
        <w:rPr>
          <w:rFonts w:hint="eastAsia" w:ascii="Times New Roman" w:hAnsi="Times New Roman" w:eastAsia="仿宋_GB2312" w:cs="仿宋_GB2312"/>
          <w:color w:val="000000"/>
          <w:kern w:val="0"/>
          <w:sz w:val="32"/>
          <w:szCs w:val="32"/>
          <w:lang w:val="en-US" w:eastAsia="zh-CN"/>
        </w:rPr>
        <w:t>3</w:t>
      </w:r>
      <w:r>
        <w:rPr>
          <w:rFonts w:hint="eastAsia" w:ascii="Times New Roman" w:hAnsi="Times New Roman" w:eastAsia="仿宋_GB2312" w:cs="仿宋_GB2312"/>
          <w:color w:val="000000"/>
          <w:kern w:val="0"/>
          <w:sz w:val="32"/>
          <w:szCs w:val="32"/>
        </w:rPr>
        <w:t>年部门决算汇总公开单位构成包括：铜塘湾街道办事处本级。</w:t>
      </w:r>
    </w:p>
    <w:p w14:paraId="33B61B39">
      <w:pPr>
        <w:pStyle w:val="16"/>
        <w:jc w:val="both"/>
        <w:rPr>
          <w:rFonts w:ascii="Times New Roman" w:hAnsi="Times New Roman" w:cs="Times New Roman"/>
          <w:sz w:val="84"/>
          <w:szCs w:val="84"/>
        </w:rPr>
      </w:pPr>
    </w:p>
    <w:p w14:paraId="4F776330">
      <w:pPr>
        <w:pStyle w:val="16"/>
        <w:jc w:val="both"/>
        <w:rPr>
          <w:rFonts w:ascii="Times New Roman" w:hAnsi="Times New Roman" w:cs="Times New Roman"/>
          <w:sz w:val="84"/>
          <w:szCs w:val="84"/>
        </w:rPr>
      </w:pPr>
    </w:p>
    <w:p w14:paraId="547D6A3A">
      <w:pPr>
        <w:pStyle w:val="16"/>
        <w:jc w:val="both"/>
        <w:rPr>
          <w:rFonts w:ascii="Times New Roman" w:hAnsi="Times New Roman" w:cs="Times New Roman"/>
          <w:sz w:val="84"/>
          <w:szCs w:val="84"/>
        </w:rPr>
      </w:pPr>
    </w:p>
    <w:p w14:paraId="052DBECB">
      <w:pPr>
        <w:pStyle w:val="16"/>
        <w:jc w:val="both"/>
        <w:rPr>
          <w:rFonts w:ascii="Times New Roman" w:hAnsi="Times New Roman" w:cs="Times New Roman"/>
          <w:sz w:val="84"/>
          <w:szCs w:val="84"/>
        </w:rPr>
      </w:pPr>
    </w:p>
    <w:p w14:paraId="77EE66E9">
      <w:pPr>
        <w:pStyle w:val="16"/>
        <w:jc w:val="both"/>
        <w:rPr>
          <w:rFonts w:ascii="Times New Roman" w:hAnsi="Times New Roman" w:cs="Times New Roman"/>
          <w:sz w:val="84"/>
          <w:szCs w:val="84"/>
        </w:rPr>
      </w:pPr>
    </w:p>
    <w:p w14:paraId="406F0618">
      <w:pPr>
        <w:pStyle w:val="16"/>
        <w:jc w:val="both"/>
        <w:rPr>
          <w:rFonts w:ascii="Times New Roman" w:hAnsi="Times New Roman" w:cs="Times New Roman"/>
          <w:sz w:val="84"/>
          <w:szCs w:val="84"/>
        </w:rPr>
      </w:pPr>
    </w:p>
    <w:p w14:paraId="1DF48217">
      <w:pPr>
        <w:pStyle w:val="16"/>
        <w:jc w:val="both"/>
        <w:rPr>
          <w:rFonts w:ascii="Times New Roman" w:hAnsi="Times New Roman" w:cs="Times New Roman"/>
          <w:sz w:val="84"/>
          <w:szCs w:val="84"/>
        </w:rPr>
      </w:pPr>
    </w:p>
    <w:p w14:paraId="2E6A3D9D">
      <w:pPr>
        <w:pStyle w:val="16"/>
        <w:jc w:val="both"/>
        <w:rPr>
          <w:rFonts w:ascii="Times New Roman" w:hAnsi="Times New Roman" w:cs="Times New Roman"/>
          <w:sz w:val="84"/>
          <w:szCs w:val="84"/>
        </w:rPr>
      </w:pPr>
    </w:p>
    <w:p w14:paraId="26CAA1BF">
      <w:pPr>
        <w:pStyle w:val="16"/>
        <w:jc w:val="both"/>
        <w:rPr>
          <w:rFonts w:ascii="Times New Roman" w:hAnsi="Times New Roman" w:cs="Times New Roman"/>
          <w:sz w:val="84"/>
          <w:szCs w:val="84"/>
        </w:rPr>
      </w:pPr>
    </w:p>
    <w:p w14:paraId="3DBD8D7C">
      <w:pPr>
        <w:pStyle w:val="16"/>
        <w:jc w:val="both"/>
        <w:rPr>
          <w:rFonts w:ascii="Times New Roman" w:hAnsi="Times New Roman" w:cs="Times New Roman"/>
          <w:sz w:val="84"/>
          <w:szCs w:val="84"/>
        </w:rPr>
      </w:pPr>
    </w:p>
    <w:p w14:paraId="603164E5">
      <w:pPr>
        <w:pStyle w:val="16"/>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第二部分</w:t>
      </w:r>
    </w:p>
    <w:p w14:paraId="135A2893">
      <w:pPr>
        <w:pStyle w:val="16"/>
        <w:jc w:val="center"/>
        <w:rPr>
          <w:rFonts w:ascii="Times New Roman" w:hAnsi="Times New Roman" w:eastAsia="方正小标宋简体" w:cs="Times New Roman"/>
          <w:sz w:val="76"/>
          <w:szCs w:val="76"/>
        </w:rPr>
      </w:pPr>
    </w:p>
    <w:p w14:paraId="615D3049">
      <w:pPr>
        <w:pStyle w:val="16"/>
        <w:jc w:val="center"/>
        <w:rPr>
          <w:rFonts w:ascii="Times New Roman" w:hAnsi="Times New Roman" w:eastAsia="方正小标宋简体" w:cs="Times New Roman"/>
          <w:w w:val="90"/>
          <w:sz w:val="76"/>
          <w:szCs w:val="76"/>
        </w:rPr>
      </w:pPr>
      <w:r>
        <w:rPr>
          <w:rFonts w:ascii="Times New Roman" w:hAnsi="Times New Roman" w:eastAsia="方正小标宋简体" w:cs="Times New Roman"/>
          <w:sz w:val="76"/>
          <w:szCs w:val="76"/>
        </w:rPr>
        <w:t>部门决算表</w:t>
      </w:r>
    </w:p>
    <w:p w14:paraId="3E8F1839">
      <w:pPr>
        <w:rPr>
          <w:rFonts w:ascii="Times New Roman" w:hAnsi="Times New Roman" w:eastAsia="仿宋_GB2312" w:cs="Times New Roman"/>
          <w:sz w:val="72"/>
          <w:szCs w:val="72"/>
        </w:rPr>
      </w:pPr>
    </w:p>
    <w:p w14:paraId="226013F0">
      <w:pPr>
        <w:jc w:val="center"/>
        <w:rPr>
          <w:rFonts w:hint="eastAsia" w:ascii="Times New Roman" w:hAnsi="Times New Roman" w:eastAsia="宋体" w:cs="Times New Roman"/>
          <w:sz w:val="32"/>
          <w:szCs w:val="32"/>
          <w:lang w:eastAsia="zh-CN"/>
        </w:rPr>
        <w:sectPr>
          <w:footerReference r:id="rId3" w:type="default"/>
          <w:pgSz w:w="11906" w:h="16838"/>
          <w:pgMar w:top="720" w:right="720" w:bottom="720" w:left="720" w:header="851" w:footer="992" w:gutter="0"/>
          <w:cols w:space="425" w:num="1"/>
          <w:docGrid w:type="lines" w:linePitch="312" w:charSpace="0"/>
        </w:sectPr>
      </w:pPr>
      <w:r>
        <w:rPr>
          <w:rFonts w:hint="eastAsia" w:ascii="Times New Roman" w:hAnsi="Times New Roman" w:cs="Times New Roman"/>
          <w:sz w:val="32"/>
          <w:szCs w:val="32"/>
          <w:lang w:eastAsia="zh-CN"/>
        </w:rPr>
        <w:t>（见附件</w:t>
      </w:r>
      <w:r>
        <w:rPr>
          <w:rFonts w:hint="eastAsia" w:ascii="Times New Roman" w:hAnsi="Times New Roman" w:cs="Times New Roman"/>
          <w:sz w:val="32"/>
          <w:szCs w:val="32"/>
          <w:lang w:val="en-US" w:eastAsia="zh-CN"/>
        </w:rPr>
        <w:t>1</w:t>
      </w:r>
      <w:r>
        <w:rPr>
          <w:rFonts w:hint="eastAsia" w:ascii="Times New Roman" w:hAnsi="Times New Roman" w:cs="Times New Roman"/>
          <w:sz w:val="32"/>
          <w:szCs w:val="32"/>
          <w:lang w:eastAsia="zh-CN"/>
        </w:rPr>
        <w:t>）</w:t>
      </w:r>
    </w:p>
    <w:p w14:paraId="280BC86D">
      <w:pPr>
        <w:pStyle w:val="16"/>
        <w:jc w:val="both"/>
        <w:rPr>
          <w:rFonts w:ascii="Times New Roman" w:hAnsi="Times New Roman" w:cs="Times New Roman"/>
          <w:sz w:val="84"/>
          <w:szCs w:val="84"/>
        </w:rPr>
      </w:pPr>
    </w:p>
    <w:p w14:paraId="19427B4E">
      <w:pPr>
        <w:pStyle w:val="16"/>
        <w:jc w:val="both"/>
        <w:rPr>
          <w:rFonts w:ascii="Times New Roman" w:hAnsi="Times New Roman" w:cs="Times New Roman"/>
          <w:sz w:val="84"/>
          <w:szCs w:val="84"/>
        </w:rPr>
      </w:pPr>
    </w:p>
    <w:p w14:paraId="5A7949C7">
      <w:pPr>
        <w:pStyle w:val="16"/>
        <w:jc w:val="center"/>
        <w:rPr>
          <w:rFonts w:ascii="Times New Roman" w:hAnsi="Times New Roman" w:eastAsia="方正小标宋简体" w:cs="Times New Roman"/>
          <w:sz w:val="76"/>
          <w:szCs w:val="76"/>
        </w:rPr>
      </w:pPr>
      <w:r>
        <w:rPr>
          <w:rFonts w:ascii="Times New Roman" w:hAnsi="Times New Roman" w:eastAsia="方正小标宋简体" w:cs="Times New Roman"/>
          <w:sz w:val="72"/>
          <w:szCs w:val="72"/>
        </w:rPr>
        <w:t>第三部分</w:t>
      </w:r>
    </w:p>
    <w:p w14:paraId="5343B0BB">
      <w:pPr>
        <w:pStyle w:val="16"/>
        <w:jc w:val="center"/>
        <w:rPr>
          <w:rFonts w:ascii="Times New Roman" w:hAnsi="Times New Roman" w:eastAsia="方正小标宋简体" w:cs="Times New Roman"/>
          <w:sz w:val="76"/>
          <w:szCs w:val="76"/>
        </w:rPr>
      </w:pPr>
    </w:p>
    <w:p w14:paraId="54C1C262">
      <w:pPr>
        <w:pStyle w:val="16"/>
        <w:jc w:val="center"/>
        <w:rPr>
          <w:rFonts w:ascii="Times New Roman" w:hAnsi="Times New Roman" w:eastAsia="仿宋_GB2312" w:cs="Times New Roman"/>
          <w:sz w:val="28"/>
          <w:szCs w:val="28"/>
        </w:rPr>
      </w:pPr>
      <w:r>
        <w:rPr>
          <w:rFonts w:ascii="Times New Roman" w:hAnsi="Times New Roman" w:eastAsia="方正小标宋简体" w:cs="Times New Roman"/>
          <w:sz w:val="72"/>
          <w:szCs w:val="72"/>
        </w:rPr>
        <w:t>2023年度部门决算情况说明</w:t>
      </w:r>
    </w:p>
    <w:p w14:paraId="5AC0E5CA">
      <w:pPr>
        <w:pStyle w:val="16"/>
        <w:numPr>
          <w:ilvl w:val="0"/>
          <w:numId w:val="3"/>
        </w:numPr>
        <w:spacing w:line="57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br w:type="page"/>
      </w:r>
      <w:r>
        <w:rPr>
          <w:rFonts w:ascii="Times New Roman" w:hAnsi="Times New Roman" w:cs="Times New Roman"/>
          <w:sz w:val="32"/>
          <w:szCs w:val="32"/>
        </w:rPr>
        <w:t>收入支出决算总体情况说明</w:t>
      </w:r>
    </w:p>
    <w:p w14:paraId="50012F76">
      <w:pPr>
        <w:pStyle w:val="16"/>
        <w:ind w:firstLine="640" w:firstLineChars="200"/>
        <w:rPr>
          <w:rFonts w:ascii="Times New Roman" w:hAnsi="Times New Roman" w:cs="Times New Roman"/>
          <w:sz w:val="32"/>
          <w:szCs w:val="32"/>
        </w:rPr>
      </w:pPr>
      <w:r>
        <w:rPr>
          <w:rFonts w:hint="eastAsia" w:ascii="Times New Roman" w:hAnsi="Times New Roman" w:eastAsia="仿宋" w:cs="Times New Roman"/>
          <w:sz w:val="32"/>
          <w:szCs w:val="32"/>
        </w:rPr>
        <w:t>202</w:t>
      </w:r>
      <w:r>
        <w:rPr>
          <w:rFonts w:hint="eastAsia" w:ascii="Times New Roman" w:hAnsi="Times New Roman" w:eastAsia="仿宋" w:cs="Times New Roman"/>
          <w:sz w:val="32"/>
          <w:szCs w:val="32"/>
          <w:lang w:val="en-US" w:eastAsia="zh-CN"/>
        </w:rPr>
        <w:t>3</w:t>
      </w:r>
      <w:r>
        <w:rPr>
          <w:rFonts w:hint="eastAsia" w:ascii="Times New Roman" w:hAnsi="Times New Roman" w:eastAsia="仿宋" w:cs="Times New Roman"/>
          <w:sz w:val="32"/>
          <w:szCs w:val="32"/>
        </w:rPr>
        <w:t>年度收、支总计</w:t>
      </w:r>
      <w:r>
        <w:rPr>
          <w:rFonts w:hint="eastAsia" w:ascii="Times New Roman" w:hAnsi="Times New Roman" w:eastAsia="仿宋" w:cs="Times New Roman"/>
          <w:sz w:val="32"/>
          <w:szCs w:val="32"/>
          <w:lang w:val="en-US" w:eastAsia="zh-CN"/>
        </w:rPr>
        <w:t>1252.46</w:t>
      </w:r>
      <w:r>
        <w:rPr>
          <w:rFonts w:hint="eastAsia" w:ascii="Times New Roman" w:hAnsi="Times New Roman" w:eastAsia="仿宋" w:cs="Times New Roman"/>
          <w:sz w:val="32"/>
          <w:szCs w:val="32"/>
        </w:rPr>
        <w:t>万元。与上年相比，增加</w:t>
      </w:r>
      <w:r>
        <w:rPr>
          <w:rFonts w:hint="eastAsia" w:ascii="Times New Roman" w:hAnsi="Times New Roman" w:eastAsia="仿宋" w:cs="Times New Roman"/>
          <w:sz w:val="32"/>
          <w:szCs w:val="32"/>
          <w:lang w:val="en-US" w:eastAsia="zh-CN"/>
        </w:rPr>
        <w:t>200.15</w:t>
      </w:r>
      <w:r>
        <w:rPr>
          <w:rFonts w:hint="eastAsia" w:ascii="Times New Roman" w:hAnsi="Times New Roman" w:eastAsia="仿宋" w:cs="Times New Roman"/>
          <w:sz w:val="32"/>
          <w:szCs w:val="32"/>
        </w:rPr>
        <w:t>万元，增长</w:t>
      </w:r>
      <w:r>
        <w:rPr>
          <w:rFonts w:hint="eastAsia" w:ascii="Times New Roman" w:hAnsi="Times New Roman" w:eastAsia="仿宋" w:cs="Times New Roman"/>
          <w:sz w:val="32"/>
          <w:szCs w:val="32"/>
          <w:lang w:val="en-US" w:eastAsia="zh-CN"/>
        </w:rPr>
        <w:t>19.02</w:t>
      </w:r>
      <w:r>
        <w:rPr>
          <w:rFonts w:hint="eastAsia" w:ascii="Times New Roman" w:hAnsi="Times New Roman" w:eastAsia="仿宋" w:cs="Times New Roman"/>
          <w:sz w:val="32"/>
          <w:szCs w:val="32"/>
        </w:rPr>
        <w:t>%，主要是因为</w:t>
      </w:r>
      <w:r>
        <w:rPr>
          <w:rFonts w:hint="eastAsia" w:ascii="Times New Roman" w:hAnsi="Times New Roman" w:eastAsia="仿宋" w:cs="Times New Roman"/>
          <w:sz w:val="32"/>
          <w:szCs w:val="32"/>
          <w:lang w:eastAsia="zh-CN"/>
        </w:rPr>
        <w:t>项目成本的增加。</w:t>
      </w:r>
    </w:p>
    <w:p w14:paraId="3A6AE67F">
      <w:pPr>
        <w:pStyle w:val="16"/>
        <w:numPr>
          <w:ilvl w:val="0"/>
          <w:numId w:val="3"/>
        </w:numPr>
        <w:spacing w:line="570" w:lineRule="exact"/>
        <w:ind w:left="0" w:leftChars="0" w:firstLine="640" w:firstLineChars="200"/>
        <w:jc w:val="both"/>
        <w:rPr>
          <w:rFonts w:ascii="Times New Roman" w:hAnsi="Times New Roman" w:cs="Times New Roman"/>
          <w:sz w:val="32"/>
          <w:szCs w:val="32"/>
        </w:rPr>
      </w:pPr>
      <w:r>
        <w:rPr>
          <w:rFonts w:ascii="Times New Roman" w:hAnsi="Times New Roman" w:cs="Times New Roman"/>
          <w:sz w:val="32"/>
          <w:szCs w:val="32"/>
        </w:rPr>
        <w:t>收入决算情况说明</w:t>
      </w:r>
    </w:p>
    <w:p w14:paraId="1BA36713">
      <w:pPr>
        <w:pStyle w:val="16"/>
        <w:ind w:firstLine="640" w:firstLineChars="200"/>
        <w:rPr>
          <w:rFonts w:hint="eastAsia" w:ascii="Times New Roman" w:hAnsi="Times New Roman" w:eastAsia="仿宋_GB2312"/>
          <w:sz w:val="32"/>
          <w:szCs w:val="32"/>
        </w:rPr>
      </w:pPr>
      <w:r>
        <w:rPr>
          <w:rFonts w:hint="eastAsia" w:ascii="Times New Roman" w:hAnsi="Times New Roman" w:eastAsia="仿宋" w:cs="Times New Roman"/>
          <w:sz w:val="32"/>
          <w:szCs w:val="32"/>
        </w:rPr>
        <w:t>202</w:t>
      </w:r>
      <w:r>
        <w:rPr>
          <w:rFonts w:hint="eastAsia" w:ascii="Times New Roman" w:hAnsi="Times New Roman" w:eastAsia="仿宋" w:cs="Times New Roman"/>
          <w:sz w:val="32"/>
          <w:szCs w:val="32"/>
          <w:lang w:val="en-US" w:eastAsia="zh-CN"/>
        </w:rPr>
        <w:t>3</w:t>
      </w:r>
      <w:r>
        <w:rPr>
          <w:rFonts w:hint="eastAsia" w:ascii="Times New Roman" w:hAnsi="Times New Roman" w:eastAsia="仿宋" w:cs="Times New Roman"/>
          <w:sz w:val="32"/>
          <w:szCs w:val="32"/>
        </w:rPr>
        <w:t>年度收入合计</w:t>
      </w:r>
      <w:r>
        <w:rPr>
          <w:rFonts w:hint="eastAsia" w:ascii="Times New Roman" w:hAnsi="Times New Roman" w:eastAsia="仿宋" w:cs="Times New Roman"/>
          <w:sz w:val="32"/>
          <w:szCs w:val="32"/>
          <w:lang w:val="en-US" w:eastAsia="zh-CN"/>
        </w:rPr>
        <w:t>1252.46</w:t>
      </w:r>
      <w:r>
        <w:rPr>
          <w:rFonts w:hint="eastAsia" w:ascii="Times New Roman" w:hAnsi="Times New Roman" w:eastAsia="仿宋" w:cs="Times New Roman"/>
          <w:sz w:val="32"/>
          <w:szCs w:val="32"/>
        </w:rPr>
        <w:t>万元，其中：财政拨款收入</w:t>
      </w:r>
      <w:r>
        <w:rPr>
          <w:rFonts w:hint="eastAsia" w:ascii="Times New Roman" w:hAnsi="Times New Roman" w:eastAsia="仿宋" w:cs="Times New Roman"/>
          <w:sz w:val="32"/>
          <w:szCs w:val="32"/>
          <w:lang w:val="en-US" w:eastAsia="zh-CN"/>
        </w:rPr>
        <w:t>1250.79</w:t>
      </w:r>
      <w:r>
        <w:rPr>
          <w:rFonts w:hint="eastAsia" w:ascii="Times New Roman" w:hAnsi="Times New Roman" w:eastAsia="仿宋" w:cs="Times New Roman"/>
          <w:sz w:val="32"/>
          <w:szCs w:val="32"/>
        </w:rPr>
        <w:t>万元，占</w:t>
      </w:r>
      <w:r>
        <w:rPr>
          <w:rFonts w:hint="eastAsia" w:ascii="Times New Roman" w:hAnsi="Times New Roman" w:eastAsia="仿宋" w:cs="Times New Roman"/>
          <w:sz w:val="32"/>
          <w:szCs w:val="32"/>
          <w:lang w:val="en-US" w:eastAsia="zh-CN"/>
        </w:rPr>
        <w:t>99.87</w:t>
      </w:r>
      <w:r>
        <w:rPr>
          <w:rFonts w:hint="eastAsia" w:ascii="Times New Roman" w:hAnsi="Times New Roman" w:eastAsia="仿宋" w:cs="Times New Roman"/>
          <w:sz w:val="32"/>
          <w:szCs w:val="32"/>
        </w:rPr>
        <w:t>%；上级补助收入</w:t>
      </w:r>
      <w:r>
        <w:rPr>
          <w:rFonts w:hint="eastAsia" w:ascii="Times New Roman" w:hAnsi="Times New Roman" w:eastAsia="仿宋" w:cs="Times New Roman"/>
          <w:sz w:val="32"/>
          <w:szCs w:val="32"/>
          <w:lang w:val="en-US" w:eastAsia="zh-CN"/>
        </w:rPr>
        <w:t>0</w:t>
      </w:r>
      <w:r>
        <w:rPr>
          <w:rFonts w:hint="eastAsia" w:ascii="Times New Roman" w:hAnsi="Times New Roman" w:eastAsia="仿宋" w:cs="Times New Roman"/>
          <w:sz w:val="32"/>
          <w:szCs w:val="32"/>
        </w:rPr>
        <w:t>万元，占</w:t>
      </w:r>
      <w:r>
        <w:rPr>
          <w:rFonts w:hint="eastAsia" w:ascii="Times New Roman" w:hAnsi="Times New Roman" w:eastAsia="仿宋" w:cs="Times New Roman"/>
          <w:sz w:val="32"/>
          <w:szCs w:val="32"/>
          <w:lang w:val="en-US" w:eastAsia="zh-CN"/>
        </w:rPr>
        <w:t>0</w:t>
      </w:r>
      <w:r>
        <w:rPr>
          <w:rFonts w:hint="eastAsia" w:ascii="Times New Roman" w:hAnsi="Times New Roman" w:eastAsia="仿宋" w:cs="Times New Roman"/>
          <w:sz w:val="32"/>
          <w:szCs w:val="32"/>
        </w:rPr>
        <w:t>%；事业收入</w:t>
      </w:r>
      <w:r>
        <w:rPr>
          <w:rFonts w:hint="eastAsia" w:ascii="Times New Roman" w:hAnsi="Times New Roman" w:eastAsia="仿宋" w:cs="Times New Roman"/>
          <w:sz w:val="32"/>
          <w:szCs w:val="32"/>
          <w:lang w:val="en-US" w:eastAsia="zh-CN"/>
        </w:rPr>
        <w:t>0</w:t>
      </w:r>
      <w:r>
        <w:rPr>
          <w:rFonts w:hint="eastAsia" w:ascii="Times New Roman" w:hAnsi="Times New Roman" w:eastAsia="仿宋" w:cs="Times New Roman"/>
          <w:sz w:val="32"/>
          <w:szCs w:val="32"/>
        </w:rPr>
        <w:t>万元，占</w:t>
      </w:r>
      <w:r>
        <w:rPr>
          <w:rFonts w:hint="eastAsia" w:ascii="Times New Roman" w:hAnsi="Times New Roman" w:eastAsia="仿宋" w:cs="Times New Roman"/>
          <w:sz w:val="32"/>
          <w:szCs w:val="32"/>
          <w:lang w:val="en-US" w:eastAsia="zh-CN"/>
        </w:rPr>
        <w:t>0</w:t>
      </w:r>
      <w:r>
        <w:rPr>
          <w:rFonts w:hint="eastAsia" w:ascii="Times New Roman" w:hAnsi="Times New Roman" w:eastAsia="仿宋" w:cs="Times New Roman"/>
          <w:sz w:val="32"/>
          <w:szCs w:val="32"/>
        </w:rPr>
        <w:t>%；经营收入</w:t>
      </w:r>
      <w:r>
        <w:rPr>
          <w:rFonts w:hint="eastAsia" w:ascii="Times New Roman" w:hAnsi="Times New Roman" w:eastAsia="仿宋" w:cs="Times New Roman"/>
          <w:sz w:val="32"/>
          <w:szCs w:val="32"/>
          <w:lang w:val="en-US" w:eastAsia="zh-CN"/>
        </w:rPr>
        <w:t>0</w:t>
      </w:r>
      <w:r>
        <w:rPr>
          <w:rFonts w:hint="eastAsia" w:ascii="Times New Roman" w:hAnsi="Times New Roman" w:eastAsia="仿宋" w:cs="Times New Roman"/>
          <w:sz w:val="32"/>
          <w:szCs w:val="32"/>
        </w:rPr>
        <w:t>万元，占</w:t>
      </w:r>
      <w:r>
        <w:rPr>
          <w:rFonts w:hint="eastAsia" w:ascii="Times New Roman" w:hAnsi="Times New Roman" w:eastAsia="仿宋" w:cs="Times New Roman"/>
          <w:sz w:val="32"/>
          <w:szCs w:val="32"/>
          <w:lang w:val="en-US" w:eastAsia="zh-CN"/>
        </w:rPr>
        <w:t>0</w:t>
      </w:r>
      <w:r>
        <w:rPr>
          <w:rFonts w:hint="eastAsia" w:ascii="Times New Roman" w:hAnsi="Times New Roman" w:eastAsia="仿宋" w:cs="Times New Roman"/>
          <w:sz w:val="32"/>
          <w:szCs w:val="32"/>
        </w:rPr>
        <w:t>%；附属单位上缴收入</w:t>
      </w:r>
      <w:r>
        <w:rPr>
          <w:rFonts w:hint="eastAsia" w:ascii="Times New Roman" w:hAnsi="Times New Roman" w:eastAsia="仿宋" w:cs="Times New Roman"/>
          <w:sz w:val="32"/>
          <w:szCs w:val="32"/>
          <w:lang w:val="en-US" w:eastAsia="zh-CN"/>
        </w:rPr>
        <w:t>0</w:t>
      </w:r>
      <w:r>
        <w:rPr>
          <w:rFonts w:hint="eastAsia" w:ascii="Times New Roman" w:hAnsi="Times New Roman" w:eastAsia="仿宋" w:cs="Times New Roman"/>
          <w:sz w:val="32"/>
          <w:szCs w:val="32"/>
        </w:rPr>
        <w:t>万元，占</w:t>
      </w:r>
      <w:r>
        <w:rPr>
          <w:rFonts w:hint="eastAsia" w:ascii="Times New Roman" w:hAnsi="Times New Roman" w:eastAsia="仿宋" w:cs="Times New Roman"/>
          <w:sz w:val="32"/>
          <w:szCs w:val="32"/>
          <w:lang w:val="en-US" w:eastAsia="zh-CN"/>
        </w:rPr>
        <w:t>0</w:t>
      </w:r>
      <w:r>
        <w:rPr>
          <w:rFonts w:hint="eastAsia" w:ascii="Times New Roman" w:hAnsi="Times New Roman" w:eastAsia="仿宋" w:cs="Times New Roman"/>
          <w:sz w:val="32"/>
          <w:szCs w:val="32"/>
        </w:rPr>
        <w:t>%；其他收入</w:t>
      </w:r>
      <w:r>
        <w:rPr>
          <w:rFonts w:hint="eastAsia" w:ascii="Times New Roman" w:hAnsi="Times New Roman" w:eastAsia="仿宋" w:cs="Times New Roman"/>
          <w:sz w:val="32"/>
          <w:szCs w:val="32"/>
          <w:lang w:val="en-US" w:eastAsia="zh-CN"/>
        </w:rPr>
        <w:t>1.67</w:t>
      </w:r>
      <w:r>
        <w:rPr>
          <w:rFonts w:hint="eastAsia" w:ascii="Times New Roman" w:hAnsi="Times New Roman" w:eastAsia="仿宋" w:cs="Times New Roman"/>
          <w:sz w:val="32"/>
          <w:szCs w:val="32"/>
        </w:rPr>
        <w:t>万元，占</w:t>
      </w:r>
      <w:r>
        <w:rPr>
          <w:rFonts w:hint="eastAsia" w:ascii="Times New Roman" w:hAnsi="Times New Roman" w:eastAsia="仿宋" w:cs="Times New Roman"/>
          <w:sz w:val="32"/>
          <w:szCs w:val="32"/>
          <w:lang w:val="en-US" w:eastAsia="zh-CN"/>
        </w:rPr>
        <w:t>0.13</w:t>
      </w:r>
      <w:r>
        <w:rPr>
          <w:rFonts w:hint="eastAsia" w:ascii="Times New Roman" w:hAnsi="Times New Roman" w:eastAsia="仿宋" w:cs="Times New Roman"/>
          <w:sz w:val="32"/>
          <w:szCs w:val="32"/>
        </w:rPr>
        <w:t>%。</w:t>
      </w:r>
    </w:p>
    <w:p w14:paraId="781D179D">
      <w:pPr>
        <w:pStyle w:val="16"/>
        <w:numPr>
          <w:ilvl w:val="0"/>
          <w:numId w:val="3"/>
        </w:numPr>
        <w:spacing w:line="570" w:lineRule="exact"/>
        <w:ind w:left="0" w:leftChars="0" w:firstLine="640" w:firstLineChars="200"/>
        <w:jc w:val="both"/>
        <w:rPr>
          <w:rFonts w:ascii="Times New Roman" w:hAnsi="Times New Roman" w:cs="Times New Roman"/>
          <w:sz w:val="32"/>
          <w:szCs w:val="32"/>
        </w:rPr>
      </w:pPr>
      <w:r>
        <w:rPr>
          <w:rFonts w:ascii="Times New Roman" w:hAnsi="Times New Roman" w:cs="Times New Roman"/>
          <w:sz w:val="32"/>
          <w:szCs w:val="32"/>
        </w:rPr>
        <w:t>支出决算情况说明</w:t>
      </w:r>
    </w:p>
    <w:p w14:paraId="0DD1B5D5">
      <w:pPr>
        <w:pStyle w:val="16"/>
        <w:ind w:firstLine="640" w:firstLineChars="200"/>
        <w:rPr>
          <w:rFonts w:hint="eastAsia" w:ascii="Times New Roman" w:hAnsi="Times New Roman" w:eastAsia="仿宋_GB2312"/>
          <w:color w:val="000000" w:themeColor="text1"/>
          <w:sz w:val="32"/>
          <w:szCs w:val="32"/>
        </w:rPr>
      </w:pPr>
      <w:r>
        <w:rPr>
          <w:rFonts w:hint="eastAsia" w:ascii="Times New Roman" w:hAnsi="Times New Roman" w:eastAsia="仿宋" w:cs="Times New Roman"/>
          <w:sz w:val="32"/>
          <w:szCs w:val="32"/>
        </w:rPr>
        <w:t>202</w:t>
      </w:r>
      <w:r>
        <w:rPr>
          <w:rFonts w:hint="eastAsia" w:ascii="Times New Roman" w:hAnsi="Times New Roman" w:eastAsia="仿宋" w:cs="Times New Roman"/>
          <w:sz w:val="32"/>
          <w:szCs w:val="32"/>
          <w:lang w:val="en-US" w:eastAsia="zh-CN"/>
        </w:rPr>
        <w:t>3</w:t>
      </w:r>
      <w:r>
        <w:rPr>
          <w:rFonts w:hint="eastAsia" w:ascii="Times New Roman" w:hAnsi="Times New Roman" w:eastAsia="仿宋" w:cs="Times New Roman"/>
          <w:sz w:val="32"/>
          <w:szCs w:val="32"/>
        </w:rPr>
        <w:t>年度支出合计</w:t>
      </w:r>
      <w:r>
        <w:rPr>
          <w:rFonts w:hint="eastAsia" w:ascii="Times New Roman" w:hAnsi="Times New Roman" w:eastAsia="仿宋" w:cs="Times New Roman"/>
          <w:sz w:val="32"/>
          <w:szCs w:val="32"/>
          <w:lang w:val="en-US" w:eastAsia="zh-CN"/>
        </w:rPr>
        <w:t>1252.46</w:t>
      </w:r>
      <w:r>
        <w:rPr>
          <w:rFonts w:hint="eastAsia" w:ascii="Times New Roman" w:hAnsi="Times New Roman" w:eastAsia="仿宋" w:cs="Times New Roman"/>
          <w:sz w:val="32"/>
          <w:szCs w:val="32"/>
        </w:rPr>
        <w:t>万元，其中：基本支出</w:t>
      </w:r>
      <w:r>
        <w:rPr>
          <w:rFonts w:hint="eastAsia" w:ascii="Times New Roman" w:hAnsi="Times New Roman" w:eastAsia="仿宋" w:cs="Times New Roman"/>
          <w:sz w:val="32"/>
          <w:szCs w:val="32"/>
          <w:lang w:val="en-US" w:eastAsia="zh-CN"/>
        </w:rPr>
        <w:t>645.24</w:t>
      </w:r>
      <w:r>
        <w:rPr>
          <w:rFonts w:hint="eastAsia" w:ascii="Times New Roman" w:hAnsi="Times New Roman" w:eastAsia="仿宋" w:cs="Times New Roman"/>
          <w:sz w:val="32"/>
          <w:szCs w:val="32"/>
        </w:rPr>
        <w:t>万元，占</w:t>
      </w:r>
      <w:r>
        <w:rPr>
          <w:rFonts w:hint="eastAsia" w:ascii="Times New Roman" w:hAnsi="Times New Roman" w:eastAsia="仿宋" w:cs="Times New Roman"/>
          <w:sz w:val="32"/>
          <w:szCs w:val="32"/>
          <w:lang w:val="en-US" w:eastAsia="zh-CN"/>
        </w:rPr>
        <w:t>51.52</w:t>
      </w:r>
      <w:r>
        <w:rPr>
          <w:rFonts w:hint="eastAsia" w:ascii="Times New Roman" w:hAnsi="Times New Roman" w:eastAsia="仿宋" w:cs="Times New Roman"/>
          <w:sz w:val="32"/>
          <w:szCs w:val="32"/>
        </w:rPr>
        <w:t>%；项目支出</w:t>
      </w:r>
      <w:r>
        <w:rPr>
          <w:rFonts w:hint="eastAsia" w:ascii="Times New Roman" w:hAnsi="Times New Roman" w:eastAsia="仿宋" w:cs="Times New Roman"/>
          <w:sz w:val="32"/>
          <w:szCs w:val="32"/>
          <w:lang w:val="en-US" w:eastAsia="zh-CN"/>
        </w:rPr>
        <w:t>607.22</w:t>
      </w:r>
      <w:r>
        <w:rPr>
          <w:rFonts w:hint="eastAsia" w:ascii="Times New Roman" w:hAnsi="Times New Roman" w:eastAsia="仿宋" w:cs="Times New Roman"/>
          <w:sz w:val="32"/>
          <w:szCs w:val="32"/>
        </w:rPr>
        <w:t>万元，占</w:t>
      </w:r>
      <w:r>
        <w:rPr>
          <w:rFonts w:hint="eastAsia" w:ascii="Times New Roman" w:hAnsi="Times New Roman" w:eastAsia="仿宋" w:cs="Times New Roman"/>
          <w:sz w:val="32"/>
          <w:szCs w:val="32"/>
          <w:lang w:val="en-US" w:eastAsia="zh-CN"/>
        </w:rPr>
        <w:t>48.48</w:t>
      </w:r>
      <w:r>
        <w:rPr>
          <w:rFonts w:hint="eastAsia" w:ascii="Times New Roman" w:hAnsi="Times New Roman" w:eastAsia="仿宋" w:cs="Times New Roman"/>
          <w:sz w:val="32"/>
          <w:szCs w:val="32"/>
        </w:rPr>
        <w:t>%；上缴上级支出</w:t>
      </w:r>
      <w:r>
        <w:rPr>
          <w:rFonts w:hint="eastAsia" w:ascii="Times New Roman" w:hAnsi="Times New Roman" w:eastAsia="仿宋" w:cs="Times New Roman"/>
          <w:sz w:val="32"/>
          <w:szCs w:val="32"/>
          <w:lang w:val="en-US" w:eastAsia="zh-CN"/>
        </w:rPr>
        <w:t>0</w:t>
      </w:r>
      <w:r>
        <w:rPr>
          <w:rFonts w:hint="eastAsia" w:ascii="Times New Roman" w:hAnsi="Times New Roman" w:eastAsia="仿宋" w:cs="Times New Roman"/>
          <w:sz w:val="32"/>
          <w:szCs w:val="32"/>
        </w:rPr>
        <w:t>万元，占</w:t>
      </w:r>
      <w:r>
        <w:rPr>
          <w:rFonts w:hint="eastAsia" w:ascii="Times New Roman" w:hAnsi="Times New Roman" w:eastAsia="仿宋" w:cs="Times New Roman"/>
          <w:sz w:val="32"/>
          <w:szCs w:val="32"/>
          <w:lang w:val="en-US" w:eastAsia="zh-CN"/>
        </w:rPr>
        <w:t>0</w:t>
      </w:r>
      <w:r>
        <w:rPr>
          <w:rFonts w:hint="eastAsia" w:ascii="Times New Roman" w:hAnsi="Times New Roman" w:eastAsia="仿宋" w:cs="Times New Roman"/>
          <w:sz w:val="32"/>
          <w:szCs w:val="32"/>
        </w:rPr>
        <w:t>%；经营支出</w:t>
      </w:r>
      <w:r>
        <w:rPr>
          <w:rFonts w:hint="eastAsia" w:ascii="Times New Roman" w:hAnsi="Times New Roman" w:eastAsia="仿宋" w:cs="Times New Roman"/>
          <w:sz w:val="32"/>
          <w:szCs w:val="32"/>
          <w:lang w:val="en-US" w:eastAsia="zh-CN"/>
        </w:rPr>
        <w:t>0</w:t>
      </w:r>
      <w:r>
        <w:rPr>
          <w:rFonts w:hint="eastAsia" w:ascii="Times New Roman" w:hAnsi="Times New Roman" w:eastAsia="仿宋" w:cs="Times New Roman"/>
          <w:sz w:val="32"/>
          <w:szCs w:val="32"/>
        </w:rPr>
        <w:t>万元，占</w:t>
      </w:r>
      <w:r>
        <w:rPr>
          <w:rFonts w:hint="eastAsia" w:ascii="Times New Roman" w:hAnsi="Times New Roman" w:eastAsia="仿宋" w:cs="Times New Roman"/>
          <w:sz w:val="32"/>
          <w:szCs w:val="32"/>
          <w:lang w:val="en-US" w:eastAsia="zh-CN"/>
        </w:rPr>
        <w:t>0</w:t>
      </w:r>
      <w:r>
        <w:rPr>
          <w:rFonts w:hint="eastAsia" w:ascii="Times New Roman" w:hAnsi="Times New Roman" w:eastAsia="仿宋" w:cs="Times New Roman"/>
          <w:sz w:val="32"/>
          <w:szCs w:val="32"/>
        </w:rPr>
        <w:t>%；对附属单位补助支出</w:t>
      </w:r>
      <w:r>
        <w:rPr>
          <w:rFonts w:hint="eastAsia" w:ascii="Times New Roman" w:hAnsi="Times New Roman" w:eastAsia="仿宋" w:cs="Times New Roman"/>
          <w:sz w:val="32"/>
          <w:szCs w:val="32"/>
          <w:lang w:val="en-US" w:eastAsia="zh-CN"/>
        </w:rPr>
        <w:t>0</w:t>
      </w:r>
      <w:r>
        <w:rPr>
          <w:rFonts w:hint="eastAsia" w:ascii="Times New Roman" w:hAnsi="Times New Roman" w:eastAsia="仿宋" w:cs="Times New Roman"/>
          <w:sz w:val="32"/>
          <w:szCs w:val="32"/>
        </w:rPr>
        <w:t>万元，占</w:t>
      </w:r>
      <w:r>
        <w:rPr>
          <w:rFonts w:hint="eastAsia" w:ascii="Times New Roman" w:hAnsi="Times New Roman" w:eastAsia="仿宋" w:cs="Times New Roman"/>
          <w:sz w:val="32"/>
          <w:szCs w:val="32"/>
          <w:lang w:val="en-US" w:eastAsia="zh-CN"/>
        </w:rPr>
        <w:t>0</w:t>
      </w:r>
      <w:r>
        <w:rPr>
          <w:rFonts w:hint="eastAsia" w:ascii="Times New Roman" w:hAnsi="Times New Roman" w:eastAsia="仿宋" w:cs="Times New Roman"/>
          <w:sz w:val="32"/>
          <w:szCs w:val="32"/>
        </w:rPr>
        <w:t>%。</w:t>
      </w:r>
    </w:p>
    <w:p w14:paraId="53023729">
      <w:pPr>
        <w:pStyle w:val="16"/>
        <w:numPr>
          <w:ilvl w:val="0"/>
          <w:numId w:val="3"/>
        </w:numPr>
        <w:spacing w:line="570" w:lineRule="exact"/>
        <w:ind w:left="0" w:leftChars="0" w:firstLine="640" w:firstLineChars="200"/>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财政拨款收入支出决算总体情况说明</w:t>
      </w:r>
    </w:p>
    <w:p w14:paraId="079D44DA">
      <w:pPr>
        <w:pStyle w:val="16"/>
        <w:ind w:firstLine="640" w:firstLineChars="200"/>
        <w:rPr>
          <w:rFonts w:ascii="Times New Roman" w:hAnsi="Times New Roman" w:cs="Times New Roman"/>
          <w:sz w:val="32"/>
          <w:szCs w:val="32"/>
        </w:rPr>
      </w:pPr>
      <w:r>
        <w:rPr>
          <w:rFonts w:hint="eastAsia" w:ascii="Times New Roman" w:hAnsi="Times New Roman" w:eastAsia="仿宋" w:cs="Times New Roman"/>
          <w:color w:val="000000" w:themeColor="text1"/>
          <w:sz w:val="32"/>
          <w:szCs w:val="32"/>
        </w:rPr>
        <w:t>202</w:t>
      </w:r>
      <w:r>
        <w:rPr>
          <w:rFonts w:hint="eastAsia" w:ascii="Times New Roman" w:hAnsi="Times New Roman" w:eastAsia="仿宋" w:cs="Times New Roman"/>
          <w:color w:val="000000" w:themeColor="text1"/>
          <w:sz w:val="32"/>
          <w:szCs w:val="32"/>
          <w:lang w:val="en-US" w:eastAsia="zh-CN"/>
        </w:rPr>
        <w:t>3</w:t>
      </w:r>
      <w:r>
        <w:rPr>
          <w:rFonts w:hint="eastAsia" w:ascii="Times New Roman" w:hAnsi="Times New Roman" w:eastAsia="仿宋" w:cs="Times New Roman"/>
          <w:color w:val="000000" w:themeColor="text1"/>
          <w:sz w:val="32"/>
          <w:szCs w:val="32"/>
        </w:rPr>
        <w:t>年度财政拨款收、支总计</w:t>
      </w:r>
      <w:r>
        <w:rPr>
          <w:rFonts w:hint="eastAsia" w:ascii="Times New Roman" w:hAnsi="Times New Roman" w:eastAsia="仿宋" w:cs="Times New Roman"/>
          <w:color w:val="000000" w:themeColor="text1"/>
          <w:sz w:val="32"/>
          <w:szCs w:val="32"/>
          <w:lang w:val="en-US" w:eastAsia="zh-CN"/>
        </w:rPr>
        <w:t>1250.79</w:t>
      </w:r>
      <w:r>
        <w:rPr>
          <w:rFonts w:hint="eastAsia" w:ascii="Times New Roman" w:hAnsi="Times New Roman" w:eastAsia="仿宋" w:cs="Times New Roman"/>
          <w:color w:val="000000" w:themeColor="text1"/>
          <w:sz w:val="32"/>
          <w:szCs w:val="32"/>
        </w:rPr>
        <w:t>万元，与上年相比，增加</w:t>
      </w:r>
      <w:r>
        <w:rPr>
          <w:rFonts w:hint="eastAsia" w:ascii="Times New Roman" w:hAnsi="Times New Roman" w:eastAsia="仿宋" w:cs="Times New Roman"/>
          <w:color w:val="000000" w:themeColor="text1"/>
          <w:sz w:val="32"/>
          <w:szCs w:val="32"/>
          <w:lang w:val="en-US" w:eastAsia="zh-CN"/>
        </w:rPr>
        <w:t>198.48</w:t>
      </w:r>
      <w:r>
        <w:rPr>
          <w:rFonts w:hint="eastAsia" w:ascii="Times New Roman" w:hAnsi="Times New Roman" w:eastAsia="仿宋" w:cs="Times New Roman"/>
          <w:color w:val="000000" w:themeColor="text1"/>
          <w:sz w:val="32"/>
          <w:szCs w:val="32"/>
        </w:rPr>
        <w:t>万元,增长</w:t>
      </w:r>
      <w:r>
        <w:rPr>
          <w:rFonts w:hint="eastAsia" w:ascii="Times New Roman" w:hAnsi="Times New Roman" w:eastAsia="仿宋" w:cs="Times New Roman"/>
          <w:color w:val="000000" w:themeColor="text1"/>
          <w:sz w:val="32"/>
          <w:szCs w:val="32"/>
          <w:lang w:val="en-US" w:eastAsia="zh-CN"/>
        </w:rPr>
        <w:t>18.86</w:t>
      </w:r>
      <w:r>
        <w:rPr>
          <w:rFonts w:hint="eastAsia" w:ascii="Times New Roman" w:hAnsi="Times New Roman" w:eastAsia="仿宋" w:cs="Times New Roman"/>
          <w:color w:val="000000" w:themeColor="text1"/>
          <w:sz w:val="32"/>
          <w:szCs w:val="32"/>
        </w:rPr>
        <w:t>%，</w:t>
      </w:r>
      <w:r>
        <w:rPr>
          <w:rFonts w:hint="eastAsia" w:ascii="Times New Roman" w:hAnsi="Times New Roman" w:eastAsia="仿宋" w:cs="Times New Roman"/>
          <w:sz w:val="32"/>
          <w:szCs w:val="32"/>
        </w:rPr>
        <w:t>主要是因为</w:t>
      </w:r>
      <w:r>
        <w:rPr>
          <w:rFonts w:hint="eastAsia" w:ascii="Times New Roman" w:hAnsi="Times New Roman" w:eastAsia="仿宋" w:cs="Times New Roman"/>
          <w:sz w:val="32"/>
          <w:szCs w:val="32"/>
          <w:lang w:eastAsia="zh-CN"/>
        </w:rPr>
        <w:t>人员增加和项目成本增加。</w:t>
      </w:r>
    </w:p>
    <w:p w14:paraId="4D08C44E">
      <w:pPr>
        <w:pStyle w:val="7"/>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五、一般公共预算财政拨款支出决算情况说明</w:t>
      </w:r>
    </w:p>
    <w:p w14:paraId="007E690C">
      <w:pPr>
        <w:pStyle w:val="7"/>
        <w:autoSpaceDE w:val="0"/>
        <w:autoSpaceDN w:val="0"/>
        <w:adjustRightInd w:val="0"/>
        <w:spacing w:line="570" w:lineRule="exact"/>
        <w:ind w:firstLine="640" w:firstLineChars="200"/>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（一）财政拨款支出决算总体情况</w:t>
      </w:r>
    </w:p>
    <w:p w14:paraId="59662010">
      <w:pPr>
        <w:pStyle w:val="16"/>
        <w:ind w:firstLine="640" w:firstLineChars="200"/>
        <w:rPr>
          <w:rFonts w:ascii="Times New Roman" w:hAnsi="Times New Roman" w:eastAsia="仿宋_GB2312"/>
          <w:color w:val="auto"/>
          <w:sz w:val="32"/>
          <w:szCs w:val="32"/>
        </w:rPr>
      </w:pPr>
      <w:r>
        <w:rPr>
          <w:rFonts w:hint="eastAsia" w:ascii="Times New Roman" w:hAnsi="Times New Roman" w:eastAsia="仿宋" w:cs="Times New Roman"/>
          <w:sz w:val="32"/>
          <w:szCs w:val="32"/>
        </w:rPr>
        <w:t>202</w:t>
      </w:r>
      <w:r>
        <w:rPr>
          <w:rFonts w:hint="eastAsia" w:ascii="Times New Roman" w:hAnsi="Times New Roman" w:eastAsia="仿宋" w:cs="Times New Roman"/>
          <w:sz w:val="32"/>
          <w:szCs w:val="32"/>
          <w:lang w:val="en-US" w:eastAsia="zh-CN"/>
        </w:rPr>
        <w:t>3</w:t>
      </w:r>
      <w:r>
        <w:rPr>
          <w:rFonts w:hint="eastAsia" w:ascii="Times New Roman" w:hAnsi="Times New Roman" w:eastAsia="仿宋" w:cs="Times New Roman"/>
          <w:sz w:val="32"/>
          <w:szCs w:val="32"/>
        </w:rPr>
        <w:t>年度财政拨款支出</w:t>
      </w:r>
      <w:r>
        <w:rPr>
          <w:rFonts w:hint="eastAsia" w:ascii="Times New Roman" w:hAnsi="Times New Roman" w:eastAsia="仿宋" w:cs="Times New Roman"/>
          <w:sz w:val="32"/>
          <w:szCs w:val="32"/>
          <w:lang w:val="en-US" w:eastAsia="zh-CN"/>
        </w:rPr>
        <w:t>1250.79</w:t>
      </w:r>
      <w:r>
        <w:rPr>
          <w:rFonts w:hint="eastAsia" w:ascii="Times New Roman" w:hAnsi="Times New Roman" w:eastAsia="仿宋" w:cs="Times New Roman"/>
          <w:sz w:val="32"/>
          <w:szCs w:val="32"/>
        </w:rPr>
        <w:t>万元，占本年支出合计的</w:t>
      </w:r>
      <w:r>
        <w:rPr>
          <w:rFonts w:hint="eastAsia" w:ascii="Times New Roman" w:hAnsi="Times New Roman" w:eastAsia="仿宋" w:cs="Times New Roman"/>
          <w:sz w:val="32"/>
          <w:szCs w:val="32"/>
          <w:lang w:val="en-US" w:eastAsia="zh-CN"/>
        </w:rPr>
        <w:t>99.87</w:t>
      </w:r>
      <w:r>
        <w:rPr>
          <w:rFonts w:hint="eastAsia" w:ascii="Times New Roman" w:hAnsi="Times New Roman" w:eastAsia="仿宋" w:cs="Times New Roman"/>
          <w:sz w:val="32"/>
          <w:szCs w:val="32"/>
        </w:rPr>
        <w:t>%，与上年相比，财政拨款支出增加</w:t>
      </w:r>
      <w:r>
        <w:rPr>
          <w:rFonts w:hint="eastAsia" w:ascii="Times New Roman" w:hAnsi="Times New Roman" w:eastAsia="仿宋" w:cs="Times New Roman"/>
          <w:sz w:val="32"/>
          <w:szCs w:val="32"/>
          <w:lang w:val="en-US" w:eastAsia="zh-CN"/>
        </w:rPr>
        <w:t>198.48</w:t>
      </w:r>
      <w:r>
        <w:rPr>
          <w:rFonts w:hint="eastAsia" w:ascii="Times New Roman" w:hAnsi="Times New Roman" w:eastAsia="仿宋" w:cs="Times New Roman"/>
          <w:sz w:val="32"/>
          <w:szCs w:val="32"/>
        </w:rPr>
        <w:t>万元，增长</w:t>
      </w:r>
      <w:r>
        <w:rPr>
          <w:rFonts w:hint="eastAsia" w:ascii="Times New Roman" w:hAnsi="Times New Roman" w:eastAsia="仿宋" w:cs="Times New Roman"/>
          <w:sz w:val="32"/>
          <w:szCs w:val="32"/>
          <w:lang w:val="en-US" w:eastAsia="zh-CN"/>
        </w:rPr>
        <w:t>18.86</w:t>
      </w:r>
      <w:r>
        <w:rPr>
          <w:rFonts w:hint="eastAsia" w:ascii="Times New Roman" w:hAnsi="Times New Roman" w:eastAsia="仿宋" w:cs="Times New Roman"/>
          <w:sz w:val="32"/>
          <w:szCs w:val="32"/>
        </w:rPr>
        <w:t>%，主要是因为</w:t>
      </w:r>
      <w:r>
        <w:rPr>
          <w:rFonts w:hint="eastAsia" w:ascii="Times New Roman" w:hAnsi="Times New Roman" w:eastAsia="仿宋" w:cs="Times New Roman"/>
          <w:sz w:val="32"/>
          <w:szCs w:val="32"/>
          <w:lang w:eastAsia="zh-CN"/>
        </w:rPr>
        <w:t>人员增加和项目成本增加。</w:t>
      </w:r>
    </w:p>
    <w:p w14:paraId="78CA1BB6">
      <w:pPr>
        <w:pStyle w:val="7"/>
        <w:numPr>
          <w:ilvl w:val="0"/>
          <w:numId w:val="4"/>
        </w:numPr>
        <w:autoSpaceDE w:val="0"/>
        <w:autoSpaceDN w:val="0"/>
        <w:adjustRightInd w:val="0"/>
        <w:spacing w:line="570" w:lineRule="exact"/>
        <w:ind w:firstLine="640" w:firstLineChars="200"/>
        <w:rPr>
          <w:rFonts w:ascii="Times New Roman" w:hAnsi="Times New Roman" w:eastAsia="楷体_GB2312" w:cs="Times New Roman"/>
          <w:b/>
          <w:color w:val="auto"/>
          <w:kern w:val="0"/>
          <w:sz w:val="32"/>
          <w:szCs w:val="32"/>
        </w:rPr>
      </w:pPr>
      <w:r>
        <w:rPr>
          <w:rFonts w:ascii="Times New Roman" w:hAnsi="Times New Roman" w:eastAsia="楷体_GB2312" w:cs="Times New Roman"/>
          <w:b/>
          <w:color w:val="auto"/>
          <w:kern w:val="0"/>
          <w:sz w:val="32"/>
          <w:szCs w:val="32"/>
        </w:rPr>
        <w:t>财政拨款支出决算结构情况</w:t>
      </w:r>
    </w:p>
    <w:p w14:paraId="19C52561">
      <w:pPr>
        <w:pStyle w:val="16"/>
        <w:ind w:firstLine="640" w:firstLineChars="200"/>
        <w:rPr>
          <w:rFonts w:ascii="Times New Roman" w:hAnsi="Times New Roman" w:eastAsia="楷体_GB2312" w:cs="Times New Roman"/>
          <w:b/>
          <w:color w:val="auto"/>
          <w:kern w:val="0"/>
          <w:sz w:val="32"/>
          <w:szCs w:val="32"/>
        </w:rPr>
      </w:pPr>
      <w:r>
        <w:rPr>
          <w:rFonts w:ascii="Times New Roman" w:hAnsi="Times New Roman" w:eastAsia="仿宋" w:cs="Times New Roman"/>
          <w:color w:val="auto"/>
          <w:sz w:val="32"/>
          <w:szCs w:val="32"/>
        </w:rPr>
        <w:t>202</w:t>
      </w:r>
      <w:r>
        <w:rPr>
          <w:rFonts w:hint="eastAsia" w:ascii="Times New Roman" w:hAnsi="Times New Roman" w:eastAsia="仿宋" w:cs="Times New Roman"/>
          <w:color w:val="auto"/>
          <w:sz w:val="32"/>
          <w:szCs w:val="32"/>
          <w:lang w:val="en-US" w:eastAsia="zh-CN"/>
        </w:rPr>
        <w:t>3</w:t>
      </w:r>
      <w:r>
        <w:rPr>
          <w:rFonts w:ascii="Times New Roman" w:hAnsi="Times New Roman" w:eastAsia="仿宋" w:cs="Times New Roman"/>
          <w:color w:val="auto"/>
          <w:sz w:val="32"/>
          <w:szCs w:val="32"/>
        </w:rPr>
        <w:t>年度财政拨款支出</w:t>
      </w:r>
      <w:r>
        <w:rPr>
          <w:rFonts w:hint="eastAsia" w:ascii="Times New Roman" w:hAnsi="Times New Roman" w:eastAsia="仿宋" w:cs="Times New Roman"/>
          <w:color w:val="auto"/>
          <w:sz w:val="32"/>
          <w:szCs w:val="32"/>
          <w:lang w:val="en-US" w:eastAsia="zh-CN"/>
        </w:rPr>
        <w:t>1250.79</w:t>
      </w:r>
      <w:r>
        <w:rPr>
          <w:rFonts w:ascii="Times New Roman" w:hAnsi="Times New Roman" w:eastAsia="仿宋" w:cs="Times New Roman"/>
          <w:color w:val="auto"/>
          <w:sz w:val="32"/>
          <w:szCs w:val="32"/>
        </w:rPr>
        <w:t>万元，主要用于以下方面：一般公共服务（类）支出</w:t>
      </w:r>
      <w:r>
        <w:rPr>
          <w:rFonts w:hint="eastAsia" w:ascii="Times New Roman" w:hAnsi="Times New Roman" w:eastAsia="仿宋" w:cs="Times New Roman"/>
          <w:color w:val="auto"/>
          <w:sz w:val="32"/>
          <w:szCs w:val="32"/>
          <w:lang w:val="en-US" w:eastAsia="zh-CN"/>
        </w:rPr>
        <w:t>716.73</w:t>
      </w:r>
      <w:r>
        <w:rPr>
          <w:rFonts w:ascii="Times New Roman" w:hAnsi="Times New Roman" w:eastAsia="仿宋" w:cs="Times New Roman"/>
          <w:color w:val="auto"/>
          <w:sz w:val="32"/>
          <w:szCs w:val="32"/>
        </w:rPr>
        <w:t>万元</w:t>
      </w:r>
      <w:r>
        <w:rPr>
          <w:rFonts w:hint="eastAsia" w:ascii="Times New Roman" w:hAnsi="Times New Roman" w:eastAsia="仿宋" w:cs="Times New Roman"/>
          <w:color w:val="auto"/>
          <w:sz w:val="32"/>
          <w:szCs w:val="32"/>
          <w:lang w:eastAsia="zh-CN"/>
        </w:rPr>
        <w:t>，</w:t>
      </w:r>
      <w:r>
        <w:rPr>
          <w:rFonts w:ascii="Times New Roman" w:hAnsi="Times New Roman" w:eastAsia="仿宋" w:cs="Times New Roman"/>
          <w:color w:val="auto"/>
          <w:sz w:val="32"/>
          <w:szCs w:val="32"/>
        </w:rPr>
        <w:t>占</w:t>
      </w:r>
      <w:r>
        <w:rPr>
          <w:rFonts w:hint="eastAsia" w:ascii="Times New Roman" w:hAnsi="Times New Roman" w:eastAsia="仿宋" w:cs="Times New Roman"/>
          <w:color w:val="auto"/>
          <w:sz w:val="32"/>
          <w:szCs w:val="32"/>
        </w:rPr>
        <w:t>57.3</w:t>
      </w:r>
      <w:r>
        <w:rPr>
          <w:rFonts w:ascii="Times New Roman" w:hAnsi="Times New Roman" w:eastAsia="仿宋" w:cs="Times New Roman"/>
          <w:color w:val="auto"/>
          <w:sz w:val="32"/>
          <w:szCs w:val="32"/>
        </w:rPr>
        <w:t>%；社会保障和就业支出（类）支出</w:t>
      </w:r>
      <w:r>
        <w:rPr>
          <w:rFonts w:hint="eastAsia" w:ascii="Times New Roman" w:hAnsi="Times New Roman" w:eastAsia="仿宋" w:cs="Times New Roman"/>
          <w:color w:val="auto"/>
          <w:sz w:val="32"/>
          <w:szCs w:val="32"/>
          <w:lang w:val="en-US" w:eastAsia="zh-CN"/>
        </w:rPr>
        <w:t>402.21</w:t>
      </w:r>
      <w:r>
        <w:rPr>
          <w:rFonts w:ascii="Times New Roman" w:hAnsi="Times New Roman" w:eastAsia="仿宋" w:cs="Times New Roman"/>
          <w:color w:val="auto"/>
          <w:sz w:val="32"/>
          <w:szCs w:val="32"/>
        </w:rPr>
        <w:t>万元，占</w:t>
      </w:r>
      <w:r>
        <w:rPr>
          <w:rFonts w:hint="eastAsia" w:ascii="Times New Roman" w:hAnsi="Times New Roman" w:eastAsia="仿宋" w:cs="Times New Roman"/>
          <w:color w:val="auto"/>
          <w:sz w:val="32"/>
          <w:szCs w:val="32"/>
        </w:rPr>
        <w:t>32.16</w:t>
      </w:r>
      <w:r>
        <w:rPr>
          <w:rFonts w:ascii="Times New Roman" w:hAnsi="Times New Roman" w:eastAsia="仿宋" w:cs="Times New Roman"/>
          <w:color w:val="auto"/>
          <w:sz w:val="32"/>
          <w:szCs w:val="32"/>
        </w:rPr>
        <w:t>%；</w:t>
      </w:r>
      <w:r>
        <w:rPr>
          <w:rFonts w:hint="eastAsia" w:ascii="Times New Roman" w:hAnsi="Times New Roman" w:eastAsia="仿宋" w:cs="Times New Roman"/>
          <w:color w:val="auto"/>
          <w:sz w:val="32"/>
          <w:szCs w:val="32"/>
          <w:lang w:eastAsia="zh-CN"/>
        </w:rPr>
        <w:t>卫生健康支出</w:t>
      </w:r>
      <w:r>
        <w:rPr>
          <w:rFonts w:ascii="Times New Roman" w:hAnsi="Times New Roman" w:eastAsia="仿宋" w:cs="Times New Roman"/>
          <w:color w:val="auto"/>
          <w:sz w:val="32"/>
          <w:szCs w:val="32"/>
        </w:rPr>
        <w:t>（类）</w:t>
      </w:r>
      <w:r>
        <w:rPr>
          <w:rFonts w:hint="eastAsia" w:ascii="Times New Roman" w:hAnsi="Times New Roman" w:eastAsia="仿宋" w:cs="Times New Roman"/>
          <w:color w:val="auto"/>
          <w:sz w:val="32"/>
          <w:szCs w:val="32"/>
          <w:lang w:val="en-US" w:eastAsia="zh-CN"/>
        </w:rPr>
        <w:t>55.5万元，占4.44</w:t>
      </w:r>
      <w:r>
        <w:rPr>
          <w:rFonts w:ascii="Times New Roman" w:hAnsi="Times New Roman" w:eastAsia="仿宋" w:cs="Times New Roman"/>
          <w:color w:val="auto"/>
          <w:sz w:val="32"/>
          <w:szCs w:val="32"/>
        </w:rPr>
        <w:t>%；</w:t>
      </w:r>
      <w:r>
        <w:rPr>
          <w:rFonts w:hint="eastAsia" w:ascii="Times New Roman" w:hAnsi="Times New Roman" w:eastAsia="仿宋" w:cs="Times New Roman"/>
          <w:color w:val="auto"/>
          <w:sz w:val="32"/>
          <w:szCs w:val="32"/>
          <w:lang w:eastAsia="zh-CN"/>
        </w:rPr>
        <w:t>节能环保支出</w:t>
      </w:r>
      <w:r>
        <w:rPr>
          <w:rFonts w:ascii="Times New Roman" w:hAnsi="Times New Roman" w:eastAsia="仿宋" w:cs="Times New Roman"/>
          <w:color w:val="auto"/>
          <w:sz w:val="32"/>
          <w:szCs w:val="32"/>
        </w:rPr>
        <w:t>（类）</w:t>
      </w:r>
      <w:r>
        <w:rPr>
          <w:rFonts w:hint="eastAsia" w:ascii="Times New Roman" w:hAnsi="Times New Roman" w:eastAsia="仿宋" w:cs="Times New Roman"/>
          <w:color w:val="auto"/>
          <w:sz w:val="32"/>
          <w:szCs w:val="32"/>
          <w:lang w:val="en-US" w:eastAsia="zh-CN"/>
        </w:rPr>
        <w:t>30</w:t>
      </w:r>
      <w:r>
        <w:rPr>
          <w:rFonts w:hint="eastAsia" w:ascii="Times New Roman" w:hAnsi="Times New Roman" w:eastAsia="仿宋" w:cs="Times New Roman"/>
          <w:color w:val="auto"/>
          <w:sz w:val="32"/>
          <w:szCs w:val="32"/>
          <w:lang w:eastAsia="zh-CN"/>
        </w:rPr>
        <w:t>万元，占2.4</w:t>
      </w:r>
      <w:r>
        <w:rPr>
          <w:rFonts w:ascii="Times New Roman" w:hAnsi="Times New Roman" w:eastAsia="仿宋" w:cs="Times New Roman"/>
          <w:color w:val="auto"/>
          <w:sz w:val="32"/>
          <w:szCs w:val="32"/>
        </w:rPr>
        <w:t>%；城乡社区支出（类）支出</w:t>
      </w:r>
      <w:r>
        <w:rPr>
          <w:rFonts w:hint="eastAsia" w:ascii="Times New Roman" w:hAnsi="Times New Roman" w:eastAsia="仿宋" w:cs="Times New Roman"/>
          <w:color w:val="auto"/>
          <w:sz w:val="32"/>
          <w:szCs w:val="32"/>
          <w:lang w:val="en-US" w:eastAsia="zh-CN"/>
        </w:rPr>
        <w:t>11.92</w:t>
      </w:r>
      <w:r>
        <w:rPr>
          <w:rFonts w:ascii="Times New Roman" w:hAnsi="Times New Roman" w:eastAsia="仿宋" w:cs="Times New Roman"/>
          <w:color w:val="auto"/>
          <w:sz w:val="32"/>
          <w:szCs w:val="32"/>
        </w:rPr>
        <w:t>万元，占</w:t>
      </w:r>
      <w:r>
        <w:rPr>
          <w:rFonts w:hint="eastAsia" w:ascii="Times New Roman" w:hAnsi="Times New Roman" w:eastAsia="仿宋" w:cs="Times New Roman"/>
          <w:color w:val="auto"/>
          <w:sz w:val="32"/>
          <w:szCs w:val="32"/>
        </w:rPr>
        <w:t>0.95</w:t>
      </w:r>
      <w:r>
        <w:rPr>
          <w:rFonts w:ascii="Times New Roman" w:hAnsi="Times New Roman" w:eastAsia="仿宋" w:cs="Times New Roman"/>
          <w:color w:val="auto"/>
          <w:sz w:val="32"/>
          <w:szCs w:val="32"/>
        </w:rPr>
        <w:t>%；</w:t>
      </w:r>
      <w:r>
        <w:rPr>
          <w:rFonts w:hint="eastAsia" w:ascii="Times New Roman" w:hAnsi="Times New Roman" w:eastAsia="仿宋" w:cs="Times New Roman"/>
          <w:color w:val="auto"/>
          <w:sz w:val="32"/>
          <w:szCs w:val="32"/>
          <w:lang w:eastAsia="zh-CN"/>
        </w:rPr>
        <w:t>农林水支出</w:t>
      </w:r>
      <w:r>
        <w:rPr>
          <w:rFonts w:hint="eastAsia" w:ascii="Times New Roman" w:hAnsi="Times New Roman" w:eastAsia="仿宋" w:cs="Times New Roman"/>
          <w:color w:val="auto"/>
          <w:sz w:val="32"/>
          <w:szCs w:val="32"/>
          <w:lang w:val="en-US" w:eastAsia="zh-CN"/>
        </w:rPr>
        <w:t>29.43万元，</w:t>
      </w:r>
      <w:r>
        <w:rPr>
          <w:rFonts w:ascii="Times New Roman" w:hAnsi="Times New Roman" w:eastAsia="仿宋" w:cs="Times New Roman"/>
          <w:color w:val="auto"/>
          <w:sz w:val="32"/>
          <w:szCs w:val="32"/>
        </w:rPr>
        <w:t>占</w:t>
      </w:r>
      <w:r>
        <w:rPr>
          <w:rFonts w:hint="eastAsia" w:ascii="Times New Roman" w:hAnsi="Times New Roman" w:eastAsia="仿宋" w:cs="Times New Roman"/>
          <w:color w:val="auto"/>
          <w:sz w:val="32"/>
          <w:szCs w:val="32"/>
        </w:rPr>
        <w:t>2.35</w:t>
      </w:r>
      <w:r>
        <w:rPr>
          <w:rFonts w:ascii="Times New Roman" w:hAnsi="Times New Roman" w:eastAsia="仿宋" w:cs="Times New Roman"/>
          <w:color w:val="auto"/>
          <w:sz w:val="32"/>
          <w:szCs w:val="32"/>
        </w:rPr>
        <w:t>%；</w:t>
      </w:r>
      <w:r>
        <w:rPr>
          <w:rFonts w:hint="eastAsia" w:ascii="Times New Roman" w:hAnsi="Times New Roman" w:eastAsia="仿宋" w:cs="Times New Roman"/>
          <w:color w:val="auto"/>
          <w:sz w:val="32"/>
          <w:szCs w:val="32"/>
          <w:lang w:eastAsia="zh-CN"/>
        </w:rPr>
        <w:t>灾害防治及应急管理支出</w:t>
      </w:r>
      <w:r>
        <w:rPr>
          <w:rFonts w:ascii="Times New Roman" w:hAnsi="Times New Roman" w:eastAsia="仿宋" w:cs="Times New Roman"/>
          <w:color w:val="auto"/>
          <w:sz w:val="32"/>
          <w:szCs w:val="32"/>
        </w:rPr>
        <w:t>（类）</w:t>
      </w:r>
      <w:r>
        <w:rPr>
          <w:rFonts w:hint="eastAsia" w:ascii="Times New Roman" w:hAnsi="Times New Roman" w:eastAsia="仿宋" w:cs="Times New Roman"/>
          <w:color w:val="auto"/>
          <w:sz w:val="32"/>
          <w:szCs w:val="32"/>
          <w:lang w:val="en-US" w:eastAsia="zh-CN"/>
        </w:rPr>
        <w:t>5万元，</w:t>
      </w:r>
      <w:r>
        <w:rPr>
          <w:rFonts w:hint="eastAsia" w:ascii="Times New Roman" w:hAnsi="Times New Roman" w:eastAsia="仿宋" w:cs="Times New Roman"/>
          <w:color w:val="auto"/>
          <w:sz w:val="32"/>
          <w:szCs w:val="32"/>
          <w:lang w:eastAsia="zh-CN"/>
        </w:rPr>
        <w:t>占0.4</w:t>
      </w:r>
      <w:r>
        <w:rPr>
          <w:rFonts w:ascii="Times New Roman" w:hAnsi="Times New Roman" w:eastAsia="仿宋" w:cs="Times New Roman"/>
          <w:color w:val="auto"/>
          <w:sz w:val="32"/>
          <w:szCs w:val="32"/>
        </w:rPr>
        <w:t>%</w:t>
      </w:r>
      <w:r>
        <w:rPr>
          <w:rFonts w:hint="eastAsia" w:ascii="Times New Roman" w:hAnsi="Times New Roman" w:eastAsia="仿宋" w:cs="Times New Roman"/>
          <w:color w:val="auto"/>
          <w:sz w:val="32"/>
          <w:szCs w:val="32"/>
          <w:lang w:eastAsia="zh-CN"/>
        </w:rPr>
        <w:t>。</w:t>
      </w:r>
    </w:p>
    <w:p w14:paraId="61ECA682">
      <w:pPr>
        <w:pStyle w:val="7"/>
        <w:numPr>
          <w:ilvl w:val="0"/>
          <w:numId w:val="4"/>
        </w:numPr>
        <w:autoSpaceDE w:val="0"/>
        <w:autoSpaceDN w:val="0"/>
        <w:adjustRightInd w:val="0"/>
        <w:spacing w:line="570" w:lineRule="exact"/>
        <w:ind w:left="0" w:leftChars="0" w:firstLine="640" w:firstLineChars="200"/>
        <w:rPr>
          <w:rFonts w:ascii="Times New Roman" w:hAnsi="Times New Roman" w:eastAsia="仿宋_GB2312" w:cs="仿宋_GB2312"/>
          <w:color w:val="auto"/>
          <w:sz w:val="32"/>
          <w:szCs w:val="32"/>
          <w:lang w:val="en-US" w:eastAsia="zh-CN" w:bidi="ar-SA"/>
        </w:rPr>
      </w:pPr>
      <w:r>
        <w:rPr>
          <w:rFonts w:ascii="Times New Roman" w:hAnsi="Times New Roman" w:eastAsia="仿宋_GB2312" w:cs="仿宋_GB2312"/>
          <w:color w:val="auto"/>
          <w:sz w:val="32"/>
          <w:szCs w:val="32"/>
          <w:lang w:val="en-US" w:eastAsia="zh-CN" w:bidi="ar-SA"/>
        </w:rPr>
        <w:t>财政拨款支出决算具体情况</w:t>
      </w:r>
    </w:p>
    <w:p w14:paraId="115FE48D">
      <w:pPr>
        <w:keepNext w:val="0"/>
        <w:keepLines w:val="0"/>
        <w:widowControl/>
        <w:suppressLineNumbers w:val="0"/>
        <w:ind w:firstLine="640" w:firstLineChars="200"/>
        <w:jc w:val="left"/>
        <w:rPr>
          <w:rFonts w:hint="eastAsia" w:ascii="Times New Roman" w:hAnsi="Times New Roman" w:eastAsia="仿宋_GB2312" w:cs="仿宋_GB2312"/>
          <w:color w:val="auto"/>
          <w:sz w:val="32"/>
          <w:szCs w:val="32"/>
          <w:lang w:val="en-US" w:eastAsia="zh-CN" w:bidi="ar-SA"/>
        </w:rPr>
      </w:pPr>
      <w:r>
        <w:rPr>
          <w:rFonts w:hint="eastAsia" w:ascii="Times New Roman" w:hAnsi="Times New Roman" w:eastAsia="仿宋_GB2312" w:cs="仿宋_GB2312"/>
          <w:color w:val="auto"/>
          <w:sz w:val="32"/>
          <w:szCs w:val="32"/>
          <w:lang w:val="en-US" w:eastAsia="zh-CN" w:bidi="ar-SA"/>
        </w:rPr>
        <w:t xml:space="preserve">2023年度财政拨款支出年初预算数为953.74万元，支出决算数为 1250.79万元，完成年初预算的131.15%，其中： </w:t>
      </w:r>
    </w:p>
    <w:p w14:paraId="71898367">
      <w:pPr>
        <w:keepNext w:val="0"/>
        <w:keepLines w:val="0"/>
        <w:widowControl/>
        <w:numPr>
          <w:ilvl w:val="0"/>
          <w:numId w:val="5"/>
        </w:numPr>
        <w:suppressLineNumbers w:val="0"/>
        <w:ind w:firstLine="640" w:firstLineChars="200"/>
        <w:jc w:val="left"/>
        <w:rPr>
          <w:rFonts w:hint="eastAsia" w:ascii="Times New Roman" w:hAnsi="Times New Roman" w:eastAsia="仿宋" w:cs="Times New Roman"/>
          <w:color w:val="auto"/>
          <w:kern w:val="0"/>
          <w:sz w:val="32"/>
          <w:szCs w:val="32"/>
          <w:lang w:val="en-US" w:eastAsia="zh-CN" w:bidi="ar-SA"/>
        </w:rPr>
      </w:pPr>
      <w:r>
        <w:rPr>
          <w:rFonts w:hint="eastAsia" w:ascii="Times New Roman" w:hAnsi="Times New Roman" w:eastAsia="仿宋" w:cs="Times New Roman"/>
          <w:color w:val="auto"/>
          <w:kern w:val="0"/>
          <w:sz w:val="32"/>
          <w:szCs w:val="32"/>
          <w:lang w:val="en-US" w:eastAsia="zh-CN" w:bidi="ar-SA"/>
        </w:rPr>
        <w:t>一般公共服务支出（类）政府办公厅（室）及相关机构事务（款） 行政运行（项）。年初预算为625.86万元，支出决算为643.57万元，完成年初预算的102.83%，决算数大于年初预算数的主要原因是：人员增加，在职职工工资晋档，各种人员保险经费增加等。</w:t>
      </w:r>
    </w:p>
    <w:p w14:paraId="30B95B80">
      <w:pPr>
        <w:keepNext w:val="0"/>
        <w:keepLines w:val="0"/>
        <w:widowControl/>
        <w:suppressLineNumbers w:val="0"/>
        <w:ind w:firstLine="640" w:firstLineChars="200"/>
        <w:jc w:val="left"/>
        <w:rPr>
          <w:rFonts w:hint="eastAsia" w:ascii="Times New Roman" w:hAnsi="Times New Roman" w:eastAsia="仿宋" w:cs="Times New Roman"/>
          <w:color w:val="auto"/>
          <w:kern w:val="0"/>
          <w:sz w:val="32"/>
          <w:szCs w:val="32"/>
          <w:lang w:val="en-US" w:eastAsia="zh-CN" w:bidi="ar-SA"/>
        </w:rPr>
      </w:pPr>
      <w:r>
        <w:rPr>
          <w:rFonts w:hint="eastAsia" w:ascii="Times New Roman" w:hAnsi="Times New Roman" w:eastAsia="仿宋" w:cs="Times New Roman"/>
          <w:color w:val="auto"/>
          <w:kern w:val="0"/>
          <w:sz w:val="32"/>
          <w:szCs w:val="32"/>
          <w:lang w:val="en-US" w:eastAsia="zh-CN" w:bidi="ar-SA"/>
        </w:rPr>
        <w:t>2、一般公共服务支出（类）政府办公厅（室）及相关机构事务（款） 一般行政管理事务（项）。 年初预算为36万元，支出决算为59.75万元，完成年初预算的165.97%，决算数大于年初预算数的主要原因是：项目成本增加。</w:t>
      </w:r>
    </w:p>
    <w:p w14:paraId="514DB36D">
      <w:pPr>
        <w:keepNext w:val="0"/>
        <w:keepLines w:val="0"/>
        <w:widowControl/>
        <w:numPr>
          <w:ilvl w:val="0"/>
          <w:numId w:val="0"/>
        </w:numPr>
        <w:suppressLineNumbers w:val="0"/>
        <w:ind w:firstLine="640" w:firstLineChars="200"/>
        <w:jc w:val="left"/>
        <w:rPr>
          <w:rFonts w:hint="eastAsia" w:ascii="Times New Roman" w:hAnsi="Times New Roman" w:eastAsia="仿宋" w:cs="Times New Roman"/>
          <w:color w:val="auto"/>
          <w:kern w:val="0"/>
          <w:sz w:val="32"/>
          <w:szCs w:val="32"/>
          <w:lang w:val="en-US" w:eastAsia="zh-CN" w:bidi="ar-SA"/>
        </w:rPr>
      </w:pPr>
      <w:r>
        <w:rPr>
          <w:rFonts w:hint="eastAsia" w:ascii="Times New Roman" w:hAnsi="Times New Roman" w:eastAsia="仿宋" w:cs="Times New Roman"/>
          <w:color w:val="auto"/>
          <w:kern w:val="0"/>
          <w:sz w:val="32"/>
          <w:szCs w:val="32"/>
          <w:lang w:val="en-US" w:eastAsia="zh-CN" w:bidi="ar-SA"/>
        </w:rPr>
        <w:t>3、一般公共服务支出（类）政府办公厅（室）及相关机构事务（款）其他政府办公厅（室）及相关机构事务支出（项） 。 年初预算为0万元，支出决算为13.41万元，决算数大于年初预算数的主要原因是：补增项目</w:t>
      </w:r>
      <w:r>
        <w:rPr>
          <w:rFonts w:ascii="Times New Roman" w:hAnsi="Times New Roman" w:eastAsia="仿宋" w:cs="Times New Roman"/>
          <w:color w:val="auto"/>
          <w:kern w:val="0"/>
          <w:sz w:val="32"/>
          <w:szCs w:val="32"/>
          <w:lang w:val="en-US" w:eastAsia="zh-CN" w:bidi="ar-SA"/>
        </w:rPr>
        <w:t>。</w:t>
      </w:r>
    </w:p>
    <w:p w14:paraId="003842B3">
      <w:pPr>
        <w:keepNext w:val="0"/>
        <w:keepLines w:val="0"/>
        <w:widowControl/>
        <w:numPr>
          <w:ilvl w:val="0"/>
          <w:numId w:val="0"/>
        </w:numPr>
        <w:suppressLineNumbers w:val="0"/>
        <w:ind w:firstLine="640" w:firstLineChars="200"/>
        <w:jc w:val="left"/>
        <w:rPr>
          <w:rFonts w:hint="eastAsia" w:ascii="Times New Roman" w:hAnsi="Times New Roman" w:eastAsia="仿宋" w:cs="Times New Roman"/>
          <w:color w:val="auto"/>
          <w:kern w:val="0"/>
          <w:sz w:val="32"/>
          <w:szCs w:val="32"/>
          <w:lang w:val="en-US" w:eastAsia="zh-CN" w:bidi="ar-SA"/>
        </w:rPr>
      </w:pPr>
      <w:r>
        <w:rPr>
          <w:rFonts w:hint="eastAsia" w:ascii="Times New Roman" w:hAnsi="Times New Roman" w:eastAsia="仿宋" w:cs="Times New Roman"/>
          <w:color w:val="auto"/>
          <w:kern w:val="0"/>
          <w:sz w:val="32"/>
          <w:szCs w:val="32"/>
          <w:lang w:val="en-US" w:eastAsia="zh-CN" w:bidi="ar-SA"/>
        </w:rPr>
        <w:t>4、社会保障和就业支出（类）人力资源和社会保障管理事务（款）其他人力资源和社会保障管理事务支出（项）。年初预算为0万元，支出决算为3.84万元，决算数大于年初预算数的主要原因是：人员增加</w:t>
      </w:r>
      <w:r>
        <w:rPr>
          <w:rFonts w:ascii="Times New Roman" w:hAnsi="Times New Roman" w:eastAsia="仿宋" w:cs="Times New Roman"/>
          <w:color w:val="auto"/>
          <w:kern w:val="0"/>
          <w:sz w:val="32"/>
          <w:szCs w:val="32"/>
          <w:lang w:val="en-US" w:eastAsia="zh-CN" w:bidi="ar-SA"/>
        </w:rPr>
        <w:t>。</w:t>
      </w:r>
    </w:p>
    <w:p w14:paraId="2161FC61">
      <w:pPr>
        <w:keepNext w:val="0"/>
        <w:keepLines w:val="0"/>
        <w:widowControl/>
        <w:numPr>
          <w:ilvl w:val="0"/>
          <w:numId w:val="0"/>
        </w:numPr>
        <w:suppressLineNumbers w:val="0"/>
        <w:ind w:firstLine="640" w:firstLineChars="200"/>
        <w:jc w:val="left"/>
        <w:rPr>
          <w:rFonts w:hint="eastAsia" w:ascii="Times New Roman" w:hAnsi="Times New Roman" w:eastAsia="仿宋" w:cs="Times New Roman"/>
          <w:color w:val="auto"/>
          <w:kern w:val="0"/>
          <w:sz w:val="32"/>
          <w:szCs w:val="32"/>
          <w:lang w:val="en-US" w:eastAsia="zh-CN" w:bidi="ar-SA"/>
        </w:rPr>
      </w:pPr>
      <w:r>
        <w:rPr>
          <w:rFonts w:hint="eastAsia" w:ascii="Times New Roman" w:hAnsi="Times New Roman" w:eastAsia="仿宋" w:cs="Times New Roman"/>
          <w:color w:val="auto"/>
          <w:kern w:val="0"/>
          <w:sz w:val="32"/>
          <w:szCs w:val="32"/>
          <w:lang w:val="en-US" w:eastAsia="zh-CN" w:bidi="ar-SA"/>
        </w:rPr>
        <w:t>5、社会保障和就业支出（类）民政管理事务（款）基层政权建设和社区治理（项）。年初预算为272.28万元，支出决算为353.47万元，完成年初预算的129.82 %，决算数大于年初预算数的主要原因是：人员增加。</w:t>
      </w:r>
    </w:p>
    <w:p w14:paraId="643A4E93">
      <w:pPr>
        <w:keepNext w:val="0"/>
        <w:keepLines w:val="0"/>
        <w:widowControl/>
        <w:numPr>
          <w:ilvl w:val="0"/>
          <w:numId w:val="0"/>
        </w:numPr>
        <w:suppressLineNumbers w:val="0"/>
        <w:ind w:firstLine="640" w:firstLineChars="200"/>
        <w:jc w:val="left"/>
        <w:rPr>
          <w:rFonts w:hint="eastAsia" w:ascii="Times New Roman" w:hAnsi="Times New Roman" w:eastAsia="仿宋" w:cs="Times New Roman"/>
          <w:color w:val="auto"/>
          <w:kern w:val="0"/>
          <w:sz w:val="32"/>
          <w:szCs w:val="32"/>
          <w:lang w:val="en-US" w:eastAsia="zh-CN" w:bidi="ar-SA"/>
        </w:rPr>
      </w:pPr>
      <w:r>
        <w:rPr>
          <w:rFonts w:hint="eastAsia" w:ascii="Times New Roman" w:hAnsi="Times New Roman" w:eastAsia="仿宋" w:cs="Times New Roman"/>
          <w:color w:val="auto"/>
          <w:kern w:val="0"/>
          <w:sz w:val="32"/>
          <w:szCs w:val="32"/>
          <w:lang w:val="en-US" w:eastAsia="zh-CN" w:bidi="ar-SA"/>
        </w:rPr>
        <w:t>6、社会保障和就业支出（类）就业补助（款）其他就业补助支出（项）。年初预算为0万元，支出决算为21万元，决算数大于年初预算数的主要原因是：补增项目</w:t>
      </w:r>
      <w:r>
        <w:rPr>
          <w:rFonts w:ascii="Times New Roman" w:hAnsi="Times New Roman" w:eastAsia="仿宋" w:cs="Times New Roman"/>
          <w:color w:val="auto"/>
          <w:kern w:val="0"/>
          <w:sz w:val="32"/>
          <w:szCs w:val="32"/>
          <w:lang w:val="en-US" w:eastAsia="zh-CN" w:bidi="ar-SA"/>
        </w:rPr>
        <w:t>。</w:t>
      </w:r>
    </w:p>
    <w:p w14:paraId="64927EAA">
      <w:pPr>
        <w:keepNext w:val="0"/>
        <w:keepLines w:val="0"/>
        <w:widowControl/>
        <w:numPr>
          <w:ilvl w:val="0"/>
          <w:numId w:val="0"/>
        </w:numPr>
        <w:suppressLineNumbers w:val="0"/>
        <w:ind w:firstLine="640" w:firstLineChars="200"/>
        <w:jc w:val="left"/>
        <w:rPr>
          <w:rFonts w:hint="eastAsia" w:ascii="Times New Roman" w:hAnsi="Times New Roman" w:eastAsia="仿宋" w:cs="Times New Roman"/>
          <w:color w:val="auto"/>
          <w:kern w:val="0"/>
          <w:sz w:val="32"/>
          <w:szCs w:val="32"/>
          <w:lang w:val="en-US" w:eastAsia="zh-CN" w:bidi="ar-SA"/>
        </w:rPr>
      </w:pPr>
      <w:r>
        <w:rPr>
          <w:rFonts w:hint="eastAsia" w:ascii="Times New Roman" w:hAnsi="Times New Roman" w:eastAsia="仿宋" w:cs="Times New Roman"/>
          <w:color w:val="auto"/>
          <w:kern w:val="0"/>
          <w:sz w:val="32"/>
          <w:szCs w:val="32"/>
          <w:lang w:val="en-US" w:eastAsia="zh-CN" w:bidi="ar-SA"/>
        </w:rPr>
        <w:t>7、社会保障和就业支出（类）残疾人事业（款）其他残疾人事业支出（项）。年初预算为0万元，支出决算为8万元，决算数大于年初预算数的主要原因是：补增项目</w:t>
      </w:r>
      <w:r>
        <w:rPr>
          <w:rFonts w:ascii="Times New Roman" w:hAnsi="Times New Roman" w:eastAsia="仿宋" w:cs="Times New Roman"/>
          <w:color w:val="auto"/>
          <w:kern w:val="0"/>
          <w:sz w:val="32"/>
          <w:szCs w:val="32"/>
          <w:lang w:val="en-US" w:eastAsia="zh-CN" w:bidi="ar-SA"/>
        </w:rPr>
        <w:t>。</w:t>
      </w:r>
    </w:p>
    <w:p w14:paraId="069B0D29">
      <w:pPr>
        <w:keepNext w:val="0"/>
        <w:keepLines w:val="0"/>
        <w:widowControl/>
        <w:numPr>
          <w:ilvl w:val="0"/>
          <w:numId w:val="0"/>
        </w:numPr>
        <w:suppressLineNumbers w:val="0"/>
        <w:ind w:firstLine="640" w:firstLineChars="200"/>
        <w:jc w:val="left"/>
        <w:rPr>
          <w:rFonts w:hint="eastAsia" w:ascii="Times New Roman" w:hAnsi="Times New Roman" w:eastAsia="仿宋" w:cs="Times New Roman"/>
          <w:color w:val="auto"/>
          <w:kern w:val="0"/>
          <w:sz w:val="32"/>
          <w:szCs w:val="32"/>
          <w:lang w:val="en-US" w:eastAsia="zh-CN" w:bidi="ar-SA"/>
        </w:rPr>
      </w:pPr>
      <w:r>
        <w:rPr>
          <w:rFonts w:hint="eastAsia" w:ascii="Times New Roman" w:hAnsi="Times New Roman" w:eastAsia="仿宋" w:cs="Times New Roman"/>
          <w:color w:val="auto"/>
          <w:kern w:val="0"/>
          <w:sz w:val="32"/>
          <w:szCs w:val="32"/>
          <w:lang w:val="en-US" w:eastAsia="zh-CN" w:bidi="ar-SA"/>
        </w:rPr>
        <w:t>8、社会保障和就业支出（类）其他社会保障和就业支出（款）其他社会保障和就业支出（项）。年初预算为0万元，支出决算为15.9万元，决算数大于年初预算数的主要原因是：补增项目</w:t>
      </w:r>
      <w:r>
        <w:rPr>
          <w:rFonts w:ascii="Times New Roman" w:hAnsi="Times New Roman" w:eastAsia="仿宋" w:cs="Times New Roman"/>
          <w:color w:val="auto"/>
          <w:kern w:val="0"/>
          <w:sz w:val="32"/>
          <w:szCs w:val="32"/>
          <w:lang w:val="en-US" w:eastAsia="zh-CN" w:bidi="ar-SA"/>
        </w:rPr>
        <w:t>。</w:t>
      </w:r>
    </w:p>
    <w:p w14:paraId="7DB3DBF5">
      <w:pPr>
        <w:keepNext w:val="0"/>
        <w:keepLines w:val="0"/>
        <w:widowControl/>
        <w:numPr>
          <w:ilvl w:val="0"/>
          <w:numId w:val="0"/>
        </w:numPr>
        <w:suppressLineNumbers w:val="0"/>
        <w:ind w:firstLine="640" w:firstLineChars="200"/>
        <w:jc w:val="left"/>
        <w:rPr>
          <w:rFonts w:hint="eastAsia" w:ascii="Times New Roman" w:hAnsi="Times New Roman" w:eastAsia="仿宋" w:cs="Times New Roman"/>
          <w:color w:val="auto"/>
          <w:kern w:val="0"/>
          <w:sz w:val="32"/>
          <w:szCs w:val="32"/>
          <w:lang w:val="en-US" w:eastAsia="zh-CN" w:bidi="ar-SA"/>
        </w:rPr>
      </w:pPr>
      <w:r>
        <w:rPr>
          <w:rFonts w:hint="eastAsia" w:ascii="Times New Roman" w:hAnsi="Times New Roman" w:eastAsia="仿宋" w:cs="Times New Roman"/>
          <w:color w:val="auto"/>
          <w:kern w:val="0"/>
          <w:sz w:val="32"/>
          <w:szCs w:val="32"/>
          <w:lang w:val="en-US" w:eastAsia="zh-CN" w:bidi="ar-SA"/>
        </w:rPr>
        <w:t>9、卫生健康支出（类）公共卫生（款）突发公共卫生事件应急处理（项）。年初预算为0万元，支出决算为55.5万元，决算数大于年初预算数的主要原因是：补增项目</w:t>
      </w:r>
      <w:r>
        <w:rPr>
          <w:rFonts w:ascii="Times New Roman" w:hAnsi="Times New Roman" w:eastAsia="仿宋" w:cs="Times New Roman"/>
          <w:color w:val="auto"/>
          <w:kern w:val="0"/>
          <w:sz w:val="32"/>
          <w:szCs w:val="32"/>
          <w:lang w:val="en-US" w:eastAsia="zh-CN" w:bidi="ar-SA"/>
        </w:rPr>
        <w:t>。</w:t>
      </w:r>
    </w:p>
    <w:p w14:paraId="23C67F06">
      <w:pPr>
        <w:keepNext w:val="0"/>
        <w:keepLines w:val="0"/>
        <w:widowControl/>
        <w:numPr>
          <w:ilvl w:val="0"/>
          <w:numId w:val="0"/>
        </w:numPr>
        <w:suppressLineNumbers w:val="0"/>
        <w:ind w:firstLine="640" w:firstLineChars="200"/>
        <w:jc w:val="left"/>
        <w:rPr>
          <w:rFonts w:hint="eastAsia" w:ascii="Times New Roman" w:hAnsi="Times New Roman" w:eastAsia="仿宋" w:cs="Times New Roman"/>
          <w:color w:val="auto"/>
          <w:kern w:val="0"/>
          <w:sz w:val="32"/>
          <w:szCs w:val="32"/>
          <w:lang w:val="en-US" w:eastAsia="zh-CN" w:bidi="ar-SA"/>
        </w:rPr>
      </w:pPr>
      <w:r>
        <w:rPr>
          <w:rFonts w:hint="eastAsia" w:ascii="Times New Roman" w:hAnsi="Times New Roman" w:eastAsia="仿宋" w:cs="Times New Roman"/>
          <w:color w:val="auto"/>
          <w:kern w:val="0"/>
          <w:sz w:val="32"/>
          <w:szCs w:val="32"/>
          <w:lang w:val="en-US" w:eastAsia="zh-CN" w:bidi="ar-SA"/>
        </w:rPr>
        <w:t>10、节能环保支出（类）自然生态保护（款）生态保护（项）。年初预算为0万元，支出决算为30万元，决算数大于年初预算数的主要原因是：补增项目</w:t>
      </w:r>
      <w:r>
        <w:rPr>
          <w:rFonts w:ascii="Times New Roman" w:hAnsi="Times New Roman" w:eastAsia="仿宋" w:cs="Times New Roman"/>
          <w:color w:val="auto"/>
          <w:kern w:val="0"/>
          <w:sz w:val="32"/>
          <w:szCs w:val="32"/>
          <w:lang w:val="en-US" w:eastAsia="zh-CN" w:bidi="ar-SA"/>
        </w:rPr>
        <w:t>。</w:t>
      </w:r>
    </w:p>
    <w:p w14:paraId="5AACF4B3">
      <w:pPr>
        <w:keepNext w:val="0"/>
        <w:keepLines w:val="0"/>
        <w:widowControl/>
        <w:numPr>
          <w:ilvl w:val="0"/>
          <w:numId w:val="0"/>
        </w:numPr>
        <w:suppressLineNumbers w:val="0"/>
        <w:ind w:firstLine="640" w:firstLineChars="200"/>
        <w:jc w:val="left"/>
        <w:rPr>
          <w:rFonts w:hint="eastAsia" w:ascii="Times New Roman" w:hAnsi="Times New Roman" w:eastAsia="仿宋" w:cs="Times New Roman"/>
          <w:color w:val="auto"/>
          <w:kern w:val="0"/>
          <w:sz w:val="32"/>
          <w:szCs w:val="32"/>
          <w:lang w:val="en-US" w:eastAsia="zh-CN" w:bidi="ar-SA"/>
        </w:rPr>
      </w:pPr>
      <w:r>
        <w:rPr>
          <w:rFonts w:hint="eastAsia" w:ascii="Times New Roman" w:hAnsi="Times New Roman" w:eastAsia="仿宋" w:cs="Times New Roman"/>
          <w:color w:val="auto"/>
          <w:kern w:val="0"/>
          <w:sz w:val="32"/>
          <w:szCs w:val="32"/>
          <w:lang w:val="en-US" w:eastAsia="zh-CN" w:bidi="ar-SA"/>
        </w:rPr>
        <w:t>11、城乡社区支出（类）城乡社区管理事务（款）行政运行（项）。年初预算为0万元，支出决算为1.92万元，决算数大于年初预算数的主要原因是：补增项目</w:t>
      </w:r>
      <w:r>
        <w:rPr>
          <w:rFonts w:ascii="Times New Roman" w:hAnsi="Times New Roman" w:eastAsia="仿宋" w:cs="Times New Roman"/>
          <w:color w:val="auto"/>
          <w:kern w:val="0"/>
          <w:sz w:val="32"/>
          <w:szCs w:val="32"/>
          <w:lang w:val="en-US" w:eastAsia="zh-CN" w:bidi="ar-SA"/>
        </w:rPr>
        <w:t>。</w:t>
      </w:r>
    </w:p>
    <w:p w14:paraId="6924D005">
      <w:pPr>
        <w:keepNext w:val="0"/>
        <w:keepLines w:val="0"/>
        <w:widowControl/>
        <w:numPr>
          <w:ilvl w:val="0"/>
          <w:numId w:val="0"/>
        </w:numPr>
        <w:suppressLineNumbers w:val="0"/>
        <w:ind w:firstLine="640" w:firstLineChars="200"/>
        <w:jc w:val="left"/>
        <w:rPr>
          <w:rFonts w:hint="eastAsia" w:ascii="Times New Roman" w:hAnsi="Times New Roman" w:eastAsia="仿宋" w:cs="Times New Roman"/>
          <w:color w:val="000000"/>
          <w:kern w:val="0"/>
          <w:sz w:val="32"/>
          <w:szCs w:val="32"/>
          <w:lang w:val="en-US" w:eastAsia="zh-CN" w:bidi="ar-SA"/>
        </w:rPr>
      </w:pPr>
      <w:r>
        <w:rPr>
          <w:rFonts w:hint="eastAsia" w:ascii="Times New Roman" w:hAnsi="Times New Roman" w:eastAsia="仿宋" w:cs="Times New Roman"/>
          <w:color w:val="auto"/>
          <w:kern w:val="0"/>
          <w:sz w:val="32"/>
          <w:szCs w:val="32"/>
          <w:lang w:val="en-US" w:eastAsia="zh-CN" w:bidi="ar-SA"/>
        </w:rPr>
        <w:t>12、城乡社区支出（类）城乡社区管理事务（款）其他城乡社区管理事务支出（项）。年初预算为0万元，支出决算为10万元，决</w:t>
      </w:r>
      <w:r>
        <w:rPr>
          <w:rFonts w:hint="eastAsia" w:ascii="Times New Roman" w:hAnsi="Times New Roman" w:eastAsia="仿宋" w:cs="Times New Roman"/>
          <w:color w:val="000000"/>
          <w:kern w:val="0"/>
          <w:sz w:val="32"/>
          <w:szCs w:val="32"/>
          <w:lang w:val="en-US" w:eastAsia="zh-CN" w:bidi="ar-SA"/>
        </w:rPr>
        <w:t>算数大于年初预算数的主要原因是：补增项目</w:t>
      </w:r>
      <w:r>
        <w:rPr>
          <w:rFonts w:ascii="Times New Roman" w:hAnsi="Times New Roman" w:eastAsia="仿宋" w:cs="Times New Roman"/>
          <w:color w:val="000000"/>
          <w:kern w:val="0"/>
          <w:sz w:val="32"/>
          <w:szCs w:val="32"/>
          <w:lang w:val="en-US" w:eastAsia="zh-CN" w:bidi="ar-SA"/>
        </w:rPr>
        <w:t>。</w:t>
      </w:r>
    </w:p>
    <w:p w14:paraId="1C1A541C">
      <w:pPr>
        <w:keepNext w:val="0"/>
        <w:keepLines w:val="0"/>
        <w:widowControl/>
        <w:numPr>
          <w:ilvl w:val="0"/>
          <w:numId w:val="0"/>
        </w:numPr>
        <w:suppressLineNumbers w:val="0"/>
        <w:ind w:firstLine="640" w:firstLineChars="200"/>
        <w:jc w:val="left"/>
        <w:rPr>
          <w:rFonts w:hint="eastAsia" w:ascii="Times New Roman" w:hAnsi="Times New Roman" w:eastAsia="仿宋" w:cs="Times New Roman"/>
          <w:color w:val="auto"/>
          <w:kern w:val="0"/>
          <w:sz w:val="32"/>
          <w:szCs w:val="32"/>
          <w:lang w:val="en-US" w:eastAsia="zh-CN" w:bidi="ar-SA"/>
        </w:rPr>
      </w:pPr>
      <w:r>
        <w:rPr>
          <w:rFonts w:hint="eastAsia" w:ascii="Times New Roman" w:hAnsi="Times New Roman" w:eastAsia="仿宋" w:cs="Times New Roman"/>
          <w:color w:val="auto"/>
          <w:kern w:val="0"/>
          <w:sz w:val="32"/>
          <w:szCs w:val="32"/>
          <w:lang w:val="en-US" w:eastAsia="zh-CN" w:bidi="ar-SA"/>
        </w:rPr>
        <w:t>13、农林水支出（类）农业农村（款）其他农业农村支出（项）。年初预算为0万元，支出决算为0.84万元，完成年初预算的0%，决算数大于年初预算数的主要原因是：补增项目</w:t>
      </w:r>
      <w:r>
        <w:rPr>
          <w:rFonts w:ascii="Times New Roman" w:hAnsi="Times New Roman" w:eastAsia="仿宋" w:cs="Times New Roman"/>
          <w:color w:val="auto"/>
          <w:kern w:val="0"/>
          <w:sz w:val="32"/>
          <w:szCs w:val="32"/>
          <w:lang w:val="en-US" w:eastAsia="zh-CN" w:bidi="ar-SA"/>
        </w:rPr>
        <w:t>。</w:t>
      </w:r>
    </w:p>
    <w:p w14:paraId="51D38B79">
      <w:pPr>
        <w:keepNext w:val="0"/>
        <w:keepLines w:val="0"/>
        <w:widowControl/>
        <w:numPr>
          <w:ilvl w:val="0"/>
          <w:numId w:val="0"/>
        </w:numPr>
        <w:suppressLineNumbers w:val="0"/>
        <w:ind w:firstLine="640" w:firstLineChars="200"/>
        <w:jc w:val="left"/>
        <w:rPr>
          <w:rFonts w:hint="eastAsia" w:ascii="Times New Roman" w:hAnsi="Times New Roman" w:eastAsia="仿宋" w:cs="Times New Roman"/>
          <w:color w:val="auto"/>
          <w:kern w:val="0"/>
          <w:sz w:val="32"/>
          <w:szCs w:val="32"/>
          <w:lang w:val="en-US" w:eastAsia="zh-CN" w:bidi="ar-SA"/>
        </w:rPr>
      </w:pPr>
      <w:r>
        <w:rPr>
          <w:rFonts w:hint="eastAsia" w:ascii="Times New Roman" w:hAnsi="Times New Roman" w:eastAsia="仿宋" w:cs="Times New Roman"/>
          <w:color w:val="auto"/>
          <w:kern w:val="0"/>
          <w:sz w:val="32"/>
          <w:szCs w:val="32"/>
          <w:lang w:val="en-US" w:eastAsia="zh-CN" w:bidi="ar-SA"/>
        </w:rPr>
        <w:t>14、农林水支出（类）农业和草原（款）森林生态效益补偿（项）。年初预算为0万元，支出决算为28.59万元，决算数大于年初预算数的主要原因是：补增项目</w:t>
      </w:r>
      <w:r>
        <w:rPr>
          <w:rFonts w:ascii="Times New Roman" w:hAnsi="Times New Roman" w:eastAsia="仿宋" w:cs="Times New Roman"/>
          <w:color w:val="auto"/>
          <w:kern w:val="0"/>
          <w:sz w:val="32"/>
          <w:szCs w:val="32"/>
          <w:lang w:val="en-US" w:eastAsia="zh-CN" w:bidi="ar-SA"/>
        </w:rPr>
        <w:t>。</w:t>
      </w:r>
    </w:p>
    <w:p w14:paraId="43C7D128">
      <w:pPr>
        <w:keepNext w:val="0"/>
        <w:keepLines w:val="0"/>
        <w:widowControl/>
        <w:numPr>
          <w:ilvl w:val="0"/>
          <w:numId w:val="0"/>
        </w:numPr>
        <w:suppressLineNumbers w:val="0"/>
        <w:ind w:firstLine="640" w:firstLineChars="200"/>
        <w:jc w:val="left"/>
        <w:rPr>
          <w:rFonts w:hint="eastAsia" w:ascii="Times New Roman" w:hAnsi="Times New Roman" w:eastAsia="仿宋" w:cs="Times New Roman"/>
          <w:color w:val="000000"/>
          <w:kern w:val="0"/>
          <w:sz w:val="32"/>
          <w:szCs w:val="32"/>
          <w:lang w:val="en-US" w:eastAsia="zh-CN" w:bidi="ar-SA"/>
        </w:rPr>
      </w:pPr>
      <w:r>
        <w:rPr>
          <w:rFonts w:hint="eastAsia" w:ascii="Times New Roman" w:hAnsi="Times New Roman" w:eastAsia="仿宋" w:cs="Times New Roman"/>
          <w:color w:val="auto"/>
          <w:kern w:val="0"/>
          <w:sz w:val="32"/>
          <w:szCs w:val="32"/>
          <w:lang w:val="en-US" w:eastAsia="zh-CN" w:bidi="ar-SA"/>
        </w:rPr>
        <w:t>15、灾害防治及应急管理支出（类）应急管理</w:t>
      </w:r>
      <w:r>
        <w:rPr>
          <w:rFonts w:hint="eastAsia" w:ascii="Times New Roman" w:hAnsi="Times New Roman" w:eastAsia="仿宋" w:cs="Times New Roman"/>
          <w:color w:val="000000"/>
          <w:kern w:val="0"/>
          <w:sz w:val="32"/>
          <w:szCs w:val="32"/>
          <w:lang w:val="en-US" w:eastAsia="zh-CN" w:bidi="ar-SA"/>
        </w:rPr>
        <w:t>事务（款）其他应急管理支出（项）。年初预算为0万元，支出决算为</w:t>
      </w:r>
      <w:r>
        <w:rPr>
          <w:rFonts w:hint="eastAsia" w:ascii="Times New Roman" w:hAnsi="Times New Roman" w:eastAsia="仿宋" w:cs="Times New Roman"/>
          <w:color w:val="auto"/>
          <w:kern w:val="0"/>
          <w:sz w:val="32"/>
          <w:szCs w:val="32"/>
          <w:lang w:val="en-US" w:eastAsia="zh-CN" w:bidi="ar-SA"/>
        </w:rPr>
        <w:t>5</w:t>
      </w:r>
      <w:r>
        <w:rPr>
          <w:rFonts w:hint="eastAsia" w:ascii="Times New Roman" w:hAnsi="Times New Roman" w:eastAsia="仿宋" w:cs="Times New Roman"/>
          <w:color w:val="000000"/>
          <w:kern w:val="0"/>
          <w:sz w:val="32"/>
          <w:szCs w:val="32"/>
          <w:lang w:val="en-US" w:eastAsia="zh-CN" w:bidi="ar-SA"/>
        </w:rPr>
        <w:t>万元，决算数大于年初预算数的主要原因是：专项经费增加</w:t>
      </w:r>
      <w:r>
        <w:rPr>
          <w:rFonts w:ascii="Times New Roman" w:hAnsi="Times New Roman" w:eastAsia="仿宋" w:cs="Times New Roman"/>
          <w:color w:val="000000"/>
          <w:kern w:val="0"/>
          <w:sz w:val="32"/>
          <w:szCs w:val="32"/>
          <w:lang w:val="en-US" w:eastAsia="zh-CN" w:bidi="ar-SA"/>
        </w:rPr>
        <w:t>。</w:t>
      </w:r>
    </w:p>
    <w:p w14:paraId="7A177DDA">
      <w:pPr>
        <w:pStyle w:val="7"/>
        <w:autoSpaceDE w:val="0"/>
        <w:autoSpaceDN w:val="0"/>
        <w:adjustRightInd w:val="0"/>
        <w:spacing w:line="570" w:lineRule="exact"/>
        <w:ind w:firstLine="640" w:firstLineChars="200"/>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六、一般公共预算财政拨款基本支出决算情况说明</w:t>
      </w:r>
    </w:p>
    <w:p w14:paraId="3A0D195C">
      <w:pPr>
        <w:pStyle w:val="7"/>
        <w:autoSpaceDE w:val="0"/>
        <w:autoSpaceDN w:val="0"/>
        <w:adjustRightInd w:val="0"/>
        <w:spacing w:line="570" w:lineRule="exact"/>
        <w:ind w:firstLine="640" w:firstLineChars="200"/>
        <w:rPr>
          <w:rFonts w:ascii="Times New Roman" w:hAnsi="Times New Roman" w:eastAsia="黑体" w:cs="Times New Roman"/>
          <w:color w:val="000000" w:themeColor="text1"/>
          <w:kern w:val="0"/>
          <w:sz w:val="32"/>
          <w:szCs w:val="32"/>
        </w:rPr>
      </w:pPr>
      <w:r>
        <w:rPr>
          <w:rFonts w:hint="eastAsia" w:ascii="Times New Roman" w:hAnsi="Times New Roman" w:eastAsia="仿宋" w:cs="Times New Roman"/>
          <w:color w:val="000000"/>
          <w:kern w:val="0"/>
          <w:sz w:val="32"/>
          <w:szCs w:val="32"/>
          <w:lang w:val="en-US" w:eastAsia="zh-CN" w:bidi="ar-SA"/>
        </w:rPr>
        <w:t>2023年度财政拨款基本支出643.57万元，其中：人员经费542.7万元，占基本支出的84.33% ，主要包括：基本工资、津贴补贴、奖金、机关事业单位基本养老保险缴费、职工基本医疗保险缴费、其他社会保障缴费、住房公积金、医疗费、其他工资福利支出、退休费、医疗费补助、奖励金。公用经费100.87万元，占基本支出的15.67% ，主要包括：办公费、印刷费、咨询费、水费、电费、邮电费、物业管理费、培训费、工会经费、福利费、其他交通费用。</w:t>
      </w:r>
    </w:p>
    <w:p w14:paraId="2A04DA13">
      <w:pPr>
        <w:pStyle w:val="7"/>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七、一般公共预算财政拨款“三公”经费支出决算情况说明</w:t>
      </w:r>
    </w:p>
    <w:p w14:paraId="724F9A95">
      <w:pPr>
        <w:pStyle w:val="7"/>
        <w:autoSpaceDE w:val="0"/>
        <w:autoSpaceDN w:val="0"/>
        <w:adjustRightInd w:val="0"/>
        <w:spacing w:line="570" w:lineRule="exact"/>
        <w:ind w:firstLine="640" w:firstLineChars="200"/>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（一）“三公”经费财政拨款支出决算总体情况说明</w:t>
      </w:r>
    </w:p>
    <w:p w14:paraId="4DC6C822">
      <w:pPr>
        <w:pStyle w:val="16"/>
        <w:ind w:firstLine="800" w:firstLineChars="250"/>
        <w:rPr>
          <w:rFonts w:hint="eastAsia" w:ascii="Times New Roman" w:hAnsi="Times New Roman" w:eastAsia="仿宋" w:cs="Times New Roman"/>
          <w:color w:val="000000"/>
          <w:kern w:val="0"/>
          <w:sz w:val="32"/>
          <w:szCs w:val="32"/>
          <w:lang w:val="en-US" w:eastAsia="zh-CN" w:bidi="ar-SA"/>
        </w:rPr>
      </w:pPr>
      <w:r>
        <w:rPr>
          <w:rFonts w:hint="eastAsia" w:ascii="Times New Roman" w:hAnsi="Times New Roman" w:eastAsia="仿宋" w:cs="Times New Roman"/>
          <w:color w:val="000000"/>
          <w:kern w:val="0"/>
          <w:sz w:val="32"/>
          <w:szCs w:val="32"/>
          <w:lang w:val="en-US" w:eastAsia="zh-CN" w:bidi="ar-SA"/>
        </w:rPr>
        <w:t>2023年度“三公”经费财政拨款支出预算为0.5万元，支出决算为0万元，完成预算的0%,其中：</w:t>
      </w:r>
    </w:p>
    <w:p w14:paraId="37392423">
      <w:pPr>
        <w:pStyle w:val="16"/>
        <w:ind w:firstLine="800" w:firstLineChars="250"/>
        <w:rPr>
          <w:rFonts w:hint="eastAsia" w:ascii="Times New Roman" w:hAnsi="Times New Roman" w:eastAsia="仿宋" w:cs="Times New Roman"/>
          <w:color w:val="000000"/>
          <w:kern w:val="0"/>
          <w:sz w:val="32"/>
          <w:szCs w:val="32"/>
          <w:lang w:val="en-US" w:eastAsia="zh-CN" w:bidi="ar-SA"/>
        </w:rPr>
      </w:pPr>
      <w:r>
        <w:rPr>
          <w:rFonts w:hint="eastAsia" w:ascii="Times New Roman" w:hAnsi="Times New Roman" w:eastAsia="仿宋" w:cs="Times New Roman"/>
          <w:color w:val="000000"/>
          <w:kern w:val="0"/>
          <w:sz w:val="32"/>
          <w:szCs w:val="32"/>
          <w:lang w:val="en-US" w:eastAsia="zh-CN" w:bidi="ar-SA"/>
        </w:rPr>
        <w:t>因公出国（境）费支出预算为0万元，支出决算为0万元，决算数等于预算数。</w:t>
      </w:r>
    </w:p>
    <w:p w14:paraId="2156107D">
      <w:pPr>
        <w:pStyle w:val="16"/>
        <w:ind w:firstLine="800" w:firstLineChars="250"/>
        <w:rPr>
          <w:rFonts w:hint="eastAsia" w:ascii="Times New Roman" w:hAnsi="Times New Roman" w:eastAsia="仿宋" w:cs="Times New Roman"/>
          <w:color w:val="000000"/>
          <w:kern w:val="0"/>
          <w:sz w:val="32"/>
          <w:szCs w:val="32"/>
          <w:lang w:val="en-US" w:eastAsia="zh-CN" w:bidi="ar-SA"/>
        </w:rPr>
      </w:pPr>
      <w:r>
        <w:rPr>
          <w:rFonts w:hint="eastAsia" w:ascii="Times New Roman" w:hAnsi="Times New Roman" w:eastAsia="仿宋" w:cs="Times New Roman"/>
          <w:color w:val="000000"/>
          <w:kern w:val="0"/>
          <w:sz w:val="32"/>
          <w:szCs w:val="32"/>
          <w:lang w:val="en-US" w:eastAsia="zh-CN" w:bidi="ar-SA"/>
        </w:rPr>
        <w:t>公务接待费支出预算为0.5万元，支出决算为0万元，完成预算的0%，决算数小于预算数的主要原因是厉行节俭。</w:t>
      </w:r>
    </w:p>
    <w:p w14:paraId="23924CA4">
      <w:pPr>
        <w:pStyle w:val="16"/>
        <w:ind w:firstLine="800" w:firstLineChars="250"/>
        <w:rPr>
          <w:rFonts w:hint="eastAsia" w:ascii="Times New Roman" w:hAnsi="Times New Roman" w:eastAsia="仿宋" w:cs="Times New Roman"/>
          <w:color w:val="000000"/>
          <w:kern w:val="0"/>
          <w:sz w:val="32"/>
          <w:szCs w:val="32"/>
          <w:lang w:val="en-US" w:eastAsia="zh-CN" w:bidi="ar-SA"/>
        </w:rPr>
      </w:pPr>
      <w:r>
        <w:rPr>
          <w:rFonts w:hint="eastAsia" w:ascii="Times New Roman" w:hAnsi="Times New Roman" w:eastAsia="仿宋" w:cs="Times New Roman"/>
          <w:color w:val="000000"/>
          <w:kern w:val="0"/>
          <w:sz w:val="32"/>
          <w:szCs w:val="32"/>
          <w:lang w:val="en-US" w:eastAsia="zh-CN" w:bidi="ar-SA"/>
        </w:rPr>
        <w:t>公务用车购置费支出预算为0万元，支出决算为0万元，决算数等于预算数。</w:t>
      </w:r>
    </w:p>
    <w:p w14:paraId="4F4833B9">
      <w:pPr>
        <w:pStyle w:val="16"/>
        <w:ind w:firstLine="640" w:firstLineChars="200"/>
        <w:rPr>
          <w:rFonts w:hint="eastAsia" w:ascii="Times New Roman" w:hAnsi="Times New Roman" w:eastAsia="仿宋" w:cs="Times New Roman"/>
          <w:color w:val="000000"/>
          <w:kern w:val="0"/>
          <w:sz w:val="32"/>
          <w:szCs w:val="32"/>
          <w:lang w:val="en-US" w:eastAsia="zh-CN" w:bidi="ar-SA"/>
        </w:rPr>
      </w:pPr>
      <w:r>
        <w:rPr>
          <w:rFonts w:hint="eastAsia" w:ascii="Times New Roman" w:hAnsi="Times New Roman" w:eastAsia="仿宋" w:cs="Times New Roman"/>
          <w:color w:val="000000"/>
          <w:kern w:val="0"/>
          <w:sz w:val="32"/>
          <w:szCs w:val="32"/>
          <w:lang w:val="en-US" w:eastAsia="zh-CN" w:bidi="ar-SA"/>
        </w:rPr>
        <w:t>公务用车运行维护费支出预算为0万元，支出决算为0万元，决算数等于预算数。</w:t>
      </w:r>
    </w:p>
    <w:p w14:paraId="0B5BBFC2">
      <w:pPr>
        <w:pStyle w:val="16"/>
        <w:ind w:firstLine="640" w:firstLineChars="200"/>
        <w:rPr>
          <w:rFonts w:hint="eastAsia" w:ascii="Times New Roman" w:hAnsi="Times New Roman" w:eastAsia="仿宋" w:cs="Times New Roman"/>
          <w:color w:val="000000"/>
          <w:kern w:val="0"/>
          <w:sz w:val="32"/>
          <w:szCs w:val="32"/>
          <w:lang w:val="en-US" w:eastAsia="zh-CN" w:bidi="ar-SA"/>
        </w:rPr>
      </w:pPr>
      <w:r>
        <w:rPr>
          <w:rFonts w:hint="eastAsia" w:ascii="Times New Roman" w:hAnsi="Times New Roman" w:eastAsia="仿宋" w:cs="Times New Roman"/>
          <w:color w:val="000000"/>
          <w:kern w:val="0"/>
          <w:sz w:val="32"/>
          <w:szCs w:val="32"/>
          <w:lang w:val="en-US" w:eastAsia="zh-CN" w:bidi="ar-SA"/>
        </w:rPr>
        <w:t>（二）“三公”经费财政拨款支出决算具体情况说明</w:t>
      </w:r>
    </w:p>
    <w:p w14:paraId="697357DA">
      <w:pPr>
        <w:pStyle w:val="16"/>
        <w:ind w:firstLine="640" w:firstLineChars="200"/>
        <w:rPr>
          <w:rFonts w:hint="eastAsia" w:ascii="Times New Roman" w:hAnsi="Times New Roman" w:eastAsia="仿宋" w:cs="Times New Roman"/>
          <w:color w:val="000000"/>
          <w:kern w:val="0"/>
          <w:sz w:val="32"/>
          <w:szCs w:val="32"/>
          <w:lang w:val="en-US" w:eastAsia="zh-CN" w:bidi="ar-SA"/>
        </w:rPr>
      </w:pPr>
      <w:r>
        <w:rPr>
          <w:rFonts w:hint="eastAsia" w:ascii="Times New Roman" w:hAnsi="Times New Roman" w:eastAsia="仿宋" w:cs="Times New Roman"/>
          <w:color w:val="000000"/>
          <w:kern w:val="0"/>
          <w:sz w:val="32"/>
          <w:szCs w:val="32"/>
          <w:lang w:val="en-US" w:eastAsia="zh-CN" w:bidi="ar-SA"/>
        </w:rPr>
        <w:t>2023年度“三公”经费财政拨款支出决算中，公务接待费支出决算0万元，占0% ，因公出国（境）费支出决算0万元，占0% ，公务用车购置费及运行维护费支出决算0万元，占0%。其中：</w:t>
      </w:r>
    </w:p>
    <w:p w14:paraId="36BB44AA">
      <w:pPr>
        <w:pStyle w:val="16"/>
        <w:ind w:firstLine="800" w:firstLineChars="250"/>
        <w:rPr>
          <w:rFonts w:hint="eastAsia" w:ascii="Times New Roman" w:hAnsi="Times New Roman" w:eastAsia="仿宋" w:cs="Times New Roman"/>
          <w:color w:val="000000"/>
          <w:kern w:val="0"/>
          <w:sz w:val="32"/>
          <w:szCs w:val="32"/>
          <w:lang w:val="en-US" w:eastAsia="zh-CN" w:bidi="ar-SA"/>
        </w:rPr>
      </w:pPr>
      <w:r>
        <w:rPr>
          <w:rFonts w:hint="eastAsia" w:ascii="Times New Roman" w:hAnsi="Times New Roman" w:eastAsia="仿宋" w:cs="Times New Roman"/>
          <w:color w:val="000000"/>
          <w:kern w:val="0"/>
          <w:sz w:val="32"/>
          <w:szCs w:val="32"/>
          <w:lang w:val="en-US" w:eastAsia="zh-CN" w:bidi="ar-SA"/>
        </w:rPr>
        <w:t xml:space="preserve">1、因公出国（境）费支出决算为0万元，全年安排因公出国（境）团组0个，累计0人次。    </w:t>
      </w:r>
    </w:p>
    <w:p w14:paraId="7FDC9D81">
      <w:pPr>
        <w:pStyle w:val="16"/>
        <w:ind w:firstLine="800" w:firstLineChars="250"/>
        <w:rPr>
          <w:rFonts w:hint="eastAsia" w:ascii="Times New Roman" w:hAnsi="Times New Roman" w:eastAsia="仿宋" w:cs="Times New Roman"/>
          <w:color w:val="000000"/>
          <w:kern w:val="0"/>
          <w:sz w:val="32"/>
          <w:szCs w:val="32"/>
          <w:lang w:val="en-US" w:eastAsia="zh-CN" w:bidi="ar-SA"/>
        </w:rPr>
      </w:pPr>
      <w:r>
        <w:rPr>
          <w:rFonts w:hint="eastAsia" w:ascii="Times New Roman" w:hAnsi="Times New Roman" w:eastAsia="仿宋" w:cs="Times New Roman"/>
          <w:color w:val="000000"/>
          <w:kern w:val="0"/>
          <w:sz w:val="32"/>
          <w:szCs w:val="32"/>
          <w:lang w:val="en-US" w:eastAsia="zh-CN" w:bidi="ar-SA"/>
        </w:rPr>
        <w:t>2、公务接待费支出决算为0万元，全年共接待来访团组0个、来宾0人次。</w:t>
      </w:r>
    </w:p>
    <w:p w14:paraId="6BA488A5">
      <w:pPr>
        <w:ind w:firstLine="800" w:firstLineChars="250"/>
        <w:rPr>
          <w:rFonts w:hint="eastAsia" w:ascii="Times New Roman" w:hAnsi="Times New Roman" w:eastAsia="仿宋" w:cs="Times New Roman"/>
          <w:color w:val="000000"/>
          <w:kern w:val="0"/>
          <w:sz w:val="32"/>
          <w:szCs w:val="32"/>
          <w:lang w:val="en-US" w:eastAsia="zh-CN" w:bidi="ar-SA"/>
        </w:rPr>
      </w:pPr>
      <w:r>
        <w:rPr>
          <w:rFonts w:hint="eastAsia" w:ascii="Times New Roman" w:hAnsi="Times New Roman" w:eastAsia="仿宋" w:cs="Times New Roman"/>
          <w:color w:val="000000"/>
          <w:kern w:val="0"/>
          <w:sz w:val="32"/>
          <w:szCs w:val="32"/>
          <w:lang w:val="en-US" w:eastAsia="zh-CN" w:bidi="ar-SA"/>
        </w:rPr>
        <w:t>3、公务用车购置费及运行维护费支出决算为0万元，其中：公务用车购置费0万元，购置公务用车0辆。公务用车运行维护费0万元，截止2023年12月31日，我单位开支财政拨款的公务用车保有量为0辆。</w:t>
      </w:r>
    </w:p>
    <w:p w14:paraId="2B3606EF">
      <w:pPr>
        <w:pStyle w:val="7"/>
        <w:autoSpaceDE w:val="0"/>
        <w:autoSpaceDN w:val="0"/>
        <w:adjustRightInd w:val="0"/>
        <w:spacing w:line="570" w:lineRule="exact"/>
        <w:ind w:firstLine="640" w:firstLineChars="200"/>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八、政府性基金预算收入支出决算情况</w:t>
      </w:r>
    </w:p>
    <w:p w14:paraId="00187C26">
      <w:pPr>
        <w:pStyle w:val="7"/>
        <w:autoSpaceDE w:val="0"/>
        <w:autoSpaceDN w:val="0"/>
        <w:adjustRightInd w:val="0"/>
        <w:spacing w:line="570" w:lineRule="exact"/>
        <w:ind w:firstLine="640" w:firstLineChars="200"/>
        <w:rPr>
          <w:rFonts w:ascii="Times New Roman" w:hAnsi="Times New Roman" w:eastAsia="黑体" w:cs="Times New Roman"/>
          <w:color w:val="000000"/>
          <w:kern w:val="0"/>
          <w:sz w:val="32"/>
          <w:szCs w:val="32"/>
        </w:rPr>
      </w:pPr>
      <w:r>
        <w:rPr>
          <w:rFonts w:hint="eastAsia" w:ascii="Times New Roman" w:hAnsi="Times New Roman" w:eastAsia="仿宋_GB2312" w:cs="仿宋_GB2312"/>
          <w:color w:val="000000"/>
          <w:kern w:val="0"/>
          <w:sz w:val="32"/>
          <w:szCs w:val="32"/>
        </w:rPr>
        <w:t>202</w:t>
      </w:r>
      <w:r>
        <w:rPr>
          <w:rFonts w:hint="eastAsia" w:ascii="Times New Roman" w:hAnsi="Times New Roman" w:eastAsia="仿宋_GB2312" w:cs="仿宋_GB2312"/>
          <w:color w:val="000000"/>
          <w:kern w:val="0"/>
          <w:sz w:val="32"/>
          <w:szCs w:val="32"/>
          <w:lang w:val="en-US" w:eastAsia="zh-CN"/>
        </w:rPr>
        <w:t>3</w:t>
      </w:r>
      <w:r>
        <w:rPr>
          <w:rFonts w:hint="eastAsia" w:ascii="Times New Roman" w:hAnsi="Times New Roman" w:eastAsia="仿宋_GB2312" w:cs="仿宋_GB2312"/>
          <w:color w:val="000000"/>
          <w:kern w:val="0"/>
          <w:sz w:val="32"/>
          <w:szCs w:val="32"/>
        </w:rPr>
        <w:t>年度本单位无政府性基金收支。</w:t>
      </w:r>
    </w:p>
    <w:p w14:paraId="70D0C5A6">
      <w:pPr>
        <w:pStyle w:val="7"/>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九、国有资本经营预算支出决算情况</w:t>
      </w:r>
    </w:p>
    <w:p w14:paraId="0A88AE9D">
      <w:pPr>
        <w:pStyle w:val="7"/>
        <w:autoSpaceDE w:val="0"/>
        <w:autoSpaceDN w:val="0"/>
        <w:adjustRightInd w:val="0"/>
        <w:spacing w:line="570" w:lineRule="exact"/>
        <w:ind w:firstLine="640" w:firstLineChars="200"/>
        <w:rPr>
          <w:rFonts w:hint="eastAsia" w:ascii="Times New Roman" w:hAnsi="Times New Roman" w:eastAsia="仿宋" w:cs="Times New Roman"/>
          <w:color w:val="000000"/>
          <w:kern w:val="0"/>
          <w:sz w:val="32"/>
          <w:szCs w:val="32"/>
          <w:lang w:val="en-US" w:eastAsia="zh-CN" w:bidi="ar-SA"/>
        </w:rPr>
      </w:pPr>
      <w:r>
        <w:rPr>
          <w:rFonts w:hint="eastAsia" w:ascii="Times New Roman" w:hAnsi="Times New Roman" w:eastAsia="仿宋" w:cs="Times New Roman"/>
          <w:color w:val="000000"/>
          <w:kern w:val="0"/>
          <w:sz w:val="32"/>
          <w:szCs w:val="32"/>
          <w:lang w:val="en-US" w:eastAsia="zh-CN" w:bidi="ar-SA"/>
        </w:rPr>
        <w:t>2023年度本单位没有使用国有资本经营预算安排的支出。</w:t>
      </w:r>
    </w:p>
    <w:p w14:paraId="0B9703C8">
      <w:pPr>
        <w:pStyle w:val="7"/>
        <w:numPr>
          <w:ilvl w:val="0"/>
          <w:numId w:val="6"/>
        </w:numPr>
        <w:autoSpaceDE w:val="0"/>
        <w:autoSpaceDN w:val="0"/>
        <w:adjustRightInd w:val="0"/>
        <w:spacing w:line="570" w:lineRule="exact"/>
        <w:ind w:firstLine="640" w:firstLineChars="200"/>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机关运行经费支出说明</w:t>
      </w:r>
    </w:p>
    <w:p w14:paraId="7E0E46AF">
      <w:pPr>
        <w:pStyle w:val="7"/>
        <w:autoSpaceDE w:val="0"/>
        <w:autoSpaceDN w:val="0"/>
        <w:adjustRightInd w:val="0"/>
        <w:spacing w:line="570" w:lineRule="exact"/>
        <w:ind w:firstLine="640" w:firstLineChars="200"/>
        <w:rPr>
          <w:rFonts w:ascii="Times New Roman" w:hAnsi="Times New Roman" w:eastAsia="黑体" w:cs="Times New Roman"/>
          <w:color w:val="000000"/>
          <w:kern w:val="0"/>
          <w:sz w:val="32"/>
          <w:szCs w:val="32"/>
        </w:rPr>
      </w:pPr>
      <w:r>
        <w:rPr>
          <w:rFonts w:hint="eastAsia" w:ascii="Times New Roman" w:hAnsi="Times New Roman" w:eastAsia="仿宋_GB2312" w:cs="仿宋_GB2312"/>
          <w:color w:val="000000"/>
          <w:kern w:val="0"/>
          <w:sz w:val="32"/>
          <w:szCs w:val="32"/>
        </w:rPr>
        <w:t>本</w:t>
      </w:r>
      <w:r>
        <w:rPr>
          <w:rFonts w:hint="eastAsia" w:ascii="Times New Roman" w:hAnsi="Times New Roman" w:eastAsia="仿宋_GB2312" w:cs="仿宋_GB2312"/>
          <w:color w:val="000000"/>
          <w:kern w:val="0"/>
          <w:sz w:val="32"/>
          <w:szCs w:val="32"/>
          <w:lang w:eastAsia="zh-CN"/>
        </w:rPr>
        <w:t>单位</w:t>
      </w:r>
      <w:r>
        <w:rPr>
          <w:rFonts w:hint="eastAsia" w:ascii="Times New Roman" w:hAnsi="Times New Roman" w:eastAsia="仿宋_GB2312" w:cs="仿宋_GB2312"/>
          <w:color w:val="000000"/>
          <w:kern w:val="0"/>
          <w:sz w:val="32"/>
          <w:szCs w:val="32"/>
        </w:rPr>
        <w:t>202</w:t>
      </w:r>
      <w:r>
        <w:rPr>
          <w:rFonts w:hint="eastAsia" w:ascii="Times New Roman" w:hAnsi="Times New Roman" w:eastAsia="仿宋_GB2312" w:cs="仿宋_GB2312"/>
          <w:color w:val="000000"/>
          <w:kern w:val="0"/>
          <w:sz w:val="32"/>
          <w:szCs w:val="32"/>
          <w:lang w:val="en-US" w:eastAsia="zh-CN"/>
        </w:rPr>
        <w:t>3</w:t>
      </w:r>
      <w:r>
        <w:rPr>
          <w:rFonts w:hint="eastAsia" w:ascii="Times New Roman" w:hAnsi="Times New Roman" w:eastAsia="仿宋_GB2312" w:cs="仿宋_GB2312"/>
          <w:color w:val="000000"/>
          <w:kern w:val="0"/>
          <w:sz w:val="32"/>
          <w:szCs w:val="32"/>
        </w:rPr>
        <w:t>年度机关运行经费支出</w:t>
      </w:r>
      <w:r>
        <w:rPr>
          <w:rFonts w:hint="eastAsia" w:ascii="Times New Roman" w:hAnsi="Times New Roman" w:eastAsia="仿宋_GB2312" w:cs="仿宋_GB2312"/>
          <w:color w:val="000000"/>
          <w:kern w:val="0"/>
          <w:sz w:val="32"/>
          <w:szCs w:val="32"/>
          <w:lang w:val="en-US" w:eastAsia="zh-CN"/>
        </w:rPr>
        <w:t>100.87</w:t>
      </w:r>
      <w:r>
        <w:rPr>
          <w:rFonts w:hint="eastAsia" w:ascii="Times New Roman" w:hAnsi="Times New Roman" w:eastAsia="仿宋_GB2312" w:cs="仿宋_GB2312"/>
          <w:color w:val="000000"/>
          <w:kern w:val="0"/>
          <w:sz w:val="32"/>
          <w:szCs w:val="32"/>
        </w:rPr>
        <w:t>万元，比年初预算数</w:t>
      </w:r>
      <w:r>
        <w:rPr>
          <w:rFonts w:hint="eastAsia" w:ascii="Times New Roman" w:hAnsi="Times New Roman" w:eastAsia="仿宋_GB2312" w:cs="仿宋_GB2312"/>
          <w:color w:val="000000"/>
          <w:kern w:val="0"/>
          <w:sz w:val="32"/>
          <w:szCs w:val="32"/>
          <w:lang w:eastAsia="zh-CN"/>
        </w:rPr>
        <w:t>增加</w:t>
      </w:r>
      <w:r>
        <w:rPr>
          <w:rFonts w:hint="eastAsia" w:ascii="Times New Roman" w:hAnsi="Times New Roman" w:eastAsia="仿宋_GB2312" w:cs="仿宋_GB2312"/>
          <w:color w:val="000000"/>
          <w:kern w:val="0"/>
          <w:sz w:val="32"/>
          <w:szCs w:val="32"/>
          <w:lang w:val="en-US" w:eastAsia="zh-CN"/>
        </w:rPr>
        <w:t>9.82</w:t>
      </w:r>
      <w:r>
        <w:rPr>
          <w:rFonts w:hint="eastAsia" w:ascii="Times New Roman" w:hAnsi="Times New Roman" w:eastAsia="仿宋_GB2312" w:cs="仿宋_GB2312"/>
          <w:color w:val="000000"/>
          <w:kern w:val="0"/>
          <w:sz w:val="32"/>
          <w:szCs w:val="32"/>
        </w:rPr>
        <w:t>万元，</w:t>
      </w:r>
      <w:r>
        <w:rPr>
          <w:rFonts w:hint="eastAsia" w:ascii="Times New Roman" w:hAnsi="Times New Roman" w:eastAsia="仿宋_GB2312" w:cs="仿宋_GB2312"/>
          <w:color w:val="000000"/>
          <w:kern w:val="0"/>
          <w:sz w:val="32"/>
          <w:szCs w:val="32"/>
          <w:lang w:eastAsia="zh-CN"/>
        </w:rPr>
        <w:t>增加</w:t>
      </w:r>
      <w:r>
        <w:rPr>
          <w:rFonts w:hint="eastAsia" w:ascii="Times New Roman" w:hAnsi="Times New Roman" w:eastAsia="仿宋_GB2312" w:cs="仿宋_GB2312"/>
          <w:color w:val="000000"/>
          <w:kern w:val="0"/>
          <w:sz w:val="32"/>
          <w:szCs w:val="32"/>
          <w:lang w:val="en-US" w:eastAsia="zh-CN"/>
        </w:rPr>
        <w:t>10.79</w:t>
      </w:r>
      <w:r>
        <w:rPr>
          <w:rFonts w:hint="eastAsia" w:ascii="Times New Roman" w:hAnsi="Times New Roman" w:eastAsia="仿宋_GB2312" w:cs="仿宋_GB2312"/>
          <w:color w:val="000000"/>
          <w:kern w:val="0"/>
          <w:sz w:val="32"/>
          <w:szCs w:val="32"/>
        </w:rPr>
        <w:t>%。主要原因是</w:t>
      </w:r>
      <w:r>
        <w:rPr>
          <w:rFonts w:hint="eastAsia" w:ascii="Times New Roman" w:hAnsi="Times New Roman" w:eastAsia="仿宋_GB2312" w:cs="仿宋_GB2312"/>
          <w:color w:val="000000"/>
          <w:kern w:val="0"/>
          <w:sz w:val="32"/>
          <w:szCs w:val="32"/>
          <w:lang w:eastAsia="zh-CN"/>
        </w:rPr>
        <w:t>人员成本增加</w:t>
      </w:r>
      <w:r>
        <w:rPr>
          <w:rFonts w:hint="eastAsia" w:ascii="Times New Roman" w:hAnsi="Times New Roman" w:eastAsia="仿宋_GB2312" w:cs="仿宋_GB2312"/>
          <w:color w:val="000000"/>
          <w:kern w:val="0"/>
          <w:sz w:val="32"/>
          <w:szCs w:val="32"/>
        </w:rPr>
        <w:t>。</w:t>
      </w:r>
    </w:p>
    <w:p w14:paraId="29B908E2">
      <w:pPr>
        <w:pStyle w:val="7"/>
        <w:numPr>
          <w:ilvl w:val="0"/>
          <w:numId w:val="6"/>
        </w:numPr>
        <w:autoSpaceDE w:val="0"/>
        <w:autoSpaceDN w:val="0"/>
        <w:adjustRightInd w:val="0"/>
        <w:spacing w:line="570" w:lineRule="exact"/>
        <w:ind w:left="0" w:leftChars="0" w:firstLine="640" w:firstLineChars="200"/>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一般性支出情况说明</w:t>
      </w:r>
    </w:p>
    <w:p w14:paraId="7A107D04">
      <w:pPr>
        <w:pStyle w:val="7"/>
        <w:autoSpaceDE w:val="0"/>
        <w:autoSpaceDN w:val="0"/>
        <w:adjustRightInd w:val="0"/>
        <w:spacing w:line="570" w:lineRule="exact"/>
        <w:ind w:firstLine="640" w:firstLineChars="200"/>
        <w:rPr>
          <w:rFonts w:hint="default" w:ascii="Times New Roman" w:hAnsi="Times New Roman" w:eastAsia="仿宋" w:cs="Times New Roman"/>
          <w:color w:val="000000"/>
          <w:kern w:val="0"/>
          <w:sz w:val="32"/>
          <w:szCs w:val="32"/>
          <w:lang w:val="en-US" w:eastAsia="zh-CN" w:bidi="ar-SA"/>
        </w:rPr>
      </w:pPr>
      <w:r>
        <w:rPr>
          <w:rFonts w:hint="eastAsia" w:ascii="Times New Roman" w:hAnsi="Times New Roman" w:eastAsia="黑体" w:cs="Times New Roman"/>
          <w:color w:val="000000"/>
          <w:kern w:val="0"/>
          <w:sz w:val="32"/>
          <w:szCs w:val="32"/>
          <w:lang w:val="en-US" w:eastAsia="zh-CN"/>
        </w:rPr>
        <w:t xml:space="preserve"> </w:t>
      </w:r>
      <w:r>
        <w:rPr>
          <w:rFonts w:hint="eastAsia" w:ascii="Times New Roman" w:hAnsi="Times New Roman" w:eastAsia="仿宋" w:cs="Times New Roman"/>
          <w:color w:val="000000"/>
          <w:kern w:val="0"/>
          <w:sz w:val="32"/>
          <w:szCs w:val="32"/>
          <w:lang w:val="en-US" w:eastAsia="zh-CN" w:bidi="ar-SA"/>
        </w:rPr>
        <w:t xml:space="preserve"> 2023年本单位一般性支出情况，其中办公费支出16.56万元，用于购买日常办公用品及办公服务等支出；印刷费支出8.03万元，用于各个部门印刷宣传手册、横幅等印刷支出；咨询费支出0.77万元，用于法律咨询费和咨询机构咨询支出；水费支出3万元，用于日常供应供水支出；电费支出9万元，用于单位日常供应供电支出；邮电费支出1.85万元，用于日常通讯通话、网络支出；物业管理费支出11万元，用于物业管理服务支出；培训费支出0.23万元，用于开展业务培训，内容为场地布置、外聘讲师费等培训相关支出；工会经费支出3.04万元，用于工会活动费用支出；福利费支出7.6万元，用于支付员工福利费；其他交通费用支出25.59万元，用于除公务用车外的其他交通费用支出；其他商品和服务支出14.2万元，用于单位日常事务处理等其他相关费用支出等。</w:t>
      </w:r>
    </w:p>
    <w:p w14:paraId="34CF674D">
      <w:pPr>
        <w:pStyle w:val="7"/>
        <w:numPr>
          <w:ilvl w:val="0"/>
          <w:numId w:val="6"/>
        </w:numPr>
        <w:autoSpaceDE w:val="0"/>
        <w:autoSpaceDN w:val="0"/>
        <w:adjustRightInd w:val="0"/>
        <w:spacing w:line="570" w:lineRule="exact"/>
        <w:ind w:left="0" w:leftChars="0" w:firstLine="640" w:firstLineChars="200"/>
        <w:rPr>
          <w:rFonts w:ascii="Times New Roman" w:hAnsi="Times New Roman" w:eastAsia="黑体" w:cs="Times New Roman"/>
          <w:color w:val="000000"/>
          <w:kern w:val="0"/>
          <w:sz w:val="32"/>
          <w:szCs w:val="32"/>
        </w:rPr>
      </w:pPr>
      <w:r>
        <w:rPr>
          <w:rFonts w:hint="eastAsia" w:ascii="Times New Roman" w:hAnsi="Times New Roman" w:eastAsia="黑体" w:cs="Times New Roman"/>
          <w:color w:val="000000"/>
          <w:kern w:val="0"/>
          <w:sz w:val="32"/>
          <w:szCs w:val="32"/>
          <w:lang w:eastAsia="zh-CN"/>
        </w:rPr>
        <w:t>关于</w:t>
      </w:r>
      <w:r>
        <w:rPr>
          <w:rFonts w:ascii="Times New Roman" w:hAnsi="Times New Roman" w:eastAsia="黑体" w:cs="Times New Roman"/>
          <w:color w:val="000000"/>
          <w:kern w:val="0"/>
          <w:sz w:val="32"/>
          <w:szCs w:val="32"/>
        </w:rPr>
        <w:t>政府采购支出说明</w:t>
      </w:r>
    </w:p>
    <w:p w14:paraId="402F9D4C">
      <w:pPr>
        <w:pStyle w:val="7"/>
        <w:autoSpaceDE w:val="0"/>
        <w:autoSpaceDN w:val="0"/>
        <w:adjustRightInd w:val="0"/>
        <w:spacing w:line="570" w:lineRule="exact"/>
        <w:ind w:firstLine="640" w:firstLineChars="200"/>
        <w:rPr>
          <w:rFonts w:hint="eastAsia" w:ascii="Times New Roman" w:hAnsi="Times New Roman" w:eastAsia="仿宋" w:cs="Times New Roman"/>
          <w:color w:val="000000"/>
          <w:kern w:val="0"/>
          <w:sz w:val="32"/>
          <w:szCs w:val="32"/>
          <w:lang w:val="en-US" w:eastAsia="zh-CN" w:bidi="ar-SA"/>
        </w:rPr>
      </w:pPr>
      <w:r>
        <w:rPr>
          <w:rFonts w:hint="eastAsia" w:ascii="Times New Roman" w:hAnsi="Times New Roman" w:eastAsia="仿宋" w:cs="Times New Roman"/>
          <w:color w:val="000000"/>
          <w:kern w:val="0"/>
          <w:sz w:val="32"/>
          <w:szCs w:val="32"/>
          <w:lang w:val="en-US" w:eastAsia="zh-CN" w:bidi="ar-SA"/>
        </w:rPr>
        <w:t>本单位2023年度政府采购支出总额0万元，其中：政府采购货物支出0万元，政府采购工程支出0万元、政府采购服务支出0万元。授予中小企业合同金额0万元，占政府采购支出总额的0.0%。</w:t>
      </w:r>
    </w:p>
    <w:p w14:paraId="778EFCBB">
      <w:pPr>
        <w:pStyle w:val="7"/>
        <w:numPr>
          <w:ilvl w:val="0"/>
          <w:numId w:val="6"/>
        </w:numPr>
        <w:autoSpaceDE w:val="0"/>
        <w:autoSpaceDN w:val="0"/>
        <w:adjustRightInd w:val="0"/>
        <w:spacing w:line="570" w:lineRule="exact"/>
        <w:ind w:left="0" w:leftChars="0" w:firstLine="640" w:firstLineChars="200"/>
        <w:rPr>
          <w:rFonts w:ascii="Times New Roman" w:hAnsi="Times New Roman" w:eastAsia="黑体" w:cs="Times New Roman"/>
          <w:color w:val="000000"/>
          <w:kern w:val="0"/>
          <w:sz w:val="32"/>
          <w:szCs w:val="32"/>
        </w:rPr>
      </w:pPr>
      <w:r>
        <w:rPr>
          <w:rFonts w:hint="eastAsia" w:ascii="Times New Roman" w:hAnsi="Times New Roman" w:eastAsia="黑体" w:cs="Times New Roman"/>
          <w:color w:val="000000"/>
          <w:kern w:val="0"/>
          <w:sz w:val="32"/>
          <w:szCs w:val="32"/>
          <w:lang w:eastAsia="zh-CN"/>
        </w:rPr>
        <w:t>关于</w:t>
      </w:r>
      <w:r>
        <w:rPr>
          <w:rFonts w:ascii="Times New Roman" w:hAnsi="Times New Roman" w:eastAsia="黑体" w:cs="Times New Roman"/>
          <w:color w:val="000000"/>
          <w:kern w:val="0"/>
          <w:sz w:val="32"/>
          <w:szCs w:val="32"/>
        </w:rPr>
        <w:t>国有资产占用情况说明</w:t>
      </w:r>
    </w:p>
    <w:p w14:paraId="126853C7">
      <w:pPr>
        <w:pStyle w:val="7"/>
        <w:autoSpaceDE w:val="0"/>
        <w:autoSpaceDN w:val="0"/>
        <w:adjustRightInd w:val="0"/>
        <w:spacing w:line="570" w:lineRule="exact"/>
        <w:ind w:firstLine="640" w:firstLineChars="200"/>
        <w:rPr>
          <w:rFonts w:hint="eastAsia" w:ascii="Times New Roman" w:hAnsi="Times New Roman" w:eastAsia="仿宋" w:cs="Times New Roman"/>
          <w:color w:val="000000"/>
          <w:kern w:val="0"/>
          <w:sz w:val="32"/>
          <w:szCs w:val="32"/>
          <w:lang w:val="en-US" w:eastAsia="zh-CN" w:bidi="ar-SA"/>
        </w:rPr>
      </w:pPr>
      <w:r>
        <w:rPr>
          <w:rFonts w:hint="eastAsia" w:ascii="Times New Roman" w:hAnsi="Times New Roman" w:eastAsia="仿宋" w:cs="Times New Roman"/>
          <w:color w:val="000000"/>
          <w:kern w:val="0"/>
          <w:sz w:val="32"/>
          <w:szCs w:val="32"/>
          <w:lang w:val="en-US" w:eastAsia="zh-CN" w:bidi="ar-SA"/>
        </w:rPr>
        <w:t>截至2023年12月31日，部门（单位）共有车辆0辆，其中，主要领导干部用车0辆，机要通信用车0辆、应急保障用车0辆、执法执勤用车0辆、特种专业技术用车0辆、其他用车0辆；单位价值50万元以上通用设备0台（套）；单位价值100万元以上专用设备0台（套）。</w:t>
      </w:r>
    </w:p>
    <w:p w14:paraId="10450EF5">
      <w:pPr>
        <w:pStyle w:val="7"/>
        <w:autoSpaceDE w:val="0"/>
        <w:autoSpaceDN w:val="0"/>
        <w:adjustRightInd w:val="0"/>
        <w:spacing w:line="570" w:lineRule="exact"/>
        <w:ind w:firstLine="640" w:firstLineChars="200"/>
        <w:rPr>
          <w:rFonts w:ascii="Times New Roman" w:hAnsi="Times New Roman" w:cs="Times New Roman"/>
          <w:color w:val="auto"/>
          <w:sz w:val="32"/>
          <w:szCs w:val="32"/>
        </w:rPr>
      </w:pPr>
      <w:r>
        <w:rPr>
          <w:rFonts w:ascii="Times New Roman" w:hAnsi="Times New Roman" w:eastAsia="黑体" w:cs="Times New Roman"/>
          <w:color w:val="auto"/>
          <w:kern w:val="0"/>
          <w:sz w:val="32"/>
          <w:szCs w:val="32"/>
        </w:rPr>
        <w:t>十四、重点项目预算的绩效评价结果等情况说明</w:t>
      </w:r>
    </w:p>
    <w:p w14:paraId="74224656">
      <w:pPr>
        <w:pStyle w:val="7"/>
        <w:autoSpaceDE w:val="0"/>
        <w:autoSpaceDN w:val="0"/>
        <w:adjustRightInd w:val="0"/>
        <w:spacing w:line="570" w:lineRule="exact"/>
        <w:ind w:firstLine="640" w:firstLineChars="200"/>
        <w:rPr>
          <w:rFonts w:ascii="Times New Roman" w:hAnsi="Times New Roman" w:eastAsia="楷体_GB2312" w:cs="Times New Roman"/>
          <w:b/>
          <w:color w:val="auto"/>
          <w:kern w:val="0"/>
          <w:sz w:val="32"/>
          <w:szCs w:val="32"/>
        </w:rPr>
      </w:pPr>
      <w:r>
        <w:rPr>
          <w:rFonts w:ascii="Times New Roman" w:hAnsi="Times New Roman" w:eastAsia="楷体_GB2312" w:cs="Times New Roman"/>
          <w:b/>
          <w:color w:val="auto"/>
          <w:kern w:val="0"/>
          <w:sz w:val="32"/>
          <w:szCs w:val="32"/>
        </w:rPr>
        <w:t>（一）绩效管理评价工作开展情况。</w:t>
      </w:r>
    </w:p>
    <w:p w14:paraId="3BE62852">
      <w:pPr>
        <w:pStyle w:val="7"/>
        <w:autoSpaceDE w:val="0"/>
        <w:autoSpaceDN w:val="0"/>
        <w:adjustRightInd w:val="0"/>
        <w:spacing w:line="570" w:lineRule="exact"/>
        <w:ind w:firstLine="640" w:firstLineChars="200"/>
        <w:rPr>
          <w:rFonts w:hint="eastAsia" w:ascii="Times New Roman" w:hAnsi="Times New Roman" w:eastAsia="仿宋" w:cs="Times New Roman"/>
          <w:color w:val="000000"/>
          <w:kern w:val="0"/>
          <w:sz w:val="32"/>
          <w:szCs w:val="32"/>
          <w:lang w:val="en-US" w:eastAsia="zh-CN" w:bidi="ar-SA"/>
        </w:rPr>
      </w:pPr>
      <w:r>
        <w:rPr>
          <w:rFonts w:hint="eastAsia" w:ascii="Times New Roman" w:hAnsi="Times New Roman" w:eastAsia="仿宋" w:cs="Times New Roman"/>
          <w:color w:val="000000"/>
          <w:kern w:val="0"/>
          <w:sz w:val="32"/>
          <w:szCs w:val="32"/>
          <w:lang w:val="en-US" w:eastAsia="zh-CN" w:bidi="ar-SA"/>
        </w:rPr>
        <w:t>根据预算绩效管理要求，我单位组织对2023年度一般公共预算项目支出全面开展绩效自评，其中：一级项目0个，二级项目12个，共涉及资金607.22万元，占一般公共预算项目支出总额的100%，并组织对“社区经费项目”“社区惠民和网格化管理项目”等12个项目开展了部门评价，涉及一般公共预算支出607.22万元，政府性基金预算支出0万元，国有资本经营预算支出0万元。从评价情况来看，预算执行及时有效，绩效目标得到较好实现，绩效管理水平不断提高。</w:t>
      </w:r>
    </w:p>
    <w:p w14:paraId="7700540C">
      <w:pPr>
        <w:pStyle w:val="7"/>
        <w:numPr>
          <w:ilvl w:val="0"/>
          <w:numId w:val="7"/>
        </w:numPr>
        <w:autoSpaceDE w:val="0"/>
        <w:autoSpaceDN w:val="0"/>
        <w:adjustRightInd w:val="0"/>
        <w:spacing w:line="570" w:lineRule="exact"/>
        <w:ind w:firstLine="640" w:firstLineChars="200"/>
        <w:rPr>
          <w:rFonts w:ascii="Times New Roman" w:hAnsi="Times New Roman" w:eastAsia="楷体_GB2312" w:cs="Times New Roman"/>
          <w:b/>
          <w:color w:val="auto"/>
          <w:kern w:val="0"/>
          <w:sz w:val="32"/>
          <w:szCs w:val="32"/>
        </w:rPr>
      </w:pPr>
      <w:r>
        <w:rPr>
          <w:rFonts w:ascii="Times New Roman" w:hAnsi="Times New Roman" w:eastAsia="楷体_GB2312" w:cs="Times New Roman"/>
          <w:b/>
          <w:color w:val="auto"/>
          <w:kern w:val="0"/>
          <w:sz w:val="32"/>
          <w:szCs w:val="32"/>
        </w:rPr>
        <w:t>部门评价项目绩效评价结果。</w:t>
      </w:r>
    </w:p>
    <w:p w14:paraId="5F765723">
      <w:pPr>
        <w:ind w:firstLine="640" w:firstLineChars="200"/>
        <w:rPr>
          <w:rFonts w:hint="eastAsia" w:ascii="Times New Roman" w:hAnsi="Times New Roman" w:eastAsia="仿宋" w:cs="Times New Roman"/>
          <w:color w:val="000000"/>
          <w:kern w:val="0"/>
          <w:sz w:val="32"/>
          <w:szCs w:val="32"/>
          <w:lang w:val="en-US" w:eastAsia="zh-CN" w:bidi="ar-SA"/>
        </w:rPr>
      </w:pPr>
      <w:r>
        <w:rPr>
          <w:rFonts w:hint="eastAsia" w:ascii="Times New Roman" w:hAnsi="Times New Roman" w:eastAsia="仿宋" w:cs="Times New Roman"/>
          <w:color w:val="000000"/>
          <w:kern w:val="0"/>
          <w:sz w:val="32"/>
          <w:szCs w:val="32"/>
          <w:lang w:val="en-US" w:eastAsia="zh-CN" w:bidi="ar-SA"/>
        </w:rPr>
        <w:t>1、社区经费项目绩效自评综述：根据年初设定的绩效目标，项目绩效自评得分为99.5分。项目全年预算数为272.28万元，执行数为284.65万元，完成预算的104.54%。项目绩效目标完成情况：积极推进和产生良好的经济和社会效益，有效地提高社区事务管理人员的工作积极性，稳定社区工作人员队伍，提高社区服务水平。</w:t>
      </w:r>
    </w:p>
    <w:p w14:paraId="5356B054">
      <w:pPr>
        <w:pStyle w:val="3"/>
        <w:ind w:firstLine="640" w:firstLineChars="200"/>
        <w:rPr>
          <w:rFonts w:hint="eastAsia" w:ascii="Times New Roman" w:hAnsi="Times New Roman" w:eastAsia="仿宋" w:cs="Times New Roman"/>
          <w:color w:val="000000"/>
          <w:kern w:val="0"/>
          <w:sz w:val="32"/>
          <w:szCs w:val="32"/>
          <w:lang w:val="en-US" w:eastAsia="zh-CN" w:bidi="ar-SA"/>
        </w:rPr>
      </w:pPr>
      <w:r>
        <w:rPr>
          <w:rFonts w:hint="eastAsia" w:ascii="Times New Roman" w:hAnsi="Times New Roman" w:eastAsia="仿宋" w:cs="Times New Roman"/>
          <w:color w:val="000000"/>
          <w:kern w:val="0"/>
          <w:sz w:val="32"/>
          <w:szCs w:val="32"/>
          <w:lang w:val="en-US" w:eastAsia="zh-CN" w:bidi="ar-SA"/>
        </w:rPr>
        <w:t>2</w:t>
      </w:r>
      <w:r>
        <w:rPr>
          <w:rFonts w:hint="eastAsia" w:eastAsia="仿宋" w:cs="Times New Roman"/>
          <w:color w:val="000000"/>
          <w:kern w:val="0"/>
          <w:sz w:val="32"/>
          <w:szCs w:val="32"/>
          <w:lang w:val="en-US" w:eastAsia="zh-CN" w:bidi="ar-SA"/>
        </w:rPr>
        <w:t>、</w:t>
      </w:r>
      <w:r>
        <w:rPr>
          <w:rFonts w:hint="eastAsia" w:ascii="Times New Roman" w:hAnsi="Times New Roman" w:eastAsia="仿宋" w:cs="Times New Roman"/>
          <w:color w:val="000000"/>
          <w:kern w:val="0"/>
          <w:sz w:val="32"/>
          <w:szCs w:val="32"/>
          <w:lang w:val="en-US" w:eastAsia="zh-CN" w:bidi="ar-SA"/>
        </w:rPr>
        <w:t>生态补偿和环境建设项目绩效自评综述：根据年初设定的绩效目标，项目绩效自评得分为100分。项目全年预算数为</w:t>
      </w:r>
      <w:r>
        <w:rPr>
          <w:rFonts w:hint="eastAsia" w:eastAsia="仿宋" w:cs="Times New Roman"/>
          <w:color w:val="000000"/>
          <w:kern w:val="0"/>
          <w:sz w:val="32"/>
          <w:szCs w:val="32"/>
          <w:lang w:val="en-US" w:eastAsia="zh-CN" w:bidi="ar-SA"/>
        </w:rPr>
        <w:t>0</w:t>
      </w:r>
      <w:r>
        <w:rPr>
          <w:rFonts w:hint="eastAsia" w:ascii="Times New Roman" w:hAnsi="Times New Roman" w:eastAsia="仿宋" w:cs="Times New Roman"/>
          <w:color w:val="000000"/>
          <w:kern w:val="0"/>
          <w:sz w:val="32"/>
          <w:szCs w:val="32"/>
          <w:lang w:val="en-US" w:eastAsia="zh-CN" w:bidi="ar-SA"/>
        </w:rPr>
        <w:t>万元，执行数为35.5万元，完成预算的100%。项目绩效目标完成情况：改善</w:t>
      </w:r>
      <w:r>
        <w:rPr>
          <w:rFonts w:hint="eastAsia" w:eastAsia="仿宋" w:cs="Times New Roman"/>
          <w:color w:val="000000"/>
          <w:kern w:val="0"/>
          <w:sz w:val="32"/>
          <w:szCs w:val="32"/>
          <w:lang w:val="en-US" w:eastAsia="zh-CN" w:bidi="ar-SA"/>
        </w:rPr>
        <w:t>了</w:t>
      </w:r>
      <w:r>
        <w:rPr>
          <w:rFonts w:hint="eastAsia" w:ascii="Times New Roman" w:hAnsi="Times New Roman" w:eastAsia="仿宋" w:cs="Times New Roman"/>
          <w:color w:val="000000"/>
          <w:kern w:val="0"/>
          <w:sz w:val="32"/>
          <w:szCs w:val="32"/>
          <w:lang w:val="en-US" w:eastAsia="zh-CN" w:bidi="ar-SA"/>
        </w:rPr>
        <w:t>自然生态环境、促进</w:t>
      </w:r>
      <w:r>
        <w:rPr>
          <w:rFonts w:hint="eastAsia" w:eastAsia="仿宋" w:cs="Times New Roman"/>
          <w:color w:val="000000"/>
          <w:kern w:val="0"/>
          <w:sz w:val="32"/>
          <w:szCs w:val="32"/>
          <w:lang w:val="en-US" w:eastAsia="zh-CN" w:bidi="ar-SA"/>
        </w:rPr>
        <w:t>了</w:t>
      </w:r>
      <w:r>
        <w:rPr>
          <w:rFonts w:hint="eastAsia" w:ascii="Times New Roman" w:hAnsi="Times New Roman" w:eastAsia="仿宋" w:cs="Times New Roman"/>
          <w:color w:val="000000"/>
          <w:kern w:val="0"/>
          <w:sz w:val="32"/>
          <w:szCs w:val="32"/>
          <w:lang w:val="en-US" w:eastAsia="zh-CN" w:bidi="ar-SA"/>
        </w:rPr>
        <w:t>社会经济发展、提高居民生活质量。</w:t>
      </w:r>
    </w:p>
    <w:p w14:paraId="2618555D">
      <w:pPr>
        <w:pStyle w:val="3"/>
        <w:numPr>
          <w:ilvl w:val="0"/>
          <w:numId w:val="0"/>
        </w:numPr>
        <w:ind w:leftChars="0" w:firstLine="640" w:firstLineChars="200"/>
        <w:jc w:val="both"/>
        <w:rPr>
          <w:rFonts w:hint="eastAsia" w:ascii="Times New Roman" w:hAnsi="Times New Roman" w:eastAsia="仿宋" w:cs="Times New Roman"/>
          <w:color w:val="000000"/>
          <w:kern w:val="0"/>
          <w:sz w:val="32"/>
          <w:szCs w:val="32"/>
          <w:lang w:val="en-US" w:eastAsia="zh-CN" w:bidi="ar-SA"/>
        </w:rPr>
      </w:pPr>
      <w:r>
        <w:rPr>
          <w:rFonts w:hint="eastAsia" w:ascii="Times New Roman" w:hAnsi="Times New Roman" w:eastAsia="仿宋" w:cs="Times New Roman"/>
          <w:color w:val="000000"/>
          <w:kern w:val="0"/>
          <w:sz w:val="32"/>
          <w:szCs w:val="32"/>
          <w:lang w:val="en-US" w:eastAsia="zh-CN" w:bidi="ar-SA"/>
        </w:rPr>
        <w:t>3</w:t>
      </w:r>
      <w:r>
        <w:rPr>
          <w:rFonts w:hint="eastAsia" w:eastAsia="仿宋" w:cs="Times New Roman"/>
          <w:color w:val="000000"/>
          <w:kern w:val="0"/>
          <w:sz w:val="32"/>
          <w:szCs w:val="32"/>
          <w:lang w:val="en-US" w:eastAsia="zh-CN" w:bidi="ar-SA"/>
        </w:rPr>
        <w:t>、</w:t>
      </w:r>
      <w:r>
        <w:rPr>
          <w:rFonts w:hint="eastAsia" w:ascii="Times New Roman" w:hAnsi="Times New Roman" w:eastAsia="仿宋" w:cs="Times New Roman"/>
          <w:color w:val="000000"/>
          <w:kern w:val="0"/>
          <w:sz w:val="32"/>
          <w:szCs w:val="32"/>
          <w:lang w:val="en-US" w:eastAsia="zh-CN" w:bidi="ar-SA"/>
        </w:rPr>
        <w:t>息访维稳</w:t>
      </w:r>
      <w:r>
        <w:rPr>
          <w:rFonts w:hint="eastAsia" w:eastAsia="仿宋" w:cs="Times New Roman"/>
          <w:color w:val="000000"/>
          <w:kern w:val="0"/>
          <w:sz w:val="32"/>
          <w:szCs w:val="32"/>
          <w:lang w:val="en-US" w:eastAsia="zh-CN" w:bidi="ar-SA"/>
        </w:rPr>
        <w:t>工作经</w:t>
      </w:r>
      <w:r>
        <w:rPr>
          <w:rFonts w:hint="eastAsia" w:ascii="Times New Roman" w:hAnsi="Times New Roman" w:eastAsia="仿宋" w:cs="Times New Roman"/>
          <w:color w:val="000000"/>
          <w:kern w:val="0"/>
          <w:sz w:val="32"/>
          <w:szCs w:val="32"/>
          <w:lang w:val="en-US" w:eastAsia="zh-CN" w:bidi="ar-SA"/>
        </w:rPr>
        <w:t>费绩效自评综述：根据年初设定的绩效目标，项目绩效自评得分为100分。项目全年预算数为</w:t>
      </w:r>
      <w:r>
        <w:rPr>
          <w:rFonts w:hint="eastAsia" w:eastAsia="仿宋" w:cs="Times New Roman"/>
          <w:color w:val="000000"/>
          <w:kern w:val="0"/>
          <w:sz w:val="32"/>
          <w:szCs w:val="32"/>
          <w:lang w:val="en-US" w:eastAsia="zh-CN" w:bidi="ar-SA"/>
        </w:rPr>
        <w:t>0</w:t>
      </w:r>
      <w:r>
        <w:rPr>
          <w:rFonts w:hint="eastAsia" w:ascii="Times New Roman" w:hAnsi="Times New Roman" w:eastAsia="仿宋" w:cs="Times New Roman"/>
          <w:color w:val="000000"/>
          <w:kern w:val="0"/>
          <w:sz w:val="32"/>
          <w:szCs w:val="32"/>
          <w:lang w:val="en-US" w:eastAsia="zh-CN" w:bidi="ar-SA"/>
        </w:rPr>
        <w:t>万元，执行数为15.73万元，完成预算的100%。项目绩效目标完成情况：提升信息维稳工作的效率和质量，为社会和稳定做出积极贡献，提高信息监控与响应能力，强化治安水平。</w:t>
      </w:r>
    </w:p>
    <w:p w14:paraId="716E1164">
      <w:pPr>
        <w:pStyle w:val="3"/>
        <w:numPr>
          <w:ilvl w:val="0"/>
          <w:numId w:val="0"/>
        </w:numPr>
        <w:ind w:firstLine="640" w:firstLineChars="200"/>
        <w:jc w:val="both"/>
        <w:rPr>
          <w:rFonts w:hint="eastAsia" w:ascii="Times New Roman" w:hAnsi="Times New Roman" w:eastAsia="仿宋" w:cs="Times New Roman"/>
          <w:color w:val="000000"/>
          <w:kern w:val="0"/>
          <w:sz w:val="32"/>
          <w:szCs w:val="32"/>
          <w:lang w:val="en-US" w:eastAsia="zh-CN" w:bidi="ar-SA"/>
        </w:rPr>
      </w:pPr>
      <w:r>
        <w:rPr>
          <w:rFonts w:hint="eastAsia" w:ascii="Times New Roman" w:hAnsi="Times New Roman" w:eastAsia="仿宋" w:cs="Times New Roman"/>
          <w:color w:val="000000"/>
          <w:kern w:val="0"/>
          <w:sz w:val="32"/>
          <w:szCs w:val="32"/>
          <w:lang w:val="en-US" w:eastAsia="zh-CN" w:bidi="ar-SA"/>
        </w:rPr>
        <w:t>4</w:t>
      </w:r>
      <w:r>
        <w:rPr>
          <w:rFonts w:hint="eastAsia" w:eastAsia="仿宋" w:cs="Times New Roman"/>
          <w:color w:val="000000"/>
          <w:kern w:val="0"/>
          <w:sz w:val="32"/>
          <w:szCs w:val="32"/>
          <w:lang w:val="en-US" w:eastAsia="zh-CN" w:bidi="ar-SA"/>
        </w:rPr>
        <w:t>、</w:t>
      </w:r>
      <w:r>
        <w:rPr>
          <w:rFonts w:hint="eastAsia" w:ascii="Times New Roman" w:hAnsi="Times New Roman" w:eastAsia="仿宋" w:cs="Times New Roman"/>
          <w:color w:val="000000"/>
          <w:kern w:val="0"/>
          <w:sz w:val="32"/>
          <w:szCs w:val="32"/>
          <w:lang w:val="en-US" w:eastAsia="zh-CN" w:bidi="ar-SA"/>
        </w:rPr>
        <w:t xml:space="preserve">乡村发展和改善项目绩效自评综述：根据年初设定的绩效目标，项目绩效自评得分为100分。项目全年预算数为 </w:t>
      </w:r>
      <w:r>
        <w:rPr>
          <w:rFonts w:hint="eastAsia" w:eastAsia="仿宋" w:cs="Times New Roman"/>
          <w:color w:val="000000"/>
          <w:kern w:val="0"/>
          <w:sz w:val="32"/>
          <w:szCs w:val="32"/>
          <w:lang w:val="en-US" w:eastAsia="zh-CN" w:bidi="ar-SA"/>
        </w:rPr>
        <w:t>0</w:t>
      </w:r>
      <w:r>
        <w:rPr>
          <w:rFonts w:hint="eastAsia" w:ascii="Times New Roman" w:hAnsi="Times New Roman" w:eastAsia="仿宋" w:cs="Times New Roman"/>
          <w:color w:val="000000"/>
          <w:kern w:val="0"/>
          <w:sz w:val="32"/>
          <w:szCs w:val="32"/>
          <w:lang w:val="en-US" w:eastAsia="zh-CN" w:bidi="ar-SA"/>
        </w:rPr>
        <w:t>万元，执行数为5.84万元，完成预算的100%。项目绩效目标完成情况：促进乡村经济发展，提高居民生活水平，保护环境和传统文化，共同推进乡村发展和改善。</w:t>
      </w:r>
    </w:p>
    <w:p w14:paraId="51F54CB1">
      <w:pPr>
        <w:pStyle w:val="7"/>
        <w:numPr>
          <w:ilvl w:val="0"/>
          <w:numId w:val="0"/>
        </w:numPr>
        <w:autoSpaceDE w:val="0"/>
        <w:autoSpaceDN w:val="0"/>
        <w:adjustRightInd w:val="0"/>
        <w:spacing w:line="570" w:lineRule="exact"/>
        <w:ind w:firstLine="640" w:firstLineChars="200"/>
        <w:rPr>
          <w:rFonts w:hint="eastAsia" w:ascii="Times New Roman" w:hAnsi="Times New Roman" w:eastAsia="仿宋" w:cs="Times New Roman"/>
          <w:color w:val="000000"/>
          <w:kern w:val="0"/>
          <w:sz w:val="32"/>
          <w:szCs w:val="32"/>
          <w:lang w:val="en-US" w:eastAsia="zh-CN" w:bidi="ar-SA"/>
        </w:rPr>
      </w:pPr>
      <w:r>
        <w:rPr>
          <w:rFonts w:hint="eastAsia" w:ascii="Times New Roman" w:hAnsi="Times New Roman" w:eastAsia="仿宋" w:cs="Times New Roman"/>
          <w:color w:val="000000"/>
          <w:kern w:val="0"/>
          <w:sz w:val="32"/>
          <w:szCs w:val="32"/>
          <w:lang w:val="en-US" w:eastAsia="zh-CN" w:bidi="ar-SA"/>
        </w:rPr>
        <w:t>5、财政监管经费项目绩效自评综述：根据年初设定的绩效目标，项目绩效自评得分为100分。项目全年预算数为0万元，执行数为8.52万元，完成预算的100%。项目绩效目标完成情况：通过有效的财政监管，确保项目资金的合理分配和使用，达到预定的绩效目标，包括成本控制、效率提升和成果质量。</w:t>
      </w:r>
    </w:p>
    <w:p w14:paraId="395C1193">
      <w:pPr>
        <w:pStyle w:val="3"/>
        <w:numPr>
          <w:ilvl w:val="0"/>
          <w:numId w:val="0"/>
        </w:numPr>
        <w:ind w:leftChars="0" w:firstLine="640" w:firstLineChars="200"/>
        <w:jc w:val="both"/>
        <w:rPr>
          <w:rFonts w:hint="eastAsia" w:ascii="Times New Roman" w:hAnsi="Times New Roman" w:eastAsia="仿宋" w:cs="Times New Roman"/>
          <w:color w:val="000000"/>
          <w:kern w:val="0"/>
          <w:sz w:val="32"/>
          <w:szCs w:val="32"/>
          <w:lang w:val="en-US" w:eastAsia="zh-CN" w:bidi="ar-SA"/>
        </w:rPr>
      </w:pPr>
      <w:r>
        <w:rPr>
          <w:rFonts w:hint="eastAsia" w:ascii="Times New Roman" w:hAnsi="Times New Roman" w:eastAsia="仿宋" w:cs="Times New Roman"/>
          <w:color w:val="000000"/>
          <w:kern w:val="0"/>
          <w:sz w:val="32"/>
          <w:szCs w:val="32"/>
          <w:lang w:val="en-US" w:eastAsia="zh-CN" w:bidi="ar-SA"/>
        </w:rPr>
        <w:t>6</w:t>
      </w:r>
      <w:r>
        <w:rPr>
          <w:rFonts w:hint="eastAsia" w:eastAsia="仿宋" w:cs="Times New Roman"/>
          <w:color w:val="000000"/>
          <w:kern w:val="0"/>
          <w:sz w:val="32"/>
          <w:szCs w:val="32"/>
          <w:lang w:val="en-US" w:eastAsia="zh-CN" w:bidi="ar-SA"/>
        </w:rPr>
        <w:t>、</w:t>
      </w:r>
      <w:r>
        <w:rPr>
          <w:rFonts w:hint="eastAsia" w:ascii="Times New Roman" w:hAnsi="Times New Roman" w:eastAsia="仿宋" w:cs="Times New Roman"/>
          <w:color w:val="000000"/>
          <w:kern w:val="0"/>
          <w:sz w:val="32"/>
          <w:szCs w:val="32"/>
          <w:lang w:val="en-US" w:eastAsia="zh-CN" w:bidi="ar-SA"/>
        </w:rPr>
        <w:t>城乡管理费用项目绩效自评综述：根据年初设定的绩效目标，项目绩效自评得分为</w:t>
      </w:r>
      <w:r>
        <w:rPr>
          <w:rFonts w:hint="eastAsia" w:eastAsia="仿宋" w:cs="Times New Roman"/>
          <w:color w:val="000000"/>
          <w:kern w:val="0"/>
          <w:sz w:val="32"/>
          <w:szCs w:val="32"/>
          <w:lang w:val="en-US" w:eastAsia="zh-CN" w:bidi="ar-SA"/>
        </w:rPr>
        <w:t>90</w:t>
      </w:r>
      <w:r>
        <w:rPr>
          <w:rFonts w:hint="eastAsia" w:ascii="Times New Roman" w:hAnsi="Times New Roman" w:eastAsia="仿宋" w:cs="Times New Roman"/>
          <w:color w:val="000000"/>
          <w:kern w:val="0"/>
          <w:sz w:val="32"/>
          <w:szCs w:val="32"/>
          <w:lang w:val="en-US" w:eastAsia="zh-CN" w:bidi="ar-SA"/>
        </w:rPr>
        <w:t>分。项目全年预算数为</w:t>
      </w:r>
      <w:r>
        <w:rPr>
          <w:rFonts w:hint="eastAsia" w:eastAsia="仿宋" w:cs="Times New Roman"/>
          <w:color w:val="000000"/>
          <w:kern w:val="0"/>
          <w:sz w:val="32"/>
          <w:szCs w:val="32"/>
          <w:lang w:val="en-US" w:eastAsia="zh-CN" w:bidi="ar-SA"/>
        </w:rPr>
        <w:t>0</w:t>
      </w:r>
      <w:r>
        <w:rPr>
          <w:rFonts w:hint="eastAsia" w:ascii="Times New Roman" w:hAnsi="Times New Roman" w:eastAsia="仿宋" w:cs="Times New Roman"/>
          <w:color w:val="000000"/>
          <w:kern w:val="0"/>
          <w:sz w:val="32"/>
          <w:szCs w:val="32"/>
          <w:lang w:val="en-US" w:eastAsia="zh-CN" w:bidi="ar-SA"/>
        </w:rPr>
        <w:t>万元，执行数为35万元，完成预算的100%。项目绩效目标完成情况：提高城乡管理服务质量、降低成本、提升居民满意度等，目标应具有可衡量性、可达成性和挑战性。</w:t>
      </w:r>
    </w:p>
    <w:p w14:paraId="0BCE4E3F">
      <w:pPr>
        <w:pStyle w:val="3"/>
        <w:numPr>
          <w:ilvl w:val="0"/>
          <w:numId w:val="0"/>
        </w:numPr>
        <w:ind w:leftChars="0" w:firstLine="640" w:firstLineChars="200"/>
        <w:jc w:val="both"/>
        <w:rPr>
          <w:rFonts w:hint="eastAsia" w:ascii="Times New Roman" w:hAnsi="Times New Roman" w:eastAsia="仿宋" w:cs="Times New Roman"/>
          <w:color w:val="000000"/>
          <w:kern w:val="0"/>
          <w:sz w:val="32"/>
          <w:szCs w:val="32"/>
          <w:lang w:val="en-US" w:eastAsia="zh-CN" w:bidi="ar-SA"/>
        </w:rPr>
      </w:pPr>
      <w:r>
        <w:rPr>
          <w:rFonts w:hint="eastAsia" w:ascii="Times New Roman" w:hAnsi="Times New Roman" w:eastAsia="仿宋" w:cs="Times New Roman"/>
          <w:color w:val="000000"/>
          <w:kern w:val="0"/>
          <w:sz w:val="32"/>
          <w:szCs w:val="32"/>
          <w:lang w:val="en-US" w:eastAsia="zh-CN" w:bidi="ar-SA"/>
        </w:rPr>
        <w:t>7</w:t>
      </w:r>
      <w:r>
        <w:rPr>
          <w:rFonts w:hint="eastAsia" w:eastAsia="仿宋" w:cs="Times New Roman"/>
          <w:color w:val="000000"/>
          <w:kern w:val="0"/>
          <w:sz w:val="32"/>
          <w:szCs w:val="32"/>
          <w:lang w:val="en-US" w:eastAsia="zh-CN" w:bidi="ar-SA"/>
        </w:rPr>
        <w:t>、</w:t>
      </w:r>
      <w:r>
        <w:rPr>
          <w:rFonts w:hint="eastAsia" w:ascii="Times New Roman" w:hAnsi="Times New Roman" w:eastAsia="仿宋" w:cs="Times New Roman"/>
          <w:color w:val="000000"/>
          <w:kern w:val="0"/>
          <w:sz w:val="32"/>
          <w:szCs w:val="32"/>
          <w:lang w:val="en-US" w:eastAsia="zh-CN" w:bidi="ar-SA"/>
        </w:rPr>
        <w:t>公共服务和志愿者项目绩效自评综述：根据年初设定的绩效目标，项目绩效自评得分为100分。项目全年预算数为</w:t>
      </w:r>
      <w:r>
        <w:rPr>
          <w:rFonts w:hint="eastAsia" w:eastAsia="仿宋" w:cs="Times New Roman"/>
          <w:color w:val="000000"/>
          <w:kern w:val="0"/>
          <w:sz w:val="32"/>
          <w:szCs w:val="32"/>
          <w:lang w:val="en-US" w:eastAsia="zh-CN" w:bidi="ar-SA"/>
        </w:rPr>
        <w:t>0</w:t>
      </w:r>
      <w:r>
        <w:rPr>
          <w:rFonts w:hint="eastAsia" w:ascii="Times New Roman" w:hAnsi="Times New Roman" w:eastAsia="仿宋" w:cs="Times New Roman"/>
          <w:color w:val="000000"/>
          <w:kern w:val="0"/>
          <w:sz w:val="32"/>
          <w:szCs w:val="32"/>
          <w:lang w:val="en-US" w:eastAsia="zh-CN" w:bidi="ar-SA"/>
        </w:rPr>
        <w:t>万元，执行数为7.2万元，完成预算的100%。项目绩效目标完成情况：扩大服务范围，覆盖更多社区和居民；提高服务效率，减少居民等待时间；创新服务模式，满足居民多样化需求；培育一支专业、高效、热情的志愿者队伍。为</w:t>
      </w:r>
      <w:r>
        <w:rPr>
          <w:rFonts w:hint="eastAsia" w:eastAsia="仿宋" w:cs="Times New Roman"/>
          <w:color w:val="000000"/>
          <w:kern w:val="0"/>
          <w:sz w:val="32"/>
          <w:szCs w:val="32"/>
          <w:lang w:val="en-US" w:eastAsia="zh-CN" w:bidi="ar-SA"/>
        </w:rPr>
        <w:t>辖区</w:t>
      </w:r>
      <w:r>
        <w:rPr>
          <w:rFonts w:hint="eastAsia" w:ascii="Times New Roman" w:hAnsi="Times New Roman" w:eastAsia="仿宋" w:cs="Times New Roman"/>
          <w:color w:val="000000"/>
          <w:kern w:val="0"/>
          <w:sz w:val="32"/>
          <w:szCs w:val="32"/>
          <w:lang w:val="en-US" w:eastAsia="zh-CN" w:bidi="ar-SA"/>
        </w:rPr>
        <w:t>提供更加全面、高效的公共服务。</w:t>
      </w:r>
    </w:p>
    <w:p w14:paraId="2BA0BD66">
      <w:pPr>
        <w:pStyle w:val="7"/>
        <w:numPr>
          <w:ilvl w:val="0"/>
          <w:numId w:val="0"/>
        </w:numPr>
        <w:autoSpaceDE w:val="0"/>
        <w:autoSpaceDN w:val="0"/>
        <w:adjustRightInd w:val="0"/>
        <w:spacing w:line="570" w:lineRule="exact"/>
        <w:ind w:firstLine="640" w:firstLineChars="200"/>
        <w:rPr>
          <w:rFonts w:hint="eastAsia" w:ascii="Times New Roman" w:hAnsi="Times New Roman" w:eastAsia="仿宋" w:cs="Times New Roman"/>
          <w:color w:val="000000"/>
          <w:kern w:val="0"/>
          <w:sz w:val="32"/>
          <w:szCs w:val="32"/>
          <w:lang w:val="en-US" w:eastAsia="zh-CN" w:bidi="ar-SA"/>
        </w:rPr>
      </w:pPr>
      <w:r>
        <w:rPr>
          <w:rFonts w:hint="eastAsia" w:ascii="Times New Roman" w:hAnsi="Times New Roman" w:eastAsia="仿宋" w:cs="Times New Roman"/>
          <w:color w:val="000000"/>
          <w:kern w:val="0"/>
          <w:sz w:val="32"/>
          <w:szCs w:val="32"/>
          <w:lang w:val="en-US" w:eastAsia="zh-CN" w:bidi="ar-SA"/>
        </w:rPr>
        <w:t>8、公共卫生和防疫项目绩效自评综述：根据年初设定的绩效目标，项目绩效自评得分为100分。项目全年预算数为0万元，执行数为55.5万元，完成预算的100%。项目绩效目标完成情况：传染病防控、有效遏制传染病疫情的发生和蔓延，降低感染率和死亡率。优化政策措施、完善公共卫生政策体系，提高政策执行效率，建立健全传染病监测网络，提高疫情预警和响应能力。</w:t>
      </w:r>
    </w:p>
    <w:p w14:paraId="638C5F38">
      <w:pPr>
        <w:pStyle w:val="3"/>
        <w:numPr>
          <w:ilvl w:val="0"/>
          <w:numId w:val="0"/>
        </w:numPr>
        <w:ind w:leftChars="0" w:firstLine="640" w:firstLineChars="200"/>
        <w:jc w:val="both"/>
        <w:rPr>
          <w:rFonts w:hint="eastAsia" w:ascii="Times New Roman" w:hAnsi="Times New Roman" w:eastAsia="仿宋" w:cs="Times New Roman"/>
          <w:color w:val="000000"/>
          <w:kern w:val="0"/>
          <w:sz w:val="32"/>
          <w:szCs w:val="32"/>
          <w:lang w:val="en-US" w:eastAsia="zh-CN" w:bidi="ar-SA"/>
        </w:rPr>
      </w:pPr>
      <w:r>
        <w:rPr>
          <w:rFonts w:hint="eastAsia" w:ascii="Times New Roman" w:hAnsi="Times New Roman" w:eastAsia="仿宋" w:cs="Times New Roman"/>
          <w:color w:val="000000"/>
          <w:kern w:val="0"/>
          <w:sz w:val="32"/>
          <w:szCs w:val="32"/>
          <w:lang w:val="en-US" w:eastAsia="zh-CN" w:bidi="ar-SA"/>
        </w:rPr>
        <w:t>9</w:t>
      </w:r>
      <w:r>
        <w:rPr>
          <w:rFonts w:hint="eastAsia" w:eastAsia="仿宋" w:cs="Times New Roman"/>
          <w:color w:val="000000"/>
          <w:kern w:val="0"/>
          <w:sz w:val="32"/>
          <w:szCs w:val="32"/>
          <w:lang w:val="en-US" w:eastAsia="zh-CN" w:bidi="ar-SA"/>
        </w:rPr>
        <w:t>、</w:t>
      </w:r>
      <w:r>
        <w:rPr>
          <w:rFonts w:hint="eastAsia" w:ascii="Times New Roman" w:hAnsi="Times New Roman" w:eastAsia="仿宋" w:cs="Times New Roman"/>
          <w:color w:val="000000"/>
          <w:kern w:val="0"/>
          <w:sz w:val="32"/>
          <w:szCs w:val="32"/>
          <w:lang w:val="en-US" w:eastAsia="zh-CN" w:bidi="ar-SA"/>
        </w:rPr>
        <w:t>人大、政协联络经费项目绩效自评综述：根据年初设定的绩效目标，项目绩效自评得分为100分。项目全年预算数为</w:t>
      </w:r>
      <w:r>
        <w:rPr>
          <w:rFonts w:hint="eastAsia" w:eastAsia="仿宋" w:cs="Times New Roman"/>
          <w:color w:val="000000"/>
          <w:kern w:val="0"/>
          <w:sz w:val="32"/>
          <w:szCs w:val="32"/>
          <w:lang w:val="en-US" w:eastAsia="zh-CN" w:bidi="ar-SA"/>
        </w:rPr>
        <w:t>0</w:t>
      </w:r>
      <w:r>
        <w:rPr>
          <w:rFonts w:hint="eastAsia" w:ascii="Times New Roman" w:hAnsi="Times New Roman" w:eastAsia="仿宋" w:cs="Times New Roman"/>
          <w:color w:val="000000"/>
          <w:kern w:val="0"/>
          <w:sz w:val="32"/>
          <w:szCs w:val="32"/>
          <w:lang w:val="en-US" w:eastAsia="zh-CN" w:bidi="ar-SA"/>
        </w:rPr>
        <w:t>万元，执行数为26.39万元，完成预算的100%。项目绩效目标完成情况：建立有效沟通渠道和机制，促进人大代表与政协委员之间的信息交流，有助于人大代表与政协委员之间的信息交流增多。</w:t>
      </w:r>
    </w:p>
    <w:p w14:paraId="02331795">
      <w:pPr>
        <w:pStyle w:val="7"/>
        <w:numPr>
          <w:ilvl w:val="0"/>
          <w:numId w:val="0"/>
        </w:numPr>
        <w:autoSpaceDE w:val="0"/>
        <w:autoSpaceDN w:val="0"/>
        <w:adjustRightInd w:val="0"/>
        <w:spacing w:line="570" w:lineRule="exact"/>
        <w:ind w:firstLine="640" w:firstLineChars="200"/>
        <w:rPr>
          <w:rFonts w:hint="eastAsia" w:ascii="Times New Roman" w:hAnsi="Times New Roman" w:eastAsia="仿宋" w:cs="Times New Roman"/>
          <w:color w:val="000000"/>
          <w:kern w:val="0"/>
          <w:sz w:val="32"/>
          <w:szCs w:val="32"/>
          <w:lang w:val="en-US" w:eastAsia="zh-CN" w:bidi="ar-SA"/>
        </w:rPr>
      </w:pPr>
      <w:r>
        <w:rPr>
          <w:rFonts w:hint="eastAsia" w:ascii="Times New Roman" w:hAnsi="Times New Roman" w:eastAsia="仿宋" w:cs="Times New Roman"/>
          <w:color w:val="000000"/>
          <w:kern w:val="0"/>
          <w:sz w:val="32"/>
          <w:szCs w:val="32"/>
          <w:lang w:val="en-US" w:eastAsia="zh-CN" w:bidi="ar-SA"/>
        </w:rPr>
        <w:t>10、社会保障和就业项目绩效自评综述：根据年初设定的绩效目标，项目绩效自评得分为100分。项目全年预算数为0万元，执行数为49.38万元，完成预算的100%。项目绩效目标完成情况：进一步完善社会保障体系，确保各类参保人员的待遇水平得到稳步提升。</w:t>
      </w:r>
    </w:p>
    <w:p w14:paraId="01C60F6A">
      <w:pPr>
        <w:pStyle w:val="7"/>
        <w:numPr>
          <w:ilvl w:val="0"/>
          <w:numId w:val="0"/>
        </w:numPr>
        <w:autoSpaceDE w:val="0"/>
        <w:autoSpaceDN w:val="0"/>
        <w:adjustRightInd w:val="0"/>
        <w:spacing w:line="570" w:lineRule="exact"/>
        <w:ind w:firstLine="640" w:firstLineChars="200"/>
        <w:rPr>
          <w:rFonts w:hint="eastAsia" w:ascii="Times New Roman" w:hAnsi="Times New Roman" w:eastAsia="仿宋" w:cs="Times New Roman"/>
          <w:color w:val="000000"/>
          <w:kern w:val="0"/>
          <w:sz w:val="32"/>
          <w:szCs w:val="32"/>
          <w:lang w:val="en-US" w:eastAsia="zh-CN" w:bidi="ar-SA"/>
        </w:rPr>
      </w:pPr>
      <w:r>
        <w:rPr>
          <w:rFonts w:hint="eastAsia" w:ascii="Times New Roman" w:hAnsi="Times New Roman" w:eastAsia="仿宋" w:cs="Times New Roman"/>
          <w:color w:val="000000"/>
          <w:kern w:val="0"/>
          <w:sz w:val="32"/>
          <w:szCs w:val="32"/>
          <w:lang w:val="en-US" w:eastAsia="zh-CN" w:bidi="ar-SA"/>
        </w:rPr>
        <w:t>11、社会服务和残疾人支持项目绩效自评综述：根据年初设定的绩效目标，项目绩效自评得分为100分。项目全年预算数为0万元，执行数为17.09万元，完成预算的100%。项目绩效目标完成情况：优化资源配置，提高街道社会服务和残疾人支持项目的效率和覆盖面，确保各项支出合理且效益最大化，各项绩效指标均达到或超过预期，资金使用合理，社区服务和居民满意度得到显著提升。</w:t>
      </w:r>
    </w:p>
    <w:p w14:paraId="03F07D11">
      <w:pPr>
        <w:pStyle w:val="7"/>
        <w:numPr>
          <w:ilvl w:val="0"/>
          <w:numId w:val="0"/>
        </w:numPr>
        <w:autoSpaceDE w:val="0"/>
        <w:autoSpaceDN w:val="0"/>
        <w:adjustRightInd w:val="0"/>
        <w:spacing w:line="570" w:lineRule="exact"/>
        <w:ind w:firstLine="640" w:firstLineChars="200"/>
        <w:rPr>
          <w:rFonts w:ascii="Times New Roman" w:hAnsi="Times New Roman" w:eastAsia="楷体_GB2312" w:cs="Times New Roman"/>
          <w:b/>
          <w:color w:val="FF0000"/>
          <w:kern w:val="0"/>
          <w:sz w:val="32"/>
          <w:szCs w:val="32"/>
        </w:rPr>
      </w:pPr>
      <w:r>
        <w:rPr>
          <w:rFonts w:hint="eastAsia" w:ascii="Times New Roman" w:hAnsi="Times New Roman" w:eastAsia="仿宋" w:cs="Times New Roman"/>
          <w:color w:val="000000"/>
          <w:kern w:val="0"/>
          <w:sz w:val="32"/>
          <w:szCs w:val="32"/>
          <w:lang w:val="en-US" w:eastAsia="zh-CN" w:bidi="ar-SA"/>
        </w:rPr>
        <w:t>12、社区惠民和网格化管理项目绩效自评综述：根据年初设定的绩效目标，项目绩效自评得分为100分。项目全年预算数为0万元，执行数为66.42万元，完成预算的100%。项目绩效目标完成情况：通过优化资源配置，提升管理效率，为居民提供更加便捷、高效、人性化的服务，实现社区的和谐稳定，提高居民的生活质量和幸福感。</w:t>
      </w:r>
    </w:p>
    <w:p w14:paraId="717BDD9B">
      <w:pPr>
        <w:pStyle w:val="7"/>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十五、其他重要事项情况说明</w:t>
      </w:r>
    </w:p>
    <w:p w14:paraId="2B5D610C">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本单位没有独立网站，因此只在株洲市石峰区区政府门户网财政预决算和三公经费公开专栏中公开。</w:t>
      </w:r>
    </w:p>
    <w:p w14:paraId="6D426B1F">
      <w:pPr>
        <w:pStyle w:val="16"/>
        <w:jc w:val="both"/>
        <w:rPr>
          <w:rFonts w:ascii="Times New Roman" w:hAnsi="Times New Roman" w:cs="Times New Roman"/>
          <w:sz w:val="84"/>
          <w:szCs w:val="84"/>
        </w:rPr>
      </w:pPr>
    </w:p>
    <w:p w14:paraId="72926A31">
      <w:pPr>
        <w:pStyle w:val="16"/>
        <w:jc w:val="both"/>
        <w:rPr>
          <w:rFonts w:ascii="Times New Roman" w:hAnsi="Times New Roman" w:cs="Times New Roman"/>
          <w:sz w:val="84"/>
          <w:szCs w:val="84"/>
        </w:rPr>
      </w:pPr>
    </w:p>
    <w:p w14:paraId="3B659064">
      <w:pPr>
        <w:pStyle w:val="16"/>
        <w:jc w:val="both"/>
        <w:rPr>
          <w:rFonts w:ascii="Times New Roman" w:hAnsi="Times New Roman" w:cs="Times New Roman"/>
          <w:sz w:val="84"/>
          <w:szCs w:val="84"/>
        </w:rPr>
      </w:pPr>
    </w:p>
    <w:p w14:paraId="3C06565D">
      <w:pPr>
        <w:pStyle w:val="16"/>
        <w:jc w:val="both"/>
        <w:rPr>
          <w:rFonts w:ascii="Times New Roman" w:hAnsi="Times New Roman" w:cs="Times New Roman"/>
          <w:sz w:val="84"/>
          <w:szCs w:val="84"/>
        </w:rPr>
      </w:pPr>
    </w:p>
    <w:p w14:paraId="1BF74B20">
      <w:pPr>
        <w:pStyle w:val="16"/>
        <w:jc w:val="both"/>
        <w:rPr>
          <w:rFonts w:ascii="Times New Roman" w:hAnsi="Times New Roman" w:cs="Times New Roman"/>
          <w:sz w:val="84"/>
          <w:szCs w:val="84"/>
        </w:rPr>
      </w:pPr>
      <w:bookmarkStart w:id="0" w:name="_GoBack"/>
      <w:bookmarkEnd w:id="0"/>
    </w:p>
    <w:p w14:paraId="0558AFB2">
      <w:pPr>
        <w:pStyle w:val="16"/>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第四部分</w:t>
      </w:r>
    </w:p>
    <w:p w14:paraId="2C410822">
      <w:pPr>
        <w:pStyle w:val="16"/>
        <w:jc w:val="center"/>
        <w:rPr>
          <w:rFonts w:ascii="Times New Roman" w:hAnsi="Times New Roman" w:eastAsia="方正小标宋简体" w:cs="Times New Roman"/>
          <w:sz w:val="76"/>
          <w:szCs w:val="76"/>
        </w:rPr>
      </w:pPr>
    </w:p>
    <w:p w14:paraId="37DAC089">
      <w:pPr>
        <w:pStyle w:val="16"/>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名词解释</w:t>
      </w:r>
    </w:p>
    <w:p w14:paraId="319E43F9">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方正小标宋简体" w:cs="Times New Roman"/>
          <w:sz w:val="32"/>
          <w:szCs w:val="32"/>
        </w:rPr>
        <w:br w:type="page"/>
      </w:r>
      <w:r>
        <w:rPr>
          <w:rFonts w:ascii="Times New Roman" w:hAnsi="Times New Roman" w:eastAsia="黑体" w:cs="Times New Roman"/>
          <w:color w:val="000000"/>
          <w:kern w:val="0"/>
          <w:sz w:val="32"/>
          <w:szCs w:val="32"/>
        </w:rPr>
        <w:t>一、财政拨款收入：</w:t>
      </w:r>
      <w:r>
        <w:rPr>
          <w:rFonts w:ascii="Times New Roman" w:hAnsi="Times New Roman" w:eastAsia="仿宋_GB2312" w:cs="Times New Roman"/>
          <w:color w:val="000000"/>
          <w:kern w:val="0"/>
          <w:sz w:val="32"/>
          <w:szCs w:val="32"/>
        </w:rPr>
        <w:t>指单位从同级财政部门取得的财政预算资金。</w:t>
      </w:r>
    </w:p>
    <w:p w14:paraId="152A9F86">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二、事业收入：</w:t>
      </w:r>
      <w:r>
        <w:rPr>
          <w:rFonts w:ascii="Times New Roman" w:hAnsi="Times New Roman" w:eastAsia="仿宋_GB2312" w:cs="Times New Roman"/>
          <w:color w:val="000000"/>
          <w:kern w:val="0"/>
          <w:sz w:val="32"/>
          <w:szCs w:val="32"/>
        </w:rPr>
        <w:t>指事业单位开展专业业务活动及辅助活动取得的收入。</w:t>
      </w:r>
    </w:p>
    <w:p w14:paraId="0BC64B24">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三、经营收入：</w:t>
      </w:r>
      <w:r>
        <w:rPr>
          <w:rFonts w:ascii="Times New Roman" w:hAnsi="Times New Roman" w:eastAsia="仿宋_GB2312" w:cs="Times New Roman"/>
          <w:color w:val="000000"/>
          <w:kern w:val="0"/>
          <w:sz w:val="32"/>
          <w:szCs w:val="32"/>
        </w:rPr>
        <w:t>指事业单位在专业业务活动及其辅助活动之外开展非独立核算经营活动取得的收入。</w:t>
      </w:r>
    </w:p>
    <w:p w14:paraId="7BB270A2">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四、其他收入：</w:t>
      </w:r>
      <w:r>
        <w:rPr>
          <w:rFonts w:ascii="Times New Roman" w:hAnsi="Times New Roman" w:eastAsia="仿宋_GB2312" w:cs="Times New Roman"/>
          <w:color w:val="000000"/>
          <w:kern w:val="0"/>
          <w:sz w:val="32"/>
          <w:szCs w:val="32"/>
        </w:rPr>
        <w:t>指单位取得的除上述收入以外的各项收入。</w:t>
      </w:r>
    </w:p>
    <w:p w14:paraId="1BF3A209">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五、用事业基金弥补收支差额：</w:t>
      </w:r>
      <w:r>
        <w:rPr>
          <w:rFonts w:ascii="Times New Roman" w:hAnsi="Times New Roman" w:eastAsia="仿宋_GB2312" w:cs="Times New Roman"/>
          <w:color w:val="000000"/>
          <w:kern w:val="0"/>
          <w:sz w:val="32"/>
          <w:szCs w:val="32"/>
        </w:rPr>
        <w:t>指事业单位在当年的财政拨款收入、事业收入、其他收入不足以安排当年支出的情况下，使用以前年度积累的事业基金（事业单位当年收支相抵后按国家规定提取、用于弥补以后年度收支差额的基金）弥补本年度收支缺口的资金。</w:t>
      </w:r>
    </w:p>
    <w:p w14:paraId="39899F79">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六、年初结转和结余：</w:t>
      </w:r>
      <w:r>
        <w:rPr>
          <w:rFonts w:ascii="Times New Roman" w:hAnsi="Times New Roman" w:eastAsia="仿宋_GB2312" w:cs="Times New Roman"/>
          <w:color w:val="000000"/>
          <w:kern w:val="0"/>
          <w:sz w:val="32"/>
          <w:szCs w:val="32"/>
        </w:rPr>
        <w:t>指单位以前年度尚未完成、结转到本年按有关规定继续使用的资金。</w:t>
      </w:r>
    </w:p>
    <w:p w14:paraId="4314FF55">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七、“三公经费”支出：</w:t>
      </w:r>
      <w:r>
        <w:rPr>
          <w:rFonts w:ascii="Times New Roman" w:hAnsi="Times New Roman" w:eastAsia="仿宋_GB2312" w:cs="Times New Roman"/>
          <w:color w:val="000000"/>
          <w:kern w:val="0"/>
          <w:sz w:val="32"/>
          <w:szCs w:val="32"/>
        </w:rPr>
        <w:t>指通过财政拨款资金安排的因公出国（境）费、公务用车购置及运行费和公务接待费支出。</w:t>
      </w:r>
    </w:p>
    <w:p w14:paraId="033D74FF">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八、机关运行经费：</w:t>
      </w:r>
      <w:r>
        <w:rPr>
          <w:rFonts w:ascii="Times New Roman" w:hAnsi="Times New Roman" w:eastAsia="仿宋_GB2312" w:cs="Times New Roman"/>
          <w:color w:val="000000"/>
          <w:kern w:val="0"/>
          <w:sz w:val="32"/>
          <w:szCs w:val="32"/>
        </w:rPr>
        <w:t>为保障行政单位（含参照公务员法管理的事业单位）运行用于购买货物和服务的各项资金，包括办公费、印刷费、咨询费、手续费、水费、电费、邮电费、取暖费、物业管理费、差旅费、因公出国（境）费、维修（护）费、租赁费、会议费、培训费、公务接待费、专用材料费、劳务费、委托业务费、工会经费、福利费、公务用车运行维护费以及其他费用等。</w:t>
      </w:r>
    </w:p>
    <w:p w14:paraId="4F6314E6">
      <w:pPr>
        <w:pStyle w:val="16"/>
        <w:jc w:val="both"/>
        <w:rPr>
          <w:rFonts w:hint="eastAsia" w:ascii="Times New Roman" w:hAnsi="Times New Roman" w:cs="Times New Roman"/>
          <w:sz w:val="72"/>
          <w:szCs w:val="72"/>
        </w:rPr>
      </w:pPr>
    </w:p>
    <w:p w14:paraId="7F425ED9">
      <w:pPr>
        <w:pStyle w:val="16"/>
        <w:jc w:val="both"/>
        <w:rPr>
          <w:rFonts w:ascii="Times New Roman" w:hAnsi="Times New Roman" w:cs="Times New Roman"/>
          <w:sz w:val="84"/>
          <w:szCs w:val="84"/>
        </w:rPr>
      </w:pPr>
    </w:p>
    <w:p w14:paraId="58F20E4D">
      <w:pPr>
        <w:pStyle w:val="16"/>
        <w:jc w:val="both"/>
        <w:rPr>
          <w:rFonts w:ascii="Times New Roman" w:hAnsi="Times New Roman" w:cs="Times New Roman"/>
          <w:sz w:val="84"/>
          <w:szCs w:val="84"/>
        </w:rPr>
      </w:pPr>
    </w:p>
    <w:p w14:paraId="6D4A6820">
      <w:pPr>
        <w:pStyle w:val="16"/>
        <w:jc w:val="center"/>
        <w:rPr>
          <w:rFonts w:ascii="Times New Roman" w:hAnsi="Times New Roman" w:eastAsia="方正小标宋简体" w:cs="Times New Roman"/>
          <w:sz w:val="56"/>
          <w:szCs w:val="56"/>
        </w:rPr>
      </w:pPr>
      <w:r>
        <w:rPr>
          <w:rFonts w:ascii="Times New Roman" w:hAnsi="Times New Roman" w:eastAsia="方正小标宋简体" w:cs="Times New Roman"/>
          <w:sz w:val="56"/>
          <w:szCs w:val="56"/>
        </w:rPr>
        <w:t>第五部分</w:t>
      </w:r>
    </w:p>
    <w:p w14:paraId="356FE390">
      <w:pPr>
        <w:pStyle w:val="16"/>
        <w:jc w:val="center"/>
        <w:rPr>
          <w:rFonts w:ascii="Times New Roman" w:hAnsi="Times New Roman" w:eastAsia="方正小标宋简体" w:cs="Times New Roman"/>
          <w:sz w:val="56"/>
          <w:szCs w:val="56"/>
        </w:rPr>
      </w:pPr>
    </w:p>
    <w:p w14:paraId="6A6C4865">
      <w:pPr>
        <w:pStyle w:val="16"/>
        <w:jc w:val="center"/>
        <w:rPr>
          <w:rFonts w:ascii="Times New Roman" w:hAnsi="Times New Roman" w:eastAsia="方正小标宋简体" w:cs="Times New Roman"/>
          <w:sz w:val="56"/>
          <w:szCs w:val="56"/>
        </w:rPr>
      </w:pPr>
      <w:r>
        <w:rPr>
          <w:rFonts w:ascii="Times New Roman" w:hAnsi="Times New Roman" w:eastAsia="方正小标宋简体" w:cs="Times New Roman"/>
          <w:sz w:val="56"/>
          <w:szCs w:val="56"/>
        </w:rPr>
        <w:t>附  件</w:t>
      </w:r>
    </w:p>
    <w:p w14:paraId="663A74E0">
      <w:pPr>
        <w:pStyle w:val="16"/>
        <w:spacing w:line="596" w:lineRule="exact"/>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br w:type="page"/>
      </w:r>
    </w:p>
    <w:p w14:paraId="25337D82">
      <w:pPr>
        <w:pStyle w:val="16"/>
        <w:spacing w:line="596" w:lineRule="exact"/>
        <w:jc w:val="center"/>
        <w:rPr>
          <w:rFonts w:hint="eastAsia" w:ascii="Times New Roman" w:hAnsi="Times New Roman" w:eastAsia="方正小标宋简体" w:cs="Times New Roman"/>
          <w:sz w:val="44"/>
          <w:szCs w:val="44"/>
          <w:lang w:eastAsia="zh-CN"/>
        </w:rPr>
      </w:pPr>
      <w:r>
        <w:rPr>
          <w:rFonts w:ascii="Times New Roman" w:hAnsi="Times New Roman" w:eastAsia="方正小标宋简体" w:cs="Times New Roman"/>
          <w:sz w:val="44"/>
          <w:szCs w:val="44"/>
        </w:rPr>
        <w:t>202</w:t>
      </w:r>
      <w:r>
        <w:rPr>
          <w:rFonts w:hint="eastAsia" w:ascii="Times New Roman" w:hAnsi="Times New Roman" w:eastAsia="方正小标宋简体" w:cs="Times New Roman"/>
          <w:sz w:val="44"/>
          <w:szCs w:val="44"/>
        </w:rPr>
        <w:t>3</w:t>
      </w:r>
      <w:r>
        <w:rPr>
          <w:rFonts w:ascii="Times New Roman" w:hAnsi="Times New Roman" w:eastAsia="方正小标宋简体" w:cs="Times New Roman"/>
          <w:sz w:val="44"/>
          <w:szCs w:val="44"/>
        </w:rPr>
        <w:t>年度部门整体支出绩效</w:t>
      </w:r>
      <w:r>
        <w:rPr>
          <w:rFonts w:hint="eastAsia" w:ascii="Times New Roman" w:hAnsi="Times New Roman" w:eastAsia="方正小标宋简体" w:cs="Times New Roman"/>
          <w:sz w:val="44"/>
          <w:szCs w:val="44"/>
          <w:lang w:eastAsia="zh-CN"/>
        </w:rPr>
        <w:t>自评报告</w:t>
      </w:r>
    </w:p>
    <w:p w14:paraId="6A45AAD0">
      <w:pPr>
        <w:pStyle w:val="16"/>
        <w:spacing w:line="596" w:lineRule="exact"/>
        <w:jc w:val="center"/>
        <w:rPr>
          <w:rFonts w:hint="eastAsia" w:ascii="Times New Roman" w:hAnsi="Times New Roman" w:eastAsia="方正小标宋简体" w:cs="Times New Roman"/>
          <w:sz w:val="32"/>
          <w:szCs w:val="32"/>
          <w:lang w:eastAsia="zh-CN"/>
        </w:rPr>
      </w:pPr>
    </w:p>
    <w:p w14:paraId="40FE7F95">
      <w:pPr>
        <w:pStyle w:val="16"/>
        <w:spacing w:line="596" w:lineRule="exact"/>
        <w:jc w:val="center"/>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详</w:t>
      </w:r>
      <w:r>
        <w:rPr>
          <w:rFonts w:hint="default" w:ascii="Times New Roman" w:hAnsi="Times New Roman" w:eastAsia="仿宋_GB2312" w:cs="Times New Roman"/>
          <w:sz w:val="32"/>
          <w:szCs w:val="32"/>
          <w:lang w:eastAsia="zh-CN"/>
        </w:rPr>
        <w:t>见附件</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w:t>
      </w:r>
    </w:p>
    <w:sectPr>
      <w:pgSz w:w="11906" w:h="16838"/>
      <w:pgMar w:top="1984" w:right="1531" w:bottom="1701" w:left="1531" w:header="851" w:footer="1191"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424C4">
    <w:pPr>
      <w:pStyle w:val="5"/>
      <w:rPr>
        <w:rFonts w:cs="Times New Roman"/>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03176FE">
                          <w:pPr>
                            <w:pStyle w:val="5"/>
                            <w:rPr>
                              <w:rFonts w:ascii="宋体" w:cs="Times New Roman"/>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25</w:t>
                          </w:r>
                          <w:r>
                            <w:rPr>
                              <w:rFonts w:ascii="宋体" w:hAnsi="宋体" w:cs="宋体"/>
                              <w:sz w:val="28"/>
                              <w:szCs w:val="28"/>
                            </w:rPr>
                            <w:fldChar w:fldCharType="end"/>
                          </w:r>
                          <w:r>
                            <w:rPr>
                              <w:rFonts w:ascii="宋体" w:hAnsi="宋体" w:cs="宋体"/>
                              <w:sz w:val="28"/>
                              <w:szCs w:val="28"/>
                            </w:rPr>
                            <w:t xml:space="preserve"> —</w:t>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aD3B88BAACqAwAADgAAAGRycy9lMm9Eb2MueG1srVPNjtMwEL4j8Q6W&#10;7zRpJ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YY2gTMnLD345fu3y49fl59f2bJc&#10;vU4K9QErKnwIVBqHOz+k6imOFEzEhxZs+hIlRnnS93zVVw2RyXRpvVqvS0pJys0O4RSP1wNgfKu8&#10;ZcmoOdADZl3F6T3GsXQuSd2cv9fGUFxUxv0VIMwxovIWTLcTk3HiZMVhP0w09r45E7ueNqHmjhaf&#10;M/POkdBpaWYDZmM/G8cA+tDRoMs8JYbbY6SR8qSpwwhLDJNDT5i5TuuWduRPP1c9/mLb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ZoPcHzwEAAKoDAAAOAAAAAAAAAAEAIAAAAB4BAABkcnMv&#10;ZTJvRG9jLnhtbFBLBQYAAAAABgAGAFkBAABfBQAAAAA=&#10;">
              <v:fill on="f" focussize="0,0"/>
              <v:stroke on="f"/>
              <v:imagedata o:title=""/>
              <o:lock v:ext="edit" aspectratio="f"/>
              <v:textbox inset="0mm,0mm,0mm,0mm" style="mso-fit-shape-to-text:t;">
                <w:txbxContent>
                  <w:p w14:paraId="403176FE">
                    <w:pPr>
                      <w:pStyle w:val="5"/>
                      <w:rPr>
                        <w:rFonts w:ascii="宋体" w:cs="Times New Roman"/>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25</w:t>
                    </w:r>
                    <w:r>
                      <w:rPr>
                        <w:rFonts w:ascii="宋体" w:hAnsi="宋体" w:cs="宋体"/>
                        <w:sz w:val="28"/>
                        <w:szCs w:val="28"/>
                      </w:rPr>
                      <w:fldChar w:fldCharType="end"/>
                    </w:r>
                    <w:r>
                      <w:rPr>
                        <w:rFonts w:ascii="宋体" w:hAnsi="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2B4549"/>
    <w:multiLevelType w:val="singleLevel"/>
    <w:tmpl w:val="A42B4549"/>
    <w:lvl w:ilvl="0" w:tentative="0">
      <w:start w:val="2"/>
      <w:numFmt w:val="chineseCounting"/>
      <w:suff w:val="nothing"/>
      <w:lvlText w:val="（%1）"/>
      <w:lvlJc w:val="left"/>
      <w:rPr>
        <w:rFonts w:hint="eastAsia"/>
      </w:rPr>
    </w:lvl>
  </w:abstractNum>
  <w:abstractNum w:abstractNumId="1">
    <w:nsid w:val="D209684F"/>
    <w:multiLevelType w:val="singleLevel"/>
    <w:tmpl w:val="D209684F"/>
    <w:lvl w:ilvl="0" w:tentative="0">
      <w:start w:val="1"/>
      <w:numFmt w:val="chineseCounting"/>
      <w:suff w:val="nothing"/>
      <w:lvlText w:val="%1、"/>
      <w:lvlJc w:val="left"/>
      <w:rPr>
        <w:rFonts w:hint="eastAsia"/>
      </w:rPr>
    </w:lvl>
  </w:abstractNum>
  <w:abstractNum w:abstractNumId="2">
    <w:nsid w:val="D525AA30"/>
    <w:multiLevelType w:val="singleLevel"/>
    <w:tmpl w:val="D525AA30"/>
    <w:lvl w:ilvl="0" w:tentative="0">
      <w:start w:val="2"/>
      <w:numFmt w:val="chineseCounting"/>
      <w:suff w:val="nothing"/>
      <w:lvlText w:val="（%1）"/>
      <w:lvlJc w:val="left"/>
      <w:rPr>
        <w:rFonts w:hint="eastAsia"/>
      </w:rPr>
    </w:lvl>
  </w:abstractNum>
  <w:abstractNum w:abstractNumId="3">
    <w:nsid w:val="EE5305A1"/>
    <w:multiLevelType w:val="singleLevel"/>
    <w:tmpl w:val="EE5305A1"/>
    <w:lvl w:ilvl="0" w:tentative="0">
      <w:start w:val="1"/>
      <w:numFmt w:val="chineseCounting"/>
      <w:suff w:val="nothing"/>
      <w:lvlText w:val="（%1）"/>
      <w:lvlJc w:val="left"/>
      <w:rPr>
        <w:rFonts w:hint="eastAsia"/>
      </w:rPr>
    </w:lvl>
  </w:abstractNum>
  <w:abstractNum w:abstractNumId="4">
    <w:nsid w:val="FF7BB02F"/>
    <w:multiLevelType w:val="singleLevel"/>
    <w:tmpl w:val="FF7BB02F"/>
    <w:lvl w:ilvl="0" w:tentative="0">
      <w:start w:val="10"/>
      <w:numFmt w:val="chineseCounting"/>
      <w:suff w:val="nothing"/>
      <w:lvlText w:val="%1、"/>
      <w:lvlJc w:val="left"/>
      <w:rPr>
        <w:rFonts w:hint="eastAsia"/>
      </w:rPr>
    </w:lvl>
  </w:abstractNum>
  <w:abstractNum w:abstractNumId="5">
    <w:nsid w:val="07EB71D0"/>
    <w:multiLevelType w:val="multilevel"/>
    <w:tmpl w:val="07EB71D0"/>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6">
    <w:nsid w:val="2DC453B9"/>
    <w:multiLevelType w:val="singleLevel"/>
    <w:tmpl w:val="2DC453B9"/>
    <w:lvl w:ilvl="0" w:tentative="0">
      <w:start w:val="1"/>
      <w:numFmt w:val="decimal"/>
      <w:suff w:val="nothing"/>
      <w:lvlText w:val="%1、"/>
      <w:lvlJc w:val="left"/>
    </w:lvl>
  </w:abstractNum>
  <w:num w:numId="1">
    <w:abstractNumId w:val="5"/>
  </w:num>
  <w:num w:numId="2">
    <w:abstractNumId w:val="3"/>
  </w:num>
  <w:num w:numId="3">
    <w:abstractNumId w:val="1"/>
  </w:num>
  <w:num w:numId="4">
    <w:abstractNumId w:val="2"/>
  </w:num>
  <w:num w:numId="5">
    <w:abstractNumId w:val="6"/>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NotTrackMoves/>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1,3"/>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4MTNiMzQ5ZmVkMTRjODU4M2Y0MTgwMzQwNTIyYmUifQ=="/>
  </w:docVars>
  <w:rsids>
    <w:rsidRoot w:val="004506F9"/>
    <w:rsid w:val="00005205"/>
    <w:rsid w:val="0002229B"/>
    <w:rsid w:val="000273BD"/>
    <w:rsid w:val="000326BD"/>
    <w:rsid w:val="000415B7"/>
    <w:rsid w:val="00041E3F"/>
    <w:rsid w:val="00047162"/>
    <w:rsid w:val="000528EA"/>
    <w:rsid w:val="00055DAA"/>
    <w:rsid w:val="00061F7B"/>
    <w:rsid w:val="000658A3"/>
    <w:rsid w:val="00074155"/>
    <w:rsid w:val="000873EF"/>
    <w:rsid w:val="000A3521"/>
    <w:rsid w:val="000A3F69"/>
    <w:rsid w:val="000C263A"/>
    <w:rsid w:val="000D622D"/>
    <w:rsid w:val="000E4798"/>
    <w:rsid w:val="000E7A2C"/>
    <w:rsid w:val="000F7834"/>
    <w:rsid w:val="001010F1"/>
    <w:rsid w:val="00103957"/>
    <w:rsid w:val="001041C1"/>
    <w:rsid w:val="00120CBE"/>
    <w:rsid w:val="00124A1F"/>
    <w:rsid w:val="0014142C"/>
    <w:rsid w:val="00152C6D"/>
    <w:rsid w:val="00162D39"/>
    <w:rsid w:val="001678BD"/>
    <w:rsid w:val="00170E4E"/>
    <w:rsid w:val="00182373"/>
    <w:rsid w:val="001A67DB"/>
    <w:rsid w:val="001B2BE4"/>
    <w:rsid w:val="001C3C29"/>
    <w:rsid w:val="001D51E5"/>
    <w:rsid w:val="001E080D"/>
    <w:rsid w:val="001E53D0"/>
    <w:rsid w:val="001F0C3B"/>
    <w:rsid w:val="001F3A16"/>
    <w:rsid w:val="002019A2"/>
    <w:rsid w:val="00202C14"/>
    <w:rsid w:val="00202C82"/>
    <w:rsid w:val="00214427"/>
    <w:rsid w:val="00226CB7"/>
    <w:rsid w:val="0024329E"/>
    <w:rsid w:val="0024338B"/>
    <w:rsid w:val="00264552"/>
    <w:rsid w:val="00264EF9"/>
    <w:rsid w:val="00265724"/>
    <w:rsid w:val="00273A5E"/>
    <w:rsid w:val="0027426B"/>
    <w:rsid w:val="002E0A30"/>
    <w:rsid w:val="002E6A2A"/>
    <w:rsid w:val="002F51BE"/>
    <w:rsid w:val="0030641C"/>
    <w:rsid w:val="003130C4"/>
    <w:rsid w:val="00316C4B"/>
    <w:rsid w:val="0032192B"/>
    <w:rsid w:val="00324460"/>
    <w:rsid w:val="003479BD"/>
    <w:rsid w:val="00353306"/>
    <w:rsid w:val="0037197D"/>
    <w:rsid w:val="003768D5"/>
    <w:rsid w:val="003914B6"/>
    <w:rsid w:val="003C4197"/>
    <w:rsid w:val="003C47E6"/>
    <w:rsid w:val="003C4FC2"/>
    <w:rsid w:val="003D1405"/>
    <w:rsid w:val="003E2331"/>
    <w:rsid w:val="003E6275"/>
    <w:rsid w:val="003E70B1"/>
    <w:rsid w:val="003F56A4"/>
    <w:rsid w:val="00416E61"/>
    <w:rsid w:val="00426B15"/>
    <w:rsid w:val="0042790C"/>
    <w:rsid w:val="0043290F"/>
    <w:rsid w:val="00444FDC"/>
    <w:rsid w:val="00447C5A"/>
    <w:rsid w:val="004506F9"/>
    <w:rsid w:val="004717A2"/>
    <w:rsid w:val="00473DF3"/>
    <w:rsid w:val="00487911"/>
    <w:rsid w:val="00491741"/>
    <w:rsid w:val="004B0CEE"/>
    <w:rsid w:val="004C518E"/>
    <w:rsid w:val="004F3A05"/>
    <w:rsid w:val="00500E5F"/>
    <w:rsid w:val="005122EF"/>
    <w:rsid w:val="0051441A"/>
    <w:rsid w:val="005161BE"/>
    <w:rsid w:val="00517C33"/>
    <w:rsid w:val="00517D5F"/>
    <w:rsid w:val="00521AF2"/>
    <w:rsid w:val="00523644"/>
    <w:rsid w:val="0054069E"/>
    <w:rsid w:val="00544774"/>
    <w:rsid w:val="00544866"/>
    <w:rsid w:val="005767CC"/>
    <w:rsid w:val="005774C3"/>
    <w:rsid w:val="00590D9F"/>
    <w:rsid w:val="00595D26"/>
    <w:rsid w:val="005975E2"/>
    <w:rsid w:val="005A317E"/>
    <w:rsid w:val="005A74E6"/>
    <w:rsid w:val="005B404E"/>
    <w:rsid w:val="005B7582"/>
    <w:rsid w:val="005C12C8"/>
    <w:rsid w:val="005C5979"/>
    <w:rsid w:val="005D4D55"/>
    <w:rsid w:val="005E2CFB"/>
    <w:rsid w:val="005F2103"/>
    <w:rsid w:val="005F3D1C"/>
    <w:rsid w:val="00602320"/>
    <w:rsid w:val="006043C9"/>
    <w:rsid w:val="00612501"/>
    <w:rsid w:val="0062378F"/>
    <w:rsid w:val="00641842"/>
    <w:rsid w:val="00651EEC"/>
    <w:rsid w:val="00664B48"/>
    <w:rsid w:val="00686673"/>
    <w:rsid w:val="00691E8C"/>
    <w:rsid w:val="006A22C4"/>
    <w:rsid w:val="006A348B"/>
    <w:rsid w:val="006A351B"/>
    <w:rsid w:val="006B0422"/>
    <w:rsid w:val="006C1B53"/>
    <w:rsid w:val="006C6995"/>
    <w:rsid w:val="006D5E1B"/>
    <w:rsid w:val="006D7730"/>
    <w:rsid w:val="006E5284"/>
    <w:rsid w:val="006F3EB5"/>
    <w:rsid w:val="00702E34"/>
    <w:rsid w:val="00704395"/>
    <w:rsid w:val="00710FE7"/>
    <w:rsid w:val="00717621"/>
    <w:rsid w:val="00720FF1"/>
    <w:rsid w:val="00727A53"/>
    <w:rsid w:val="0073606A"/>
    <w:rsid w:val="0074082B"/>
    <w:rsid w:val="00760BC6"/>
    <w:rsid w:val="00783A35"/>
    <w:rsid w:val="00787B42"/>
    <w:rsid w:val="007C4539"/>
    <w:rsid w:val="007C6F0C"/>
    <w:rsid w:val="007E2D32"/>
    <w:rsid w:val="007F3657"/>
    <w:rsid w:val="008064EA"/>
    <w:rsid w:val="00812ED5"/>
    <w:rsid w:val="00817223"/>
    <w:rsid w:val="00824FDA"/>
    <w:rsid w:val="008277D9"/>
    <w:rsid w:val="00833DBD"/>
    <w:rsid w:val="0084478C"/>
    <w:rsid w:val="00847892"/>
    <w:rsid w:val="0086638C"/>
    <w:rsid w:val="008878D0"/>
    <w:rsid w:val="008A0ABD"/>
    <w:rsid w:val="008A3E8D"/>
    <w:rsid w:val="008D36EC"/>
    <w:rsid w:val="008E75DA"/>
    <w:rsid w:val="009237C4"/>
    <w:rsid w:val="00944C48"/>
    <w:rsid w:val="00950252"/>
    <w:rsid w:val="0095291E"/>
    <w:rsid w:val="0096582A"/>
    <w:rsid w:val="00967F5D"/>
    <w:rsid w:val="009719DB"/>
    <w:rsid w:val="00975212"/>
    <w:rsid w:val="009761D9"/>
    <w:rsid w:val="00981AFE"/>
    <w:rsid w:val="009A0F95"/>
    <w:rsid w:val="009B2C29"/>
    <w:rsid w:val="009B3ADF"/>
    <w:rsid w:val="009B4BC7"/>
    <w:rsid w:val="009C3B52"/>
    <w:rsid w:val="009C4746"/>
    <w:rsid w:val="009C7ADE"/>
    <w:rsid w:val="009E6817"/>
    <w:rsid w:val="009E6E9A"/>
    <w:rsid w:val="009F24E3"/>
    <w:rsid w:val="00A01D2B"/>
    <w:rsid w:val="00A12713"/>
    <w:rsid w:val="00A229EF"/>
    <w:rsid w:val="00A42218"/>
    <w:rsid w:val="00A57140"/>
    <w:rsid w:val="00A70249"/>
    <w:rsid w:val="00A70B02"/>
    <w:rsid w:val="00A71D9F"/>
    <w:rsid w:val="00A92E9F"/>
    <w:rsid w:val="00AB2EF8"/>
    <w:rsid w:val="00AB695A"/>
    <w:rsid w:val="00AF60C0"/>
    <w:rsid w:val="00B12AB3"/>
    <w:rsid w:val="00B13B87"/>
    <w:rsid w:val="00B17983"/>
    <w:rsid w:val="00B33BEA"/>
    <w:rsid w:val="00B57C9F"/>
    <w:rsid w:val="00B63572"/>
    <w:rsid w:val="00B845B3"/>
    <w:rsid w:val="00B85D8B"/>
    <w:rsid w:val="00B93B74"/>
    <w:rsid w:val="00BB4A40"/>
    <w:rsid w:val="00BC79C5"/>
    <w:rsid w:val="00BD47BA"/>
    <w:rsid w:val="00BD6C3E"/>
    <w:rsid w:val="00BE3674"/>
    <w:rsid w:val="00C05CF1"/>
    <w:rsid w:val="00C10681"/>
    <w:rsid w:val="00C16881"/>
    <w:rsid w:val="00C3049A"/>
    <w:rsid w:val="00C31B1E"/>
    <w:rsid w:val="00C34068"/>
    <w:rsid w:val="00C52CCA"/>
    <w:rsid w:val="00C5598E"/>
    <w:rsid w:val="00C62C50"/>
    <w:rsid w:val="00C77645"/>
    <w:rsid w:val="00CE04C3"/>
    <w:rsid w:val="00CE76A0"/>
    <w:rsid w:val="00CF62EF"/>
    <w:rsid w:val="00CF7390"/>
    <w:rsid w:val="00D055F6"/>
    <w:rsid w:val="00D148C6"/>
    <w:rsid w:val="00D17A8A"/>
    <w:rsid w:val="00D415BA"/>
    <w:rsid w:val="00D46BD7"/>
    <w:rsid w:val="00D52066"/>
    <w:rsid w:val="00D63780"/>
    <w:rsid w:val="00D63DDE"/>
    <w:rsid w:val="00D644EE"/>
    <w:rsid w:val="00D75489"/>
    <w:rsid w:val="00D855D0"/>
    <w:rsid w:val="00DD06FF"/>
    <w:rsid w:val="00DD5FE9"/>
    <w:rsid w:val="00DE4EB3"/>
    <w:rsid w:val="00E00C7A"/>
    <w:rsid w:val="00E13932"/>
    <w:rsid w:val="00E209CF"/>
    <w:rsid w:val="00E25314"/>
    <w:rsid w:val="00E37D6C"/>
    <w:rsid w:val="00E46354"/>
    <w:rsid w:val="00E467AF"/>
    <w:rsid w:val="00E55AC3"/>
    <w:rsid w:val="00E55B68"/>
    <w:rsid w:val="00E67BE6"/>
    <w:rsid w:val="00E8683C"/>
    <w:rsid w:val="00EA2B72"/>
    <w:rsid w:val="00EC4F00"/>
    <w:rsid w:val="00F21988"/>
    <w:rsid w:val="00F4725C"/>
    <w:rsid w:val="00F74360"/>
    <w:rsid w:val="00FB462F"/>
    <w:rsid w:val="00FD0A50"/>
    <w:rsid w:val="00FE16FA"/>
    <w:rsid w:val="00FE328A"/>
    <w:rsid w:val="00FE6269"/>
    <w:rsid w:val="00FF5CD6"/>
    <w:rsid w:val="01CF1907"/>
    <w:rsid w:val="028C1D30"/>
    <w:rsid w:val="034C4062"/>
    <w:rsid w:val="039C1405"/>
    <w:rsid w:val="04DD52D3"/>
    <w:rsid w:val="04FD6D41"/>
    <w:rsid w:val="05D62B16"/>
    <w:rsid w:val="06915006"/>
    <w:rsid w:val="0693724B"/>
    <w:rsid w:val="07031DF4"/>
    <w:rsid w:val="0751274D"/>
    <w:rsid w:val="07634BF4"/>
    <w:rsid w:val="07A77932"/>
    <w:rsid w:val="081B021A"/>
    <w:rsid w:val="082B2743"/>
    <w:rsid w:val="08F14AE1"/>
    <w:rsid w:val="0B567F72"/>
    <w:rsid w:val="0B911EE2"/>
    <w:rsid w:val="0BDA00FF"/>
    <w:rsid w:val="0C7C6B53"/>
    <w:rsid w:val="0D3F15F5"/>
    <w:rsid w:val="0EF6245F"/>
    <w:rsid w:val="0FF17F33"/>
    <w:rsid w:val="102D2243"/>
    <w:rsid w:val="10A4566F"/>
    <w:rsid w:val="10AC3EE9"/>
    <w:rsid w:val="11A738BE"/>
    <w:rsid w:val="11E43B98"/>
    <w:rsid w:val="12004238"/>
    <w:rsid w:val="125603FE"/>
    <w:rsid w:val="133774B3"/>
    <w:rsid w:val="134F24D1"/>
    <w:rsid w:val="13692089"/>
    <w:rsid w:val="164A613F"/>
    <w:rsid w:val="17C84704"/>
    <w:rsid w:val="18985D2F"/>
    <w:rsid w:val="18FA38C9"/>
    <w:rsid w:val="193D3CC1"/>
    <w:rsid w:val="1B323160"/>
    <w:rsid w:val="1B714E5F"/>
    <w:rsid w:val="1B7A32A9"/>
    <w:rsid w:val="1B7D1D3E"/>
    <w:rsid w:val="1CD37479"/>
    <w:rsid w:val="1DC33571"/>
    <w:rsid w:val="1E532BCB"/>
    <w:rsid w:val="1EBE63A2"/>
    <w:rsid w:val="1F041D62"/>
    <w:rsid w:val="1F6317DE"/>
    <w:rsid w:val="1F745786"/>
    <w:rsid w:val="21B1218A"/>
    <w:rsid w:val="238B2E7B"/>
    <w:rsid w:val="243C3867"/>
    <w:rsid w:val="247E702A"/>
    <w:rsid w:val="24841261"/>
    <w:rsid w:val="25016873"/>
    <w:rsid w:val="2AD95BF4"/>
    <w:rsid w:val="2BB46904"/>
    <w:rsid w:val="2C0D394E"/>
    <w:rsid w:val="2C2B6A5A"/>
    <w:rsid w:val="2C6B4B34"/>
    <w:rsid w:val="2CBA073F"/>
    <w:rsid w:val="2CDA3A2B"/>
    <w:rsid w:val="2E0E0B66"/>
    <w:rsid w:val="2F101369"/>
    <w:rsid w:val="30EF04EE"/>
    <w:rsid w:val="321264B2"/>
    <w:rsid w:val="32147A91"/>
    <w:rsid w:val="321612FC"/>
    <w:rsid w:val="32B56379"/>
    <w:rsid w:val="341361EB"/>
    <w:rsid w:val="346F4329"/>
    <w:rsid w:val="35240194"/>
    <w:rsid w:val="377C43E2"/>
    <w:rsid w:val="38090922"/>
    <w:rsid w:val="389A0EB4"/>
    <w:rsid w:val="38BD4033"/>
    <w:rsid w:val="38D75D21"/>
    <w:rsid w:val="395219B1"/>
    <w:rsid w:val="3A192D6D"/>
    <w:rsid w:val="3A8F1D11"/>
    <w:rsid w:val="3B4D02B5"/>
    <w:rsid w:val="3D363509"/>
    <w:rsid w:val="3F6F4477"/>
    <w:rsid w:val="3F993113"/>
    <w:rsid w:val="3FB61D28"/>
    <w:rsid w:val="404C0DEF"/>
    <w:rsid w:val="41025721"/>
    <w:rsid w:val="45CC01FF"/>
    <w:rsid w:val="45DC6B80"/>
    <w:rsid w:val="46BE0A2A"/>
    <w:rsid w:val="472236C4"/>
    <w:rsid w:val="47867568"/>
    <w:rsid w:val="47C05439"/>
    <w:rsid w:val="4B1C68ED"/>
    <w:rsid w:val="4B8003CD"/>
    <w:rsid w:val="4C73261A"/>
    <w:rsid w:val="4C744ACC"/>
    <w:rsid w:val="4F976C0B"/>
    <w:rsid w:val="4F9D59F5"/>
    <w:rsid w:val="50CC33A6"/>
    <w:rsid w:val="523F5138"/>
    <w:rsid w:val="52FE123E"/>
    <w:rsid w:val="532635D8"/>
    <w:rsid w:val="538D47D7"/>
    <w:rsid w:val="538E105C"/>
    <w:rsid w:val="53BF69FD"/>
    <w:rsid w:val="56094503"/>
    <w:rsid w:val="560C15C4"/>
    <w:rsid w:val="591A5257"/>
    <w:rsid w:val="596D2336"/>
    <w:rsid w:val="5A070C34"/>
    <w:rsid w:val="5A196F77"/>
    <w:rsid w:val="5C3517A6"/>
    <w:rsid w:val="5D2E7409"/>
    <w:rsid w:val="5DDC3C13"/>
    <w:rsid w:val="600A2C1F"/>
    <w:rsid w:val="601215FF"/>
    <w:rsid w:val="60841B7E"/>
    <w:rsid w:val="61BA74D9"/>
    <w:rsid w:val="635D15B9"/>
    <w:rsid w:val="63E2180F"/>
    <w:rsid w:val="643F3AE2"/>
    <w:rsid w:val="64714AD2"/>
    <w:rsid w:val="64857E64"/>
    <w:rsid w:val="64E367C5"/>
    <w:rsid w:val="65965345"/>
    <w:rsid w:val="65F04BE5"/>
    <w:rsid w:val="6620019A"/>
    <w:rsid w:val="68E8522C"/>
    <w:rsid w:val="6A484E25"/>
    <w:rsid w:val="6B7D28AC"/>
    <w:rsid w:val="6CE53866"/>
    <w:rsid w:val="6E0F6D2F"/>
    <w:rsid w:val="6EAE4254"/>
    <w:rsid w:val="6FDB6702"/>
    <w:rsid w:val="71BF5B5E"/>
    <w:rsid w:val="726F35D9"/>
    <w:rsid w:val="74205B29"/>
    <w:rsid w:val="75B37E59"/>
    <w:rsid w:val="75F714AD"/>
    <w:rsid w:val="76931B5A"/>
    <w:rsid w:val="77F7075B"/>
    <w:rsid w:val="78081C98"/>
    <w:rsid w:val="78B505E9"/>
    <w:rsid w:val="7B5C533F"/>
    <w:rsid w:val="7CC145C3"/>
    <w:rsid w:val="7DC2177C"/>
    <w:rsid w:val="7E37430E"/>
    <w:rsid w:val="7EAA7C1A"/>
    <w:rsid w:val="7F88358F"/>
    <w:rsid w:val="7FCF43C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1"/>
    <w:semiHidden/>
    <w:qFormat/>
    <w:uiPriority w:val="99"/>
    <w:pPr>
      <w:jc w:val="left"/>
    </w:pPr>
  </w:style>
  <w:style w:type="paragraph" w:styleId="3">
    <w:name w:val="Body Text"/>
    <w:basedOn w:val="1"/>
    <w:next w:val="1"/>
    <w:link w:val="12"/>
    <w:qFormat/>
    <w:uiPriority w:val="99"/>
    <w:pPr>
      <w:spacing w:before="100" w:beforeAutospacing="1" w:after="120"/>
    </w:pPr>
    <w:rPr>
      <w:rFonts w:ascii="Times New Roman" w:hAnsi="Times New Roman" w:cs="Times New Roman"/>
    </w:rPr>
  </w:style>
  <w:style w:type="paragraph" w:styleId="4">
    <w:name w:val="Balloon Text"/>
    <w:basedOn w:val="1"/>
    <w:link w:val="13"/>
    <w:semiHidden/>
    <w:qFormat/>
    <w:uiPriority w:val="99"/>
    <w:rPr>
      <w:sz w:val="18"/>
      <w:szCs w:val="18"/>
    </w:rPr>
  </w:style>
  <w:style w:type="paragraph" w:styleId="5">
    <w:name w:val="footer"/>
    <w:basedOn w:val="1"/>
    <w:link w:val="14"/>
    <w:qFormat/>
    <w:uiPriority w:val="99"/>
    <w:pPr>
      <w:tabs>
        <w:tab w:val="center" w:pos="4153"/>
        <w:tab w:val="right" w:pos="8306"/>
      </w:tabs>
      <w:snapToGrid w:val="0"/>
      <w:jc w:val="left"/>
    </w:pPr>
    <w:rPr>
      <w:sz w:val="18"/>
      <w:szCs w:val="18"/>
    </w:rPr>
  </w:style>
  <w:style w:type="paragraph" w:styleId="6">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rPr>
      <w:sz w:val="24"/>
    </w:rPr>
  </w:style>
  <w:style w:type="character" w:styleId="10">
    <w:name w:val="annotation reference"/>
    <w:basedOn w:val="9"/>
    <w:semiHidden/>
    <w:qFormat/>
    <w:uiPriority w:val="99"/>
    <w:rPr>
      <w:sz w:val="21"/>
      <w:szCs w:val="21"/>
    </w:rPr>
  </w:style>
  <w:style w:type="character" w:customStyle="1" w:styleId="11">
    <w:name w:val="批注文字 Char"/>
    <w:basedOn w:val="9"/>
    <w:link w:val="2"/>
    <w:semiHidden/>
    <w:qFormat/>
    <w:locked/>
    <w:uiPriority w:val="99"/>
    <w:rPr>
      <w:rFonts w:ascii="Calibri" w:hAnsi="Calibri" w:cs="Calibri"/>
      <w:sz w:val="21"/>
      <w:szCs w:val="21"/>
    </w:rPr>
  </w:style>
  <w:style w:type="character" w:customStyle="1" w:styleId="12">
    <w:name w:val="正文文本 Char"/>
    <w:basedOn w:val="9"/>
    <w:link w:val="3"/>
    <w:qFormat/>
    <w:locked/>
    <w:uiPriority w:val="99"/>
    <w:rPr>
      <w:rFonts w:eastAsia="宋体"/>
      <w:kern w:val="2"/>
      <w:sz w:val="21"/>
      <w:szCs w:val="21"/>
      <w:lang w:val="en-US" w:eastAsia="zh-CN"/>
    </w:rPr>
  </w:style>
  <w:style w:type="character" w:customStyle="1" w:styleId="13">
    <w:name w:val="批注框文本 Char"/>
    <w:basedOn w:val="9"/>
    <w:link w:val="4"/>
    <w:semiHidden/>
    <w:qFormat/>
    <w:locked/>
    <w:uiPriority w:val="99"/>
    <w:rPr>
      <w:sz w:val="18"/>
      <w:szCs w:val="18"/>
    </w:rPr>
  </w:style>
  <w:style w:type="character" w:customStyle="1" w:styleId="14">
    <w:name w:val="页脚 Char"/>
    <w:basedOn w:val="9"/>
    <w:link w:val="5"/>
    <w:qFormat/>
    <w:locked/>
    <w:uiPriority w:val="99"/>
    <w:rPr>
      <w:sz w:val="18"/>
      <w:szCs w:val="18"/>
    </w:rPr>
  </w:style>
  <w:style w:type="character" w:customStyle="1" w:styleId="15">
    <w:name w:val="页眉 Char"/>
    <w:basedOn w:val="9"/>
    <w:link w:val="6"/>
    <w:qFormat/>
    <w:locked/>
    <w:uiPriority w:val="99"/>
    <w:rPr>
      <w:sz w:val="18"/>
      <w:szCs w:val="18"/>
    </w:rPr>
  </w:style>
  <w:style w:type="paragraph" w:customStyle="1" w:styleId="16">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styleId="17">
    <w:name w:val="List Paragraph"/>
    <w:basedOn w:val="1"/>
    <w:qFormat/>
    <w:uiPriority w:val="99"/>
    <w:pPr>
      <w:ind w:firstLine="420" w:firstLineChars="200"/>
    </w:pPr>
  </w:style>
  <w:style w:type="paragraph" w:customStyle="1" w:styleId="18">
    <w:name w:val="msonormal"/>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9">
    <w:name w:val="正文文字"/>
    <w:basedOn w:val="1"/>
    <w:next w:val="1"/>
    <w:qFormat/>
    <w:uiPriority w:val="99"/>
    <w:pPr>
      <w:spacing w:before="100" w:beforeAutospacing="1" w:after="12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0BFD09-0E6B-4DA2-B428-6FA26A5E151E}">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22</Pages>
  <Words>7241</Words>
  <Characters>7782</Characters>
  <Lines>56</Lines>
  <Paragraphs>15</Paragraphs>
  <TotalTime>13</TotalTime>
  <ScaleCrop>false</ScaleCrop>
  <LinksUpToDate>false</LinksUpToDate>
  <CharactersWithSpaces>7820</CharactersWithSpaces>
  <Application>WPS Office_12.1.0.18334_F1E327BC-269C-435d-A152-05C5408002CA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Administrator</cp:lastModifiedBy>
  <cp:lastPrinted>2024-10-29T06:17:00Z</cp:lastPrinted>
  <dcterms:modified xsi:type="dcterms:W3CDTF">2024-10-21T03:26:27Z</dcterms:modified>
  <cp:revision>108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2052-12.1.0.18334</vt:lpwstr>
  </property>
  <property fmtid="{D5CDD505-2E9C-101B-9397-08002B2CF9AE}" pid="3" name="ICV">
    <vt:lpwstr>994C56F00BD649C8B3B859037155BC68_13</vt:lpwstr>
  </property>
</Properties>
</file>