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28F5D">
      <w:pPr>
        <w:pStyle w:val="16"/>
        <w:jc w:val="both"/>
        <w:rPr>
          <w:rFonts w:ascii="Times New Roman" w:hAnsi="Times New Roman" w:cs="Times New Roman"/>
          <w:sz w:val="56"/>
          <w:szCs w:val="56"/>
        </w:rPr>
      </w:pPr>
    </w:p>
    <w:p w14:paraId="04FA1BD6">
      <w:pPr>
        <w:pStyle w:val="16"/>
        <w:jc w:val="both"/>
        <w:rPr>
          <w:rFonts w:ascii="Times New Roman" w:hAnsi="Times New Roman" w:cs="Times New Roman"/>
          <w:sz w:val="56"/>
          <w:szCs w:val="56"/>
        </w:rPr>
      </w:pPr>
    </w:p>
    <w:p w14:paraId="777D6886">
      <w:pPr>
        <w:pStyle w:val="16"/>
        <w:jc w:val="both"/>
        <w:rPr>
          <w:rFonts w:ascii="Times New Roman" w:hAnsi="Times New Roman" w:cs="Times New Roman"/>
          <w:sz w:val="84"/>
          <w:szCs w:val="84"/>
        </w:rPr>
      </w:pPr>
    </w:p>
    <w:p w14:paraId="39A2EF36">
      <w:pPr>
        <w:pStyle w:val="16"/>
        <w:jc w:val="center"/>
        <w:rPr>
          <w:rFonts w:ascii="Times New Roman" w:hAnsi="Times New Roman" w:eastAsia="方正小标宋简体" w:cs="Times New Roman"/>
          <w:sz w:val="76"/>
          <w:szCs w:val="76"/>
        </w:rPr>
      </w:pPr>
    </w:p>
    <w:p w14:paraId="10696728">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5DD3A247">
      <w:pPr>
        <w:pStyle w:val="16"/>
        <w:jc w:val="center"/>
        <w:rPr>
          <w:rFonts w:ascii="Times New Roman" w:hAnsi="Times New Roman" w:cs="Times New Roman"/>
        </w:rPr>
      </w:pPr>
      <w:r>
        <w:rPr>
          <w:rFonts w:hint="eastAsia" w:ascii="Times New Roman" w:hAnsi="Times New Roman" w:eastAsia="方正小标宋简体" w:cs="Times New Roman"/>
          <w:sz w:val="72"/>
          <w:szCs w:val="72"/>
        </w:rPr>
        <w:t>株洲市石峰区田心街道办事处</w:t>
      </w:r>
    </w:p>
    <w:p w14:paraId="78585C65">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6F026106">
      <w:pPr>
        <w:pStyle w:val="16"/>
        <w:jc w:val="both"/>
        <w:rPr>
          <w:rFonts w:ascii="Times New Roman" w:hAnsi="Times New Roman" w:cs="Times New Roman"/>
          <w:sz w:val="32"/>
          <w:szCs w:val="32"/>
        </w:rPr>
      </w:pPr>
    </w:p>
    <w:p w14:paraId="3A0D9643">
      <w:pPr>
        <w:pStyle w:val="16"/>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14:paraId="6DBC2577">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rPr>
        <w:t>株洲市石峰区田心街道办事处</w:t>
      </w:r>
      <w:r>
        <w:rPr>
          <w:rFonts w:ascii="Times New Roman" w:hAnsi="Times New Roman" w:cs="Times New Roman"/>
          <w:sz w:val="32"/>
          <w:szCs w:val="32"/>
        </w:rPr>
        <w:t>概况</w:t>
      </w:r>
    </w:p>
    <w:p w14:paraId="72600FA0">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674867A">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3C535B17">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65DC6C42">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C532D58">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49C1421">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D9372F5">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3580A5D">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ADBBEA6">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08886D5">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30647283">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163B03FD">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41D09CF1">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144E17A2">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EAA3B89">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C0180BC">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CCF6F2A">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9A0DBE4">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DF3F072">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CC98C81">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3300B22F">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1E50163">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6B9AD0C8">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10376FBF">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11382D76">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4E9D7EDE">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3E856F8D">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5F99ADE8">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572D751E">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4DA86E63">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011AB4DB">
      <w:pPr>
        <w:pStyle w:val="16"/>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4C8A8E17">
      <w:pPr>
        <w:pStyle w:val="16"/>
        <w:jc w:val="both"/>
        <w:rPr>
          <w:rFonts w:ascii="Times New Roman" w:hAnsi="Times New Roman" w:cs="Times New Roman"/>
          <w:sz w:val="84"/>
          <w:szCs w:val="84"/>
        </w:rPr>
      </w:pPr>
    </w:p>
    <w:p w14:paraId="1FA44CAA">
      <w:pPr>
        <w:pStyle w:val="16"/>
        <w:jc w:val="both"/>
        <w:rPr>
          <w:rFonts w:ascii="Times New Roman" w:hAnsi="Times New Roman" w:cs="Times New Roman"/>
          <w:sz w:val="84"/>
          <w:szCs w:val="84"/>
        </w:rPr>
      </w:pPr>
    </w:p>
    <w:p w14:paraId="282E13E0">
      <w:pPr>
        <w:pStyle w:val="16"/>
        <w:jc w:val="center"/>
        <w:rPr>
          <w:rFonts w:ascii="Times New Roman" w:hAnsi="Times New Roman" w:eastAsia="方正小标宋简体" w:cs="Times New Roman"/>
          <w:w w:val="90"/>
          <w:sz w:val="76"/>
          <w:szCs w:val="76"/>
        </w:rPr>
      </w:pPr>
    </w:p>
    <w:p w14:paraId="6DC00067">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1BA9E2E3">
      <w:pPr>
        <w:pStyle w:val="16"/>
        <w:jc w:val="center"/>
        <w:rPr>
          <w:rFonts w:ascii="Times New Roman" w:hAnsi="Times New Roman" w:eastAsia="方正小标宋简体" w:cs="Times New Roman"/>
          <w:sz w:val="76"/>
          <w:szCs w:val="76"/>
        </w:rPr>
      </w:pPr>
    </w:p>
    <w:p w14:paraId="399476D1">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株洲市石峰区田心街道办事处</w:t>
      </w:r>
    </w:p>
    <w:p w14:paraId="6F2DF653">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14:paraId="6AD29435">
      <w:pPr>
        <w:pStyle w:val="17"/>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5F10F452">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（一）在区委、区政府的领导下，贯彻执行党的路线、方针、政策和国家的各项法律、法规；负责街道辖区内的地区性、群众性、公益性、社会性工作。</w:t>
      </w:r>
    </w:p>
    <w:p w14:paraId="5E46DD0E">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（二）负责精神文明建设工作，积极组织以提高市民质素为目的的活动，树立文明新风。</w:t>
      </w:r>
    </w:p>
    <w:p w14:paraId="7BB02844">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（三）按照职责范围，负责街道辖区内的城市建设和管理、市容环境卫生、环境保护工作。</w:t>
      </w:r>
    </w:p>
    <w:p w14:paraId="4AF39EB1">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（四）负责街道辖区内的维护稳定及社会治安综合治理工作，依照有关规定做好出租屋和外来暂住人员的管理工作；负责普法教育工作，民事调解，法律服务工作，维护居民的合法权益。</w:t>
      </w:r>
    </w:p>
    <w:p w14:paraId="2ED53379">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（五）负责社区建设和管理，积极开展社区服务工作，发动和组织社区成员开展各类社区公益活动；负责拥军优属、优抚安置、社会救济、社会福利、社区文化、科普、体育、教育等工作。</w:t>
      </w:r>
    </w:p>
    <w:p w14:paraId="7239C1D1">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负责社区、村集体经济的监督管理工作。</w:t>
      </w:r>
    </w:p>
    <w:p w14:paraId="1306BEBE">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负责计划生育、劳动就业、社会保障、安全生产管理、民兵、兵役等工作。</w:t>
      </w:r>
    </w:p>
    <w:p w14:paraId="3893640D">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（八）指导和帮助居民委员会（村）搞好组织建设和制度建设，发挥居委会（村）的群众自治组织作用。</w:t>
      </w:r>
    </w:p>
    <w:p w14:paraId="4AA5D94E">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（九）配合有关部门做好防汛、防火、防旱、防震、防灾、抢险、征地和房屋拆迁及重大动物疫情防控工作。</w:t>
      </w:r>
    </w:p>
    <w:p w14:paraId="69DADD5F">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（十）向区人民政府反映居民群众的意见和要求，办理人民群众来信来访事项。</w:t>
      </w:r>
    </w:p>
    <w:p w14:paraId="0FEFB863">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14:paraId="3A15C0D1">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内设机构设置。株洲市石峰区田心街道办事处单位内设机构包括：街道办事处下设11个办公室，即党政办、党建办、城管办、公共安全办、生态环境办、党群服务中心、网格化管理站、退役军人服务站、综合行政执法大队、财政所、司法所；本部门共有编制人数 35人，实有人数34人；还包括7个社区居委会：田心、北岭、南峰、叫鸡岭、东门、泉塘湾、田心村。</w:t>
      </w:r>
    </w:p>
    <w:p w14:paraId="330D6653">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（二）决算单位构成。株洲市石峰区田心街道办事处单位</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3年部门决算汇总公开单位构成包括：株洲市石峰区田心街道办事处单位本级。</w:t>
      </w:r>
    </w:p>
    <w:p w14:paraId="58BE1B08">
      <w:pPr>
        <w:pStyle w:val="16"/>
        <w:jc w:val="both"/>
        <w:rPr>
          <w:rFonts w:ascii="Times New Roman" w:hAnsi="Times New Roman" w:cs="Times New Roman"/>
          <w:sz w:val="84"/>
          <w:szCs w:val="84"/>
        </w:rPr>
      </w:pPr>
    </w:p>
    <w:p w14:paraId="3DD846CF">
      <w:pPr>
        <w:pStyle w:val="16"/>
        <w:jc w:val="both"/>
        <w:rPr>
          <w:rFonts w:ascii="Times New Roman" w:hAnsi="Times New Roman" w:cs="Times New Roman"/>
          <w:sz w:val="84"/>
          <w:szCs w:val="84"/>
        </w:rPr>
      </w:pPr>
    </w:p>
    <w:p w14:paraId="5CF00ADC">
      <w:pPr>
        <w:pStyle w:val="16"/>
        <w:jc w:val="both"/>
        <w:rPr>
          <w:rFonts w:ascii="Times New Roman" w:hAnsi="Times New Roman" w:cs="Times New Roman"/>
          <w:sz w:val="84"/>
          <w:szCs w:val="84"/>
        </w:rPr>
      </w:pPr>
    </w:p>
    <w:p w14:paraId="23508CAB">
      <w:pPr>
        <w:pStyle w:val="16"/>
        <w:jc w:val="both"/>
        <w:rPr>
          <w:rFonts w:ascii="Times New Roman" w:hAnsi="Times New Roman" w:cs="Times New Roman"/>
          <w:sz w:val="84"/>
          <w:szCs w:val="84"/>
        </w:rPr>
      </w:pPr>
    </w:p>
    <w:p w14:paraId="6BEA6E5F">
      <w:pPr>
        <w:pStyle w:val="16"/>
        <w:jc w:val="both"/>
        <w:rPr>
          <w:rFonts w:ascii="Times New Roman" w:hAnsi="Times New Roman" w:cs="Times New Roman"/>
          <w:sz w:val="84"/>
          <w:szCs w:val="84"/>
        </w:rPr>
      </w:pPr>
    </w:p>
    <w:p w14:paraId="32A887D9">
      <w:pPr>
        <w:pStyle w:val="16"/>
        <w:jc w:val="both"/>
        <w:rPr>
          <w:rFonts w:ascii="Times New Roman" w:hAnsi="Times New Roman" w:cs="Times New Roman"/>
          <w:sz w:val="84"/>
          <w:szCs w:val="84"/>
        </w:rPr>
      </w:pPr>
    </w:p>
    <w:p w14:paraId="08CD17BE">
      <w:pPr>
        <w:pStyle w:val="16"/>
        <w:jc w:val="both"/>
        <w:rPr>
          <w:rFonts w:ascii="Times New Roman" w:hAnsi="Times New Roman" w:cs="Times New Roman"/>
          <w:sz w:val="84"/>
          <w:szCs w:val="84"/>
        </w:rPr>
      </w:pPr>
    </w:p>
    <w:p w14:paraId="408C2765">
      <w:pPr>
        <w:pStyle w:val="16"/>
        <w:jc w:val="both"/>
        <w:rPr>
          <w:rFonts w:ascii="Times New Roman" w:hAnsi="Times New Roman" w:cs="Times New Roman"/>
          <w:sz w:val="84"/>
          <w:szCs w:val="84"/>
        </w:rPr>
      </w:pPr>
    </w:p>
    <w:p w14:paraId="53159ECE">
      <w:pPr>
        <w:pStyle w:val="16"/>
        <w:jc w:val="both"/>
        <w:rPr>
          <w:rFonts w:ascii="Times New Roman" w:hAnsi="Times New Roman" w:cs="Times New Roman"/>
          <w:sz w:val="84"/>
          <w:szCs w:val="84"/>
        </w:rPr>
      </w:pPr>
    </w:p>
    <w:p w14:paraId="6F270397">
      <w:pPr>
        <w:pStyle w:val="16"/>
        <w:jc w:val="both"/>
        <w:rPr>
          <w:rFonts w:ascii="Times New Roman" w:hAnsi="Times New Roman" w:cs="Times New Roman"/>
          <w:sz w:val="84"/>
          <w:szCs w:val="84"/>
        </w:rPr>
      </w:pPr>
    </w:p>
    <w:p w14:paraId="0BDD141C">
      <w:pPr>
        <w:pStyle w:val="16"/>
        <w:jc w:val="both"/>
        <w:rPr>
          <w:rFonts w:ascii="Times New Roman" w:hAnsi="Times New Roman" w:cs="Times New Roman"/>
          <w:sz w:val="84"/>
          <w:szCs w:val="84"/>
        </w:rPr>
      </w:pPr>
    </w:p>
    <w:p w14:paraId="4CC7D561">
      <w:pPr>
        <w:pStyle w:val="16"/>
        <w:jc w:val="both"/>
        <w:rPr>
          <w:rFonts w:ascii="Times New Roman" w:hAnsi="Times New Roman" w:cs="Times New Roman"/>
          <w:sz w:val="84"/>
          <w:szCs w:val="84"/>
        </w:rPr>
      </w:pPr>
    </w:p>
    <w:p w14:paraId="1532B78A">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258A3D1F">
      <w:pPr>
        <w:pStyle w:val="16"/>
        <w:jc w:val="center"/>
        <w:rPr>
          <w:rFonts w:ascii="Times New Roman" w:hAnsi="Times New Roman" w:eastAsia="方正小标宋简体" w:cs="Times New Roman"/>
          <w:sz w:val="76"/>
          <w:szCs w:val="76"/>
        </w:rPr>
      </w:pPr>
    </w:p>
    <w:p w14:paraId="2B4488BF">
      <w:pPr>
        <w:pStyle w:val="16"/>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331C37C0">
      <w:pPr>
        <w:rPr>
          <w:rFonts w:ascii="Times New Roman" w:hAnsi="Times New Roman" w:eastAsia="仿宋_GB2312" w:cs="Times New Roman"/>
          <w:sz w:val="72"/>
          <w:szCs w:val="72"/>
        </w:rPr>
      </w:pPr>
    </w:p>
    <w:p w14:paraId="4BDA6A75">
      <w:pPr>
        <w:jc w:val="center"/>
        <w:rPr>
          <w:rFonts w:ascii="Times New Roman" w:hAnsi="Times New Roman" w:cs="Times New Roman"/>
          <w:sz w:val="32"/>
          <w:szCs w:val="32"/>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rPr>
        <w:t>（见附件1）</w:t>
      </w:r>
    </w:p>
    <w:p w14:paraId="31899ADB">
      <w:pPr>
        <w:pStyle w:val="16"/>
        <w:jc w:val="both"/>
        <w:rPr>
          <w:rFonts w:ascii="Times New Roman" w:hAnsi="Times New Roman" w:cs="Times New Roman"/>
          <w:sz w:val="84"/>
          <w:szCs w:val="84"/>
        </w:rPr>
      </w:pPr>
    </w:p>
    <w:p w14:paraId="0E0422BD">
      <w:pPr>
        <w:pStyle w:val="16"/>
        <w:jc w:val="both"/>
        <w:rPr>
          <w:rFonts w:hint="eastAsia" w:ascii="Times New Roman" w:hAnsi="Times New Roman" w:cs="Times New Roman"/>
          <w:sz w:val="84"/>
          <w:szCs w:val="84"/>
        </w:rPr>
      </w:pPr>
    </w:p>
    <w:p w14:paraId="45F4A4D2">
      <w:pPr>
        <w:pStyle w:val="16"/>
        <w:jc w:val="both"/>
        <w:rPr>
          <w:rFonts w:ascii="Times New Roman" w:hAnsi="Times New Roman" w:cs="Times New Roman"/>
          <w:sz w:val="84"/>
          <w:szCs w:val="84"/>
        </w:rPr>
      </w:pPr>
    </w:p>
    <w:p w14:paraId="1CA2FF31">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1E6F7462">
      <w:pPr>
        <w:pStyle w:val="16"/>
        <w:jc w:val="center"/>
        <w:rPr>
          <w:rFonts w:ascii="Times New Roman" w:hAnsi="Times New Roman" w:eastAsia="方正小标宋简体" w:cs="Times New Roman"/>
          <w:sz w:val="76"/>
          <w:szCs w:val="76"/>
        </w:rPr>
      </w:pPr>
    </w:p>
    <w:p w14:paraId="1BB6F93C">
      <w:pPr>
        <w:pStyle w:val="16"/>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40D02740">
      <w:pPr>
        <w:pStyle w:val="16"/>
        <w:numPr>
          <w:ilvl w:val="0"/>
          <w:numId w:val="2"/>
        </w:numPr>
        <w:spacing w:line="570" w:lineRule="exact"/>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14:paraId="50B351FD">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2023年度收入总计1100.82万元。与上年相比，增加305.18万元，增加38.36%，主要是因为一般公共服务支出增加139.51万元，文化事业和文化发展专项资金增加3万元，社区经费增加142.12万元，卫生健康支出增加10万元，城乡社区支出增加10.45万元，灾害防治及应急管理支出增加0.1万元。</w:t>
      </w:r>
    </w:p>
    <w:p w14:paraId="5C66FB3D">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2023年度支出总计1100.82万元。与上年相比，增加305.18万元，增加38.36%，主要是因为一般公共服务支出增加139.51万元，文化事业和文化发展专项资金增加3万元，社区经费增加142.12万元，卫生健康支出增加10万元，城乡社区支出增加10.45万元，灾害防治及应急管理支出增加0.1万元。</w:t>
      </w:r>
    </w:p>
    <w:p w14:paraId="267AF5F4">
      <w:pPr>
        <w:pStyle w:val="16"/>
        <w:numPr>
          <w:ilvl w:val="0"/>
          <w:numId w:val="2"/>
        </w:numPr>
        <w:spacing w:line="570" w:lineRule="exact"/>
        <w:jc w:val="both"/>
        <w:rPr>
          <w:rFonts w:ascii="Times New Roman" w:hAnsi="Times New Roman" w:cs="Times New Roman"/>
          <w:sz w:val="32"/>
          <w:szCs w:val="32"/>
        </w:rPr>
      </w:pPr>
      <w:r>
        <w:rPr>
          <w:rFonts w:ascii="Times New Roman" w:hAnsi="Times New Roman" w:cs="Times New Roman"/>
          <w:sz w:val="32"/>
          <w:szCs w:val="32"/>
        </w:rPr>
        <w:t>收入决算情况说明</w:t>
      </w:r>
    </w:p>
    <w:p w14:paraId="143534BF">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2023年度收入合计1100.82万元，其中：财政拨款收入1100.82万元，占100%；上级补助收入0万元，占0%；事业收入0万元，占0%；经营收入0万元，占0%；附属单位上缴收入0万元，占0%；其他收入0万元，占0%。</w:t>
      </w:r>
    </w:p>
    <w:p w14:paraId="32DA70C7">
      <w:pPr>
        <w:pStyle w:val="16"/>
        <w:numPr>
          <w:ilvl w:val="0"/>
          <w:numId w:val="2"/>
        </w:numPr>
        <w:spacing w:line="570" w:lineRule="exact"/>
        <w:jc w:val="both"/>
        <w:rPr>
          <w:rFonts w:ascii="Times New Roman" w:hAnsi="Times New Roman" w:cs="Times New Roman"/>
          <w:sz w:val="32"/>
          <w:szCs w:val="32"/>
        </w:rPr>
      </w:pPr>
      <w:r>
        <w:rPr>
          <w:rFonts w:ascii="Times New Roman" w:hAnsi="Times New Roman" w:cs="Times New Roman"/>
          <w:sz w:val="32"/>
          <w:szCs w:val="32"/>
        </w:rPr>
        <w:t>支出决算情况说明</w:t>
      </w:r>
    </w:p>
    <w:p w14:paraId="44247399">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2023年度支出合计1100.82万元，其中：基本支出590.02万元，占53.6%；项目支出510.8万元，占46.4%；上缴上级支出0万元，占0%；经营支出0万元，占0%；对附属单位补助支出0万元，占0%。</w:t>
      </w:r>
    </w:p>
    <w:p w14:paraId="75110BEB">
      <w:pPr>
        <w:pStyle w:val="16"/>
        <w:numPr>
          <w:ilvl w:val="0"/>
          <w:numId w:val="2"/>
        </w:numPr>
        <w:spacing w:line="570" w:lineRule="exact"/>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14:paraId="7E2C9964">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2023年度财政拨款收入总计1100.82万元。与上年相比，增加305.18万元，增加38.36%，主要是因为一般公共服务支出增加139.51万元，文化事业和文化发展专项资金增加3万元，社区经费增加142.12万元，卫生健康支出增加10万元，城乡社区支出增加10.45万元，灾害防治及应急管理支出增加0.1万元。</w:t>
      </w:r>
    </w:p>
    <w:p w14:paraId="508520DC">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2023年度财政拨款支出总计1100.82万元。与上年相比，增加305.18万元，增加38.36%，主要是因为一般公共服务支出增加139.51万元，文化事业和文化发展专项资金增加3万元，社区经费增加142.12万元，卫生健康支出增加10万元，城乡社区支出增加10.45万元，灾害防治及应急管理支出增加0.1万元。</w:t>
      </w:r>
    </w:p>
    <w:p w14:paraId="67B7637F">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78144781">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14:paraId="74297CD5">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2023年度财政拨款支出1100.82万元，占本年支出合计的100%，与上年相比，财政拨款支出增加305.18万元, 增加38.36%，主要是因为一般公共服务支出增加139.51万元，文化事业和文化发展专项资金增加3万元，社区经费增加142.12万元，卫生健康支出增加10万元，城乡社区支出增加10.45万元，灾害防治及应急管理支出增加0.1万元。</w:t>
      </w:r>
    </w:p>
    <w:p w14:paraId="6E77403E">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（二）财政拨款支出决算结构情况</w:t>
      </w:r>
    </w:p>
    <w:p w14:paraId="25176991">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2023年度财政拨款支出1100.82万元，主要用于以下方面：一般公共服务（类）支出658.26万元，占59.8%；外交支出0万元；国防支出0万元；公共安全支出0万元；科学技术支出0万元；文化旅游体育与传媒支出5万元，占0.45%；社会保障和就业支出416.53万元，占37.84%；卫生健康支出10万元，占0.91%；节能环保支出0万元；城乡社区支出10.45万元，占0.95%；农林水支出0万元；交通运输支出0万元；资源勘探工业信息等支出0万元；商业服务业等支出0万元；金融支出0万元；援助其他地区支出0万元；自然资源海洋气象等支出0万元；住房保障支出0万元；粮油物资储备支出0万元；国有资本经营预算支出0万元；灾害防治及应急管理支出0.58万元，占0.06%；其他支出0万元；债务还本支出0万元；债务付息支出0万元；抗疫特别国债安排的支出0万元。</w:t>
      </w:r>
    </w:p>
    <w:p w14:paraId="18CFE8A5">
      <w:pPr>
        <w:pStyle w:val="7"/>
        <w:autoSpaceDE w:val="0"/>
        <w:autoSpaceDN w:val="0"/>
        <w:adjustRightInd w:val="0"/>
        <w:spacing w:line="570" w:lineRule="exact"/>
        <w:ind w:firstLine="320" w:firstLineChars="1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（三）财政拨款支出决算具体情况</w:t>
      </w:r>
    </w:p>
    <w:p w14:paraId="7F7ED83A">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2023年度财政拨款支出年初预算数为874.97万元，支出决算数为1100.82万元，完成年初预算的125.81%，其中：</w:t>
      </w:r>
    </w:p>
    <w:p w14:paraId="7FF36877">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1、一般公共服务支出（类）政府办公厅（室）及相关机构事务（款）行政运行（项）。</w:t>
      </w:r>
    </w:p>
    <w:p w14:paraId="5D09D68D">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年初预算为510.38万元，支出决算为575.88万元，完成年初预算的100%，决算数与年初预算数持平。</w:t>
      </w:r>
    </w:p>
    <w:p w14:paraId="61B5C1C8">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2、一般公共服务支出（类）政府办公厅（室）及相关管理事务（款）一般行政管理事务（项）。</w:t>
      </w:r>
    </w:p>
    <w:p w14:paraId="290E49AE">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年初预算为61万元，支出决算为66.09万元，完成年初预算的100%，决算数与年初预算数持平。</w:t>
      </w:r>
    </w:p>
    <w:p w14:paraId="39538D09">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3、一般公共服务支出（类）政府办公厅（室）及相关管理事务（款）信访事务（项）。</w:t>
      </w:r>
    </w:p>
    <w:p w14:paraId="24D00663">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年初预算为0万元，支出决算为2.36万元，完成年初预算的100%，决算数大于年初预算数的主要原因是：增加2023年一季度全市信访重点工作奖励2.36万元。</w:t>
      </w:r>
    </w:p>
    <w:p w14:paraId="54FE5E22">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4、一般公共服务支出（类）政府办公厅（室）及相关管理事务（款）其他政府办公厅及相关管理事务（项）。</w:t>
      </w:r>
    </w:p>
    <w:p w14:paraId="2FBB3999">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年初预算为0万元，支出决算为7.31万元，完成年初预算的100%，决算数大于年初预算数的主要原因是：增加2022年度财源建设及争资工作先进单位奖励经费和陈爱华抚恤金、丧葬费7.31万元。</w:t>
      </w:r>
    </w:p>
    <w:p w14:paraId="0A38233A">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5、一般公共服务支出（类）发展与改革事务（款）事业运行（项）。</w:t>
      </w:r>
    </w:p>
    <w:p w14:paraId="03EB87DF">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年初预算为0万元，支出决算为3万元，完成年初预算的100%，决算数大于年初预算数的主要原因是：增加田心社区创文联点共建工作经费3万元。</w:t>
      </w:r>
    </w:p>
    <w:p w14:paraId="13BB578F">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6、一般公共服务支出（类）统计信息事务（款）专项普查活动（项）。</w:t>
      </w:r>
    </w:p>
    <w:p w14:paraId="0BBF3686">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年初预算为0万元，支出决算为3.62万元，完成年初预算的100%，决算数大于年初预算数的主要原因是：增加2023年全国第五次经济普查工作经费3.62万元。</w:t>
      </w:r>
    </w:p>
    <w:p w14:paraId="7E63ACB5">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7、文化旅游体育与传媒支出（类）其他文化旅游体育与传媒支出（款）其他文化旅游体育与传媒支出（项）。</w:t>
      </w:r>
    </w:p>
    <w:p w14:paraId="1B8EBA5B">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年初预算为0万元，支出决算为5万元，完成年初预算的100%，决算数大于年初预算数的主要原因是：增加中央支持地方公共文化服务体系建设绩效奖励补助资金及文化旅游发展专项资金叫鸡岭社区5万元。</w:t>
      </w:r>
    </w:p>
    <w:p w14:paraId="2A035E26">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8、社会保障和就业支出（类）民政管理事务（款）基层政权建设和社区治理（项）。</w:t>
      </w:r>
    </w:p>
    <w:p w14:paraId="39AF2A4E">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年初预算为303.59万元，支出决算为397.30万元，完成年初预算的130.86%，决算数大于年初预算数的主要原因是：增加社区人员工资、社保、惠民资金共计93.71万元。</w:t>
      </w:r>
    </w:p>
    <w:p w14:paraId="7A824A62">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8、社会保障和就业支出（类）残疾人事业（款）其他残疾人事业支出（项）。</w:t>
      </w:r>
    </w:p>
    <w:p w14:paraId="7E93384D">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年初预算为0万元，支出决算为8万元，完成年初预算的100%，决算数大于年初预算数的主要原因是：增加2022年市本级小区党建服务站建设资金8万元。</w:t>
      </w:r>
    </w:p>
    <w:p w14:paraId="2E1DC562">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9、社会保障和就业支出（类）退役军人管理事务（款）其他退役军人事务管理支出（项）。</w:t>
      </w:r>
    </w:p>
    <w:p w14:paraId="1E2857CB">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年初预算为0万元，支出决算为1.97万元，完成年初预算的100%，决算数大于年初预算数的主要原因是：增加2022年基层退役军人服务体系运行补助1.97万元。</w:t>
      </w:r>
    </w:p>
    <w:p w14:paraId="68DA916D">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10、社会保障和就业支出（类）其他社会保障和就业支出（款）其他社会保障和就业支出（项）。</w:t>
      </w:r>
    </w:p>
    <w:p w14:paraId="6B406796">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年初预算为0万元，支出决算为9.26万元，完成年初预算的100%，决算数大于年初预算数的主要原因是：增加2020年度、2021年度企业退休人员社会化管理服务经费9.26万元。</w:t>
      </w:r>
    </w:p>
    <w:p w14:paraId="77B47612">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11、卫生健康支出（类）公共卫生（款）突发公共卫生事件应急处理（项）。</w:t>
      </w:r>
    </w:p>
    <w:p w14:paraId="171B8053">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年初预算为0万元，支出决算为10万元，完成年初预算的100%，决算数大于年初预算数的主要原因是：增加东门社区和市县疫情防控财力补助资金10万元。</w:t>
      </w:r>
    </w:p>
    <w:p w14:paraId="26D12798">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12、城乡社区支出（类）城乡社区管理事务（款）行政运行（项）。</w:t>
      </w:r>
    </w:p>
    <w:p w14:paraId="6159F1BE">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年初预算为0万元，支出决算为2.69万元，完成年初预算的100%，决算数大于年初预算数的主要原因是：增加2023年区城管局派驻镇街在编人员经费2.69万元。</w:t>
      </w:r>
    </w:p>
    <w:p w14:paraId="311AFDF3">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13、城乡社区支出（类）城乡社区管理事务（款）其他城乡社区管理事务支出（项）。</w:t>
      </w:r>
    </w:p>
    <w:p w14:paraId="7792C0C5">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年初预算为0万元，支出决算为7.76万元，完成年初预算的100%，决算数大于年初预算数的主要原因是：增加综合行政执法大队试点工作经费和2022年创文整改工作经费7.76万元。</w:t>
      </w:r>
    </w:p>
    <w:p w14:paraId="252EC25F">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14、灾害防治及应急管理支出（类）应急管理事务（款）安全监管（项）。</w:t>
      </w:r>
    </w:p>
    <w:p w14:paraId="6E5BFFDC">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年初预算为0万元，支出决算为0.58万元，完成年初预算的100%，决算数大于年初预算数的主要原因是：增加2021年第四批安全生产和应急救援专项资金-乡镇（街道）应急能力建设奖补0.58万元。</w:t>
      </w:r>
    </w:p>
    <w:p w14:paraId="00CB7029">
      <w:pPr>
        <w:pStyle w:val="7"/>
        <w:numPr>
          <w:ilvl w:val="0"/>
          <w:numId w:val="3"/>
        </w:numPr>
        <w:autoSpaceDE w:val="0"/>
        <w:autoSpaceDN w:val="0"/>
        <w:adjustRightInd w:val="0"/>
        <w:spacing w:line="570" w:lineRule="exac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一般公共预算财政拨款基本支出决算情况说明</w:t>
      </w:r>
    </w:p>
    <w:p w14:paraId="055E5D55">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2023年度财政拨款基本支出590.02万元，其中：人员经费485.40万元，占基本支出的82.26%,主要包括基本工资、津贴补贴、奖金；公用经费104.62万元，占基本支出的17.73%，主要包括办公费、印刷费、咨询费、手续费、伙食补助费。</w:t>
      </w:r>
    </w:p>
    <w:p w14:paraId="6A210D9E">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6DD2763D">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11DAA2CB">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2023年度“三公”经费财政拨款支出预算为</w:t>
      </w:r>
      <w:r>
        <w:rPr>
          <w:rFonts w:hint="eastAsia" w:ascii="Times New Roman" w:hAnsi="Times New Roman" w:eastAsia="仿宋" w:cs="Times New Roman"/>
          <w:sz w:val="32"/>
          <w:szCs w:val="32"/>
        </w:rPr>
        <w:t>0.1</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万元，完成预算的</w:t>
      </w:r>
      <w:r>
        <w:rPr>
          <w:rFonts w:hint="eastAsia" w:ascii="Times New Roman" w:hAnsi="Times New Roman" w:eastAsia="仿宋" w:cs="Times New Roman"/>
          <w:sz w:val="32"/>
          <w:szCs w:val="32"/>
        </w:rPr>
        <w:t>0</w:t>
      </w:r>
      <w:r>
        <w:rPr>
          <w:rFonts w:ascii="Times New Roman" w:hAnsi="Times New Roman" w:eastAsia="仿宋" w:cs="Times New Roman"/>
          <w:sz w:val="32"/>
          <w:szCs w:val="32"/>
        </w:rPr>
        <w:t>%,其中：</w:t>
      </w:r>
    </w:p>
    <w:p w14:paraId="748EF323">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因公出国（境）费支出预算为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万元，决算数等于预算数。</w:t>
      </w:r>
    </w:p>
    <w:p w14:paraId="3B0D5400">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公务接待费支出预算为</w:t>
      </w:r>
      <w:r>
        <w:rPr>
          <w:rFonts w:hint="eastAsia" w:ascii="Times New Roman" w:hAnsi="Times New Roman" w:eastAsia="仿宋" w:cs="Times New Roman"/>
          <w:sz w:val="32"/>
          <w:szCs w:val="32"/>
        </w:rPr>
        <w:t>0.1</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万元，完成预算的</w:t>
      </w:r>
      <w:r>
        <w:rPr>
          <w:rFonts w:hint="eastAsia" w:ascii="Times New Roman" w:hAnsi="Times New Roman" w:eastAsia="仿宋" w:cs="Times New Roman"/>
          <w:sz w:val="32"/>
          <w:szCs w:val="32"/>
        </w:rPr>
        <w:t>0</w:t>
      </w:r>
      <w:r>
        <w:rPr>
          <w:rFonts w:ascii="Times New Roman" w:hAnsi="Times New Roman" w:eastAsia="仿宋" w:cs="Times New Roman"/>
          <w:sz w:val="32"/>
          <w:szCs w:val="32"/>
        </w:rPr>
        <w:t>%（若决算数和预算数为零，则表达为“决算数等于预算数”）。公务用车购置费支出预算为0万元，支出决算为0万元，决算数等于预算数。</w:t>
      </w:r>
    </w:p>
    <w:p w14:paraId="00167ED3">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公务用车运行维护费支出预算为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万元，决算数等于预算数。</w:t>
      </w:r>
    </w:p>
    <w:p w14:paraId="7963DB6B">
      <w:pPr>
        <w:pStyle w:val="16"/>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7A580FD">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rPr>
        <w:t>0</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rPr>
        <w:t>0</w:t>
      </w:r>
      <w:r>
        <w:rPr>
          <w:rFonts w:ascii="Times New Roman" w:hAnsi="Times New Roman" w:eastAsia="仿宋" w:cs="Times New Roman"/>
          <w:sz w:val="32"/>
          <w:szCs w:val="32"/>
        </w:rPr>
        <w:t>%,公务用车购置费及运行维护费支出决算</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rPr>
        <w:t>0</w:t>
      </w:r>
      <w:r>
        <w:rPr>
          <w:rFonts w:ascii="Times New Roman" w:hAnsi="Times New Roman" w:eastAsia="仿宋" w:cs="Times New Roman"/>
          <w:sz w:val="32"/>
          <w:szCs w:val="32"/>
        </w:rPr>
        <w:t>%。其中：</w:t>
      </w:r>
    </w:p>
    <w:p w14:paraId="4E6DE01A">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rPr>
        <w:t>0</w:t>
      </w:r>
      <w:r>
        <w:rPr>
          <w:rFonts w:ascii="Times New Roman" w:hAnsi="Times New Roman" w:eastAsia="仿宋" w:cs="Times New Roman"/>
          <w:sz w:val="32"/>
          <w:szCs w:val="32"/>
        </w:rPr>
        <w:t xml:space="preserve">人次。    </w:t>
      </w:r>
    </w:p>
    <w:p w14:paraId="7F706851">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人次。</w:t>
      </w:r>
    </w:p>
    <w:p w14:paraId="464C9DC3">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3、公务用车购置费及运行维护费支出决算为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万元，其中：公务用车购置费</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万元，购置公务用车</w:t>
      </w:r>
      <w:r>
        <w:rPr>
          <w:rFonts w:hint="eastAsia" w:ascii="Times New Roman" w:hAnsi="Times New Roman" w:eastAsia="仿宋" w:cs="Times New Roman"/>
          <w:sz w:val="32"/>
          <w:szCs w:val="32"/>
        </w:rPr>
        <w:t>0</w:t>
      </w:r>
      <w:r>
        <w:rPr>
          <w:rFonts w:ascii="Times New Roman" w:hAnsi="Times New Roman" w:eastAsia="仿宋" w:cs="Times New Roman"/>
          <w:sz w:val="32"/>
          <w:szCs w:val="32"/>
        </w:rPr>
        <w:t>辆。公务用车运行维护费</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万元，截止2023年12月31日，我单位开支财政拨款的公务用车保有量为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辆。</w:t>
      </w:r>
    </w:p>
    <w:p w14:paraId="216F53BB">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14:paraId="719B2AC3">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2023年度政府性基金预算财政拨款收入0万元；年初结转和结余0万元；支出0万元，其中基本支出0万元，项目支出0万元；年末结转和结余0万元。</w:t>
      </w:r>
    </w:p>
    <w:p w14:paraId="6A0D6BCD">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3A9BFC5B">
      <w:pPr>
        <w:pStyle w:val="16"/>
        <w:ind w:firstLine="640" w:firstLineChars="200"/>
        <w:rPr>
          <w:rFonts w:ascii="Times New Roman" w:hAnsi="Times New Roman" w:eastAsia="仿宋_GB2312" w:cs="Times New Roman"/>
          <w:sz w:val="32"/>
          <w:szCs w:val="32"/>
        </w:rPr>
      </w:pPr>
      <w:r>
        <w:rPr>
          <w:rFonts w:ascii="Times New Roman" w:hAnsi="Times New Roman" w:eastAsia="仿宋" w:cs="Times New Roman"/>
          <w:sz w:val="32"/>
          <w:szCs w:val="32"/>
        </w:rPr>
        <w:t>2023年度本单位没有使用国有资本经营预算安排的支出</w:t>
      </w:r>
      <w:r>
        <w:rPr>
          <w:rFonts w:ascii="Times New Roman" w:hAnsi="Times New Roman" w:eastAsia="仿宋_GB2312" w:cs="Times New Roman"/>
          <w:sz w:val="32"/>
          <w:szCs w:val="32"/>
        </w:rPr>
        <w:t>。</w:t>
      </w:r>
    </w:p>
    <w:p w14:paraId="4326ED1A">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十、机关运行经费支出说明</w:t>
      </w:r>
    </w:p>
    <w:p w14:paraId="658F6763">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本部门2023年度机关运行经费支出104.62万元，比年初预算数增加30.62万元，增加41.38%。主要原因是：人员增加，增加了工作经费。</w:t>
      </w:r>
    </w:p>
    <w:p w14:paraId="05FBD3FD">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十一、一般性支出情况说明</w:t>
      </w:r>
    </w:p>
    <w:p w14:paraId="39E99314">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2023年本部门开支会议费0万元；开支培训费0.2万元，用于开展党建示范培训，人数1人，内容为学习党的方针、政策和科技、经济、文化知识，不断提高党员的政治素质和业务工作能力；举办节庆、晚会、论坛、赛事活动，开支0万元。</w:t>
      </w:r>
    </w:p>
    <w:p w14:paraId="6011B11E">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十二、政府采购支出说明</w:t>
      </w:r>
    </w:p>
    <w:p w14:paraId="35DF7AC6">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本部门2023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78C03C32">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十三、国有资产占用情况说明</w:t>
      </w:r>
    </w:p>
    <w:p w14:paraId="0404073F">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截至2023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p>
    <w:p w14:paraId="488AE363">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44BC27E7">
      <w:pPr>
        <w:pStyle w:val="7"/>
        <w:numPr>
          <w:ilvl w:val="0"/>
          <w:numId w:val="4"/>
        </w:numPr>
        <w:autoSpaceDE w:val="0"/>
        <w:autoSpaceDN w:val="0"/>
        <w:adjustRightInd w:val="0"/>
        <w:spacing w:line="570" w:lineRule="exact"/>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绩效管理评价工作开展情况。</w:t>
      </w:r>
    </w:p>
    <w:p w14:paraId="722FB25D">
      <w:pPr>
        <w:pStyle w:val="16"/>
        <w:ind w:firstLine="640" w:firstLineChars="200"/>
        <w:rPr>
          <w:rFonts w:ascii="Times New Roman" w:hAnsi="Times New Roman" w:eastAsia="仿宋" w:cs="Times New Roman"/>
          <w:sz w:val="32"/>
          <w:szCs w:val="32"/>
        </w:rPr>
      </w:pPr>
      <w:r>
        <w:rPr>
          <w:rFonts w:hint="eastAsia" w:ascii="Times New Roman" w:hAnsi="Times New Roman" w:eastAsia="楷体_GB2312" w:cs="Times New Roman"/>
          <w:b/>
          <w:sz w:val="32"/>
          <w:szCs w:val="32"/>
        </w:rPr>
        <w:t xml:space="preserve"> </w:t>
      </w:r>
      <w:r>
        <w:rPr>
          <w:rFonts w:hint="eastAsia" w:ascii="Times New Roman" w:hAnsi="Times New Roman" w:eastAsia="仿宋" w:cs="Times New Roman"/>
          <w:sz w:val="32"/>
          <w:szCs w:val="32"/>
        </w:rPr>
        <w:t>根据预算绩效管理要求，我部门组织对</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3年度一般公共预算项目支出全面开展绩效自评，其中，一级项目0个，二级项目8个，共涉及资金510.80万元，占一般公共预算项目支出总额的100</w:t>
      </w:r>
      <w:r>
        <w:rPr>
          <w:rFonts w:ascii="Times New Roman" w:hAnsi="Times New Roman" w:eastAsia="仿宋" w:cs="Times New Roman"/>
          <w:sz w:val="32"/>
          <w:szCs w:val="32"/>
        </w:rPr>
        <w:t>%</w:t>
      </w:r>
      <w:r>
        <w:rPr>
          <w:rFonts w:hint="eastAsia" w:ascii="Times New Roman" w:hAnsi="Times New Roman" w:eastAsia="仿宋" w:cs="Times New Roman"/>
          <w:sz w:val="32"/>
          <w:szCs w:val="32"/>
        </w:rPr>
        <w:t>。组织对</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3年度0个政府性基金预算项目支出开展绩效自评，共涉及资金0万元，占政府性基金预算项目支出总额的0</w:t>
      </w:r>
      <w:r>
        <w:rPr>
          <w:rFonts w:ascii="Times New Roman" w:hAnsi="Times New Roman" w:eastAsia="仿宋" w:cs="Times New Roman"/>
          <w:sz w:val="32"/>
          <w:szCs w:val="32"/>
        </w:rPr>
        <w:t>%</w:t>
      </w:r>
      <w:r>
        <w:rPr>
          <w:rFonts w:hint="eastAsia" w:ascii="Times New Roman" w:hAnsi="Times New Roman" w:eastAsia="仿宋" w:cs="Times New Roman"/>
          <w:sz w:val="32"/>
          <w:szCs w:val="32"/>
        </w:rPr>
        <w:t>。组织对</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3年度0</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个国有资本经营预算项目支出开展绩效自评，共涉及资金0</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万元，占国有资本经营预算项目支出总额的0</w:t>
      </w:r>
      <w:r>
        <w:rPr>
          <w:rFonts w:ascii="Times New Roman" w:hAnsi="Times New Roman" w:eastAsia="仿宋" w:cs="Times New Roman"/>
          <w:sz w:val="32"/>
          <w:szCs w:val="32"/>
        </w:rPr>
        <w:t>%</w:t>
      </w:r>
      <w:r>
        <w:rPr>
          <w:rFonts w:hint="eastAsia" w:ascii="Times New Roman" w:hAnsi="Times New Roman" w:eastAsia="仿宋" w:cs="Times New Roman"/>
          <w:sz w:val="32"/>
          <w:szCs w:val="32"/>
        </w:rPr>
        <w:t>。</w:t>
      </w:r>
    </w:p>
    <w:p w14:paraId="469E87EE">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组织对“业务性专项经费项目”、“社区经费项目”等8个项目开展了部门评价，涉及一般公共预算支出510.80万元，政府性基金预算支出0万元，国有资本经营预算支出0</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万元。从评价情况来看，预算执行及时、有效，绩效目标得到较好实现，绩效管理水平不断提高。</w:t>
      </w:r>
    </w:p>
    <w:p w14:paraId="18D3E2B9">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组织对株洲市石峰区田心街道办事处开展了整体支出绩效评价，涉及一般公共预算支出1100.82万元，政府性基金预算支出0万元，部门整体支出绩效评价报告详见第五部分。</w:t>
      </w:r>
    </w:p>
    <w:p w14:paraId="30B3728C">
      <w:pPr>
        <w:pStyle w:val="7"/>
        <w:numPr>
          <w:ilvl w:val="0"/>
          <w:numId w:val="4"/>
        </w:numPr>
        <w:autoSpaceDE w:val="0"/>
        <w:autoSpaceDN w:val="0"/>
        <w:adjustRightInd w:val="0"/>
        <w:spacing w:line="570" w:lineRule="exact"/>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14:paraId="0214350E">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业务性专项经费项目绩效自评综述：项目全年预算数为36万元，追加11.07万元，执行数为47.07万元，，完成预算的130.75</w:t>
      </w:r>
      <w:r>
        <w:rPr>
          <w:rFonts w:ascii="Times New Roman" w:hAnsi="Times New Roman" w:eastAsia="仿宋" w:cs="Times New Roman"/>
          <w:sz w:val="32"/>
          <w:szCs w:val="32"/>
        </w:rPr>
        <w:t>%</w:t>
      </w:r>
      <w:r>
        <w:rPr>
          <w:rFonts w:hint="eastAsia" w:ascii="Times New Roman" w:hAnsi="Times New Roman" w:eastAsia="仿宋" w:cs="Times New Roman"/>
          <w:sz w:val="32"/>
          <w:szCs w:val="32"/>
        </w:rPr>
        <w:t>。项目绩效目标完成情况：</w:t>
      </w:r>
      <w:r>
        <w:rPr>
          <w:rFonts w:ascii="Times New Roman" w:hAnsi="Times New Roman" w:eastAsia="仿宋" w:cs="Times New Roman"/>
          <w:sz w:val="32"/>
          <w:szCs w:val="32"/>
        </w:rPr>
        <w:t>重点打造了田心山庄、中兴小区、怡园小区等3个小区党群服务站，目前田心山庄小区党群服务站已完工，并投入使用；结合区“揭榜挂帅”工作任务，推进6415小区党群服务站建设；结合城发集团田心片区城市更新工作任务，推进中兴小区与怡园小区党群服务站建设</w:t>
      </w:r>
      <w:r>
        <w:rPr>
          <w:rFonts w:hint="eastAsia" w:ascii="Times New Roman" w:hAnsi="Times New Roman" w:eastAsia="仿宋" w:cs="Times New Roman"/>
          <w:sz w:val="32"/>
          <w:szCs w:val="32"/>
        </w:rPr>
        <w:t>，为</w:t>
      </w:r>
      <w:r>
        <w:rPr>
          <w:rFonts w:ascii="Times New Roman" w:hAnsi="Times New Roman" w:eastAsia="仿宋" w:cs="Times New Roman"/>
          <w:sz w:val="32"/>
          <w:szCs w:val="32"/>
        </w:rPr>
        <w:t>基层</w:t>
      </w:r>
      <w:r>
        <w:rPr>
          <w:rFonts w:hint="eastAsia" w:ascii="Times New Roman" w:hAnsi="Times New Roman" w:eastAsia="仿宋" w:cs="Times New Roman"/>
          <w:sz w:val="32"/>
          <w:szCs w:val="32"/>
        </w:rPr>
        <w:t>党组织提供了</w:t>
      </w:r>
      <w:r>
        <w:rPr>
          <w:rFonts w:ascii="Times New Roman" w:hAnsi="Times New Roman" w:eastAsia="仿宋" w:cs="Times New Roman"/>
          <w:sz w:val="32"/>
          <w:szCs w:val="32"/>
        </w:rPr>
        <w:t>阵地保障。</w:t>
      </w:r>
      <w:r>
        <w:rPr>
          <w:rFonts w:hint="eastAsia" w:ascii="Times New Roman" w:hAnsi="Times New Roman" w:eastAsia="仿宋" w:cs="Times New Roman"/>
          <w:sz w:val="32"/>
          <w:szCs w:val="32"/>
        </w:rPr>
        <w:t>发现的主要问题及原因：无；下一步改进措施：无。</w:t>
      </w:r>
    </w:p>
    <w:p w14:paraId="0C09C336">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社区经费专项项目绩效自评综述：项目全年预算数为303.59万元，追加115.33万元，执行数为418.92万元，完成预算的137.98</w:t>
      </w:r>
      <w:r>
        <w:rPr>
          <w:rFonts w:ascii="Times New Roman" w:hAnsi="Times New Roman" w:eastAsia="仿宋" w:cs="Times New Roman"/>
          <w:sz w:val="32"/>
          <w:szCs w:val="32"/>
        </w:rPr>
        <w:t>%</w:t>
      </w:r>
      <w:r>
        <w:rPr>
          <w:rFonts w:hint="eastAsia" w:ascii="Times New Roman" w:hAnsi="Times New Roman" w:eastAsia="仿宋" w:cs="Times New Roman"/>
          <w:sz w:val="32"/>
          <w:szCs w:val="32"/>
        </w:rPr>
        <w:t>。项目绩效目标完成情况：</w:t>
      </w:r>
      <w:r>
        <w:rPr>
          <w:rFonts w:ascii="Times New Roman" w:hAnsi="Times New Roman" w:eastAsia="仿宋" w:cs="Times New Roman"/>
          <w:sz w:val="32"/>
          <w:szCs w:val="32"/>
        </w:rPr>
        <w:t>强化党建引领，实现基层治理新局面。始终将党建摆</w:t>
      </w:r>
      <w:r>
        <w:rPr>
          <w:rFonts w:hint="eastAsia" w:ascii="Times New Roman" w:hAnsi="Times New Roman" w:eastAsia="仿宋" w:cs="Times New Roman"/>
          <w:sz w:val="32"/>
          <w:szCs w:val="32"/>
        </w:rPr>
        <w:t>在首位，取得多项荣誉</w:t>
      </w:r>
      <w:r>
        <w:rPr>
          <w:rFonts w:ascii="Times New Roman" w:hAnsi="Times New Roman" w:eastAsia="仿宋" w:cs="Times New Roman"/>
          <w:sz w:val="32"/>
          <w:szCs w:val="32"/>
        </w:rPr>
        <w:t>，</w:t>
      </w:r>
      <w:r>
        <w:rPr>
          <w:rFonts w:hint="eastAsia" w:ascii="Times New Roman" w:hAnsi="Times New Roman" w:eastAsia="仿宋" w:cs="Times New Roman"/>
          <w:sz w:val="32"/>
          <w:szCs w:val="32"/>
        </w:rPr>
        <w:t>今年度新增1</w:t>
      </w:r>
      <w:r>
        <w:rPr>
          <w:rFonts w:ascii="Times New Roman" w:hAnsi="Times New Roman" w:eastAsia="仿宋" w:cs="Times New Roman"/>
          <w:sz w:val="32"/>
          <w:szCs w:val="32"/>
        </w:rPr>
        <w:t>个五星小区支部，</w:t>
      </w:r>
      <w:r>
        <w:rPr>
          <w:rFonts w:hint="eastAsia" w:ascii="Times New Roman" w:hAnsi="Times New Roman" w:eastAsia="仿宋" w:cs="Times New Roman"/>
          <w:sz w:val="32"/>
          <w:szCs w:val="32"/>
        </w:rPr>
        <w:t>1个四星</w:t>
      </w:r>
      <w:r>
        <w:rPr>
          <w:rFonts w:ascii="Times New Roman" w:hAnsi="Times New Roman" w:eastAsia="仿宋" w:cs="Times New Roman"/>
          <w:sz w:val="32"/>
          <w:szCs w:val="32"/>
        </w:rPr>
        <w:t>小区支部</w:t>
      </w:r>
      <w:r>
        <w:rPr>
          <w:rFonts w:hint="eastAsia" w:ascii="Times New Roman" w:hAnsi="Times New Roman" w:eastAsia="仿宋" w:cs="Times New Roman"/>
          <w:sz w:val="32"/>
          <w:szCs w:val="32"/>
        </w:rPr>
        <w:t>，2</w:t>
      </w:r>
      <w:r>
        <w:rPr>
          <w:rFonts w:ascii="Times New Roman" w:hAnsi="Times New Roman" w:eastAsia="仿宋" w:cs="Times New Roman"/>
          <w:sz w:val="32"/>
          <w:szCs w:val="32"/>
        </w:rPr>
        <w:t>个红色物业。坚持党建引领，让党组织领办小区治理微项目，通过建强小区“四方议事会”制度，形成党组织领导、业主委员会、物业公司及居民代表等多方共建共治共享的基层治理格局，推动小区支部在基层治理中发挥主心骨作用，使小区支部书记的“头雁”效应充分彰显。引导6415小区在党建引领下，通过业委会组织小区居民积极参与小区治理，有效激发了小区治理新活力。2个基层治理优秀案例被区委组织部作为典型案例推介分享。</w:t>
      </w:r>
      <w:r>
        <w:rPr>
          <w:rFonts w:hint="eastAsia" w:ascii="Times New Roman" w:hAnsi="Times New Roman" w:eastAsia="仿宋" w:cs="Times New Roman"/>
          <w:sz w:val="32"/>
          <w:szCs w:val="32"/>
        </w:rPr>
        <w:t>发现的主要问题及原因：无。下一步改进措施：无。</w:t>
      </w:r>
    </w:p>
    <w:p w14:paraId="01861D78">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微民生网格事件办理专项项目绩效自评综述：项目全年预算数为25万元，执行数为19.88万元，完成预算的100</w:t>
      </w:r>
      <w:r>
        <w:rPr>
          <w:rFonts w:ascii="Times New Roman" w:hAnsi="Times New Roman" w:eastAsia="仿宋" w:cs="Times New Roman"/>
          <w:sz w:val="32"/>
          <w:szCs w:val="32"/>
        </w:rPr>
        <w:t>%</w:t>
      </w:r>
      <w:r>
        <w:rPr>
          <w:rFonts w:hint="eastAsia" w:ascii="Times New Roman" w:hAnsi="Times New Roman" w:eastAsia="仿宋" w:cs="Times New Roman"/>
          <w:sz w:val="32"/>
          <w:szCs w:val="32"/>
        </w:rPr>
        <w:t>。项目绩效目标完成情况：</w:t>
      </w:r>
      <w:r>
        <w:rPr>
          <w:rFonts w:ascii="Times New Roman" w:hAnsi="Times New Roman" w:eastAsia="仿宋" w:cs="Times New Roman"/>
          <w:sz w:val="32"/>
          <w:szCs w:val="32"/>
        </w:rPr>
        <w:t>从居住环境、便民出行等群众关心关注的重点着手，通过实施惠民微项目建设，提质改造老旧小区，</w:t>
      </w:r>
      <w:r>
        <w:rPr>
          <w:rFonts w:hint="eastAsia" w:ascii="Times New Roman" w:hAnsi="Times New Roman" w:eastAsia="仿宋" w:cs="Times New Roman"/>
          <w:sz w:val="32"/>
          <w:szCs w:val="32"/>
        </w:rPr>
        <w:t>东门日间照料中心开始施工建设，铁路生活区旧改完成，极大提升了</w:t>
      </w:r>
      <w:r>
        <w:rPr>
          <w:rFonts w:ascii="Times New Roman" w:hAnsi="Times New Roman" w:eastAsia="仿宋" w:cs="Times New Roman"/>
          <w:sz w:val="32"/>
          <w:szCs w:val="32"/>
        </w:rPr>
        <w:t>田心居住品质；配合城发集团对</w:t>
      </w:r>
      <w:r>
        <w:rPr>
          <w:rFonts w:hint="eastAsia" w:ascii="Times New Roman" w:hAnsi="Times New Roman" w:eastAsia="仿宋" w:cs="Times New Roman"/>
          <w:sz w:val="32"/>
          <w:szCs w:val="32"/>
        </w:rPr>
        <w:t>中车前坪广场和</w:t>
      </w:r>
      <w:r>
        <w:rPr>
          <w:rFonts w:ascii="Times New Roman" w:hAnsi="Times New Roman" w:eastAsia="仿宋" w:cs="Times New Roman"/>
          <w:sz w:val="32"/>
          <w:szCs w:val="32"/>
        </w:rPr>
        <w:t>田红路、田东路等主干道进行“微改造”“微更新”，加大力度开展交通畅行工作，缓解田心片区停车难问题；在打造“15分钟便民生活圈”的基础上，推动田心社区完整社区建设。</w:t>
      </w:r>
      <w:r>
        <w:rPr>
          <w:rFonts w:hint="eastAsia" w:ascii="Times New Roman" w:hAnsi="Times New Roman" w:eastAsia="仿宋" w:cs="Times New Roman"/>
          <w:sz w:val="32"/>
          <w:szCs w:val="32"/>
        </w:rPr>
        <w:t>发现的主要问题及原因：无。下一步改进措施：无。</w:t>
      </w:r>
    </w:p>
    <w:p w14:paraId="7104D221">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三支一扶人员经费项目绩效自评综述：项目全年预算数为0万元，执行数为1.63万元，完成预算的100</w:t>
      </w:r>
      <w:r>
        <w:rPr>
          <w:rFonts w:ascii="Times New Roman" w:hAnsi="Times New Roman" w:eastAsia="仿宋" w:cs="Times New Roman"/>
          <w:sz w:val="32"/>
          <w:szCs w:val="32"/>
        </w:rPr>
        <w:t>%</w:t>
      </w:r>
      <w:r>
        <w:rPr>
          <w:rFonts w:hint="eastAsia" w:ascii="Times New Roman" w:hAnsi="Times New Roman" w:eastAsia="仿宋" w:cs="Times New Roman"/>
          <w:sz w:val="32"/>
          <w:szCs w:val="32"/>
        </w:rPr>
        <w:t>。项目绩效目标完成情况：推进“三支一扶”人员管理工作规范化、制度化、科学化建设。发现的主要问题及原因：无。下一步改进措施：无。</w:t>
      </w:r>
    </w:p>
    <w:p w14:paraId="334D9653">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经济普查工作经费项目绩效自评综述：项目全年预算数为0万元，执行数为3.62万元，完成预算的100</w:t>
      </w:r>
      <w:r>
        <w:rPr>
          <w:rFonts w:ascii="Times New Roman" w:hAnsi="Times New Roman" w:eastAsia="仿宋" w:cs="Times New Roman"/>
          <w:sz w:val="32"/>
          <w:szCs w:val="32"/>
        </w:rPr>
        <w:t>%</w:t>
      </w:r>
      <w:r>
        <w:rPr>
          <w:rFonts w:hint="eastAsia" w:ascii="Times New Roman" w:hAnsi="Times New Roman" w:eastAsia="仿宋" w:cs="Times New Roman"/>
          <w:sz w:val="32"/>
          <w:szCs w:val="32"/>
        </w:rPr>
        <w:t>。项目绩效目标完成情况：</w:t>
      </w:r>
      <w:r>
        <w:rPr>
          <w:rFonts w:ascii="Times New Roman" w:hAnsi="Times New Roman" w:eastAsia="仿宋" w:cs="Times New Roman"/>
          <w:sz w:val="32"/>
          <w:szCs w:val="32"/>
        </w:rPr>
        <w:t>积极盘活利用闲置资产，协调循环集团建多年度闲置地块加以利用，引进一家大型儿童亲子乐园入驻开业。继续做好“市场主体培育”工作，完成市场主体培育525家，其中企业263家，个转企完成44家，个体完成262家。对接湖铁职院创新创业群体，助力该校100余位学生成功办理企业52家</w:t>
      </w:r>
      <w:r>
        <w:rPr>
          <w:rFonts w:hint="eastAsia" w:ascii="Times New Roman" w:hAnsi="Times New Roman" w:eastAsia="仿宋" w:cs="Times New Roman"/>
          <w:sz w:val="32"/>
          <w:szCs w:val="32"/>
        </w:rPr>
        <w:t>，受到省内媒体宣传报道</w:t>
      </w:r>
      <w:r>
        <w:rPr>
          <w:rFonts w:ascii="Times New Roman" w:hAnsi="Times New Roman" w:eastAsia="仿宋" w:cs="Times New Roman"/>
          <w:sz w:val="32"/>
          <w:szCs w:val="32"/>
        </w:rPr>
        <w:t>。固定资产投资入库</w:t>
      </w:r>
      <w:r>
        <w:rPr>
          <w:rFonts w:hint="eastAsia" w:ascii="Times New Roman" w:hAnsi="Times New Roman" w:eastAsia="仿宋" w:cs="Times New Roman"/>
          <w:sz w:val="32"/>
          <w:szCs w:val="32"/>
        </w:rPr>
        <w:t>4</w:t>
      </w:r>
      <w:r>
        <w:rPr>
          <w:rFonts w:ascii="Times New Roman" w:hAnsi="Times New Roman" w:eastAsia="仿宋" w:cs="Times New Roman"/>
          <w:sz w:val="32"/>
          <w:szCs w:val="32"/>
        </w:rPr>
        <w:t>个项目，完成投资额</w:t>
      </w:r>
      <w:r>
        <w:rPr>
          <w:rFonts w:hint="eastAsia" w:ascii="Times New Roman" w:hAnsi="Times New Roman" w:eastAsia="仿宋" w:cs="Times New Roman"/>
          <w:sz w:val="32"/>
          <w:szCs w:val="32"/>
        </w:rPr>
        <w:t>1.2亿</w:t>
      </w:r>
      <w:r>
        <w:rPr>
          <w:rFonts w:ascii="Times New Roman" w:hAnsi="Times New Roman" w:eastAsia="仿宋" w:cs="Times New Roman"/>
          <w:sz w:val="32"/>
          <w:szCs w:val="32"/>
        </w:rPr>
        <w:t>元。积极推进第五次全国经济普查统计，划分22个普区，完成5608家单位和个体户清查、上报工作。</w:t>
      </w:r>
      <w:r>
        <w:rPr>
          <w:rFonts w:hint="eastAsia" w:ascii="Times New Roman" w:hAnsi="Times New Roman" w:eastAsia="仿宋" w:cs="Times New Roman"/>
          <w:sz w:val="32"/>
          <w:szCs w:val="32"/>
        </w:rPr>
        <w:t>发现的主要问题及原因：无。下一步改进措施：无。</w:t>
      </w:r>
    </w:p>
    <w:p w14:paraId="4092A72E">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企业退休社会化管理项目绩效自评综述：项目全年预算数为0万元，执行数为9.26万元，完成预算的100</w:t>
      </w:r>
      <w:r>
        <w:rPr>
          <w:rFonts w:ascii="Times New Roman" w:hAnsi="Times New Roman" w:eastAsia="仿宋" w:cs="Times New Roman"/>
          <w:sz w:val="32"/>
          <w:szCs w:val="32"/>
        </w:rPr>
        <w:t>%</w:t>
      </w:r>
      <w:r>
        <w:rPr>
          <w:rFonts w:hint="eastAsia" w:ascii="Times New Roman" w:hAnsi="Times New Roman" w:eastAsia="仿宋" w:cs="Times New Roman"/>
          <w:sz w:val="32"/>
          <w:szCs w:val="32"/>
        </w:rPr>
        <w:t>。项目绩效目标完成情况：</w:t>
      </w:r>
      <w:r>
        <w:rPr>
          <w:rFonts w:ascii="Times New Roman" w:hAnsi="Times New Roman" w:eastAsia="仿宋" w:cs="Times New Roman"/>
          <w:sz w:val="32"/>
          <w:szCs w:val="32"/>
        </w:rPr>
        <w:t>充分发挥田心片区老年度人兴趣多、爱好广，文化底蕴深厚的优势，由街道文化站牵头，整合辖区文艺团队资源，组建了田心街道文艺联盟，设置“六部两室一小组”，精选十二支队伍成立田心街道文艺宣传队</w:t>
      </w:r>
      <w:r>
        <w:rPr>
          <w:rFonts w:hint="eastAsia" w:ascii="Times New Roman" w:hAnsi="Times New Roman" w:eastAsia="仿宋" w:cs="Times New Roman"/>
          <w:sz w:val="32"/>
          <w:szCs w:val="32"/>
        </w:rPr>
        <w:t>。今年度10月田心街道踢金岭广场作为石峰区邻里节主会场，文艺联盟组织编排了十二个节目，</w:t>
      </w:r>
      <w:r>
        <w:rPr>
          <w:rFonts w:ascii="Times New Roman" w:hAnsi="Times New Roman" w:eastAsia="仿宋" w:cs="Times New Roman"/>
          <w:sz w:val="32"/>
          <w:szCs w:val="32"/>
        </w:rPr>
        <w:t>为辖区居民群众的精神文化生活增添了一抹亮眼的色彩。</w:t>
      </w:r>
      <w:r>
        <w:rPr>
          <w:rFonts w:hint="eastAsia" w:ascii="Times New Roman" w:hAnsi="Times New Roman" w:eastAsia="仿宋" w:cs="Times New Roman"/>
          <w:sz w:val="32"/>
          <w:szCs w:val="32"/>
        </w:rPr>
        <w:t>发现的主要问题及原因：无。下一步改进措施：无。</w:t>
      </w:r>
    </w:p>
    <w:p w14:paraId="79AC99B6">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疫情防控资金项目绩效自评综述：项目全年预算数为0万元，执行数为10万元，完成预算的100</w:t>
      </w:r>
      <w:r>
        <w:rPr>
          <w:rFonts w:ascii="Times New Roman" w:hAnsi="Times New Roman" w:eastAsia="仿宋" w:cs="Times New Roman"/>
          <w:sz w:val="32"/>
          <w:szCs w:val="32"/>
        </w:rPr>
        <w:t>%</w:t>
      </w:r>
      <w:r>
        <w:rPr>
          <w:rFonts w:hint="eastAsia" w:ascii="Times New Roman" w:hAnsi="Times New Roman" w:eastAsia="仿宋" w:cs="Times New Roman"/>
          <w:sz w:val="32"/>
          <w:szCs w:val="32"/>
        </w:rPr>
        <w:t>。项目绩效目标完成情况：全社会依法防控、科学防范，提高人民自我防护能力。发现的主要问题及原因：无。下一步改进措施：无。</w:t>
      </w:r>
    </w:p>
    <w:p w14:paraId="796F8DD0">
      <w:pPr>
        <w:pStyle w:val="16"/>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安全监管专项项目绩效自评综述：项目全年预算数为0万元，执行数为0.42万元，完成预算的100</w:t>
      </w:r>
      <w:r>
        <w:rPr>
          <w:rFonts w:ascii="Times New Roman" w:hAnsi="Times New Roman" w:eastAsia="仿宋" w:cs="Times New Roman"/>
          <w:sz w:val="32"/>
          <w:szCs w:val="32"/>
        </w:rPr>
        <w:t>%</w:t>
      </w:r>
      <w:r>
        <w:rPr>
          <w:rFonts w:hint="eastAsia" w:ascii="Times New Roman" w:hAnsi="Times New Roman" w:eastAsia="仿宋" w:cs="Times New Roman"/>
          <w:sz w:val="32"/>
          <w:szCs w:val="32"/>
        </w:rPr>
        <w:t>。项目绩效目标完成情况：</w:t>
      </w:r>
      <w:r>
        <w:rPr>
          <w:rFonts w:ascii="Times New Roman" w:hAnsi="Times New Roman" w:eastAsia="仿宋" w:cs="Times New Roman"/>
          <w:sz w:val="32"/>
          <w:szCs w:val="32"/>
        </w:rPr>
        <w:t>对雨雪冰冻、强降雨、高温干旱、森林火情等各类自然灾害突发事件，做到第一时间响应、第一时间处置</w:t>
      </w:r>
      <w:r>
        <w:rPr>
          <w:rFonts w:hint="eastAsia" w:ascii="Times New Roman" w:hAnsi="Times New Roman" w:eastAsia="仿宋" w:cs="Times New Roman"/>
          <w:sz w:val="32"/>
          <w:szCs w:val="32"/>
        </w:rPr>
        <w:t>。</w:t>
      </w:r>
      <w:r>
        <w:rPr>
          <w:rFonts w:ascii="Times New Roman" w:hAnsi="Times New Roman" w:eastAsia="仿宋" w:cs="Times New Roman"/>
          <w:sz w:val="32"/>
          <w:szCs w:val="32"/>
        </w:rPr>
        <w:t>　</w:t>
      </w:r>
      <w:r>
        <w:rPr>
          <w:rFonts w:hint="eastAsia" w:ascii="Times New Roman" w:hAnsi="Times New Roman" w:eastAsia="仿宋" w:cs="Times New Roman"/>
          <w:sz w:val="32"/>
          <w:szCs w:val="32"/>
        </w:rPr>
        <w:t>发现的主要问题及原因：无。下一步改进措施：无。</w:t>
      </w:r>
    </w:p>
    <w:p w14:paraId="7B778F6F">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6F7651F0">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14:paraId="2CB26C88">
      <w:pPr>
        <w:pStyle w:val="16"/>
        <w:jc w:val="both"/>
        <w:rPr>
          <w:rFonts w:ascii="Times New Roman" w:hAnsi="Times New Roman" w:cs="Times New Roman"/>
          <w:sz w:val="84"/>
          <w:szCs w:val="84"/>
        </w:rPr>
      </w:pPr>
    </w:p>
    <w:p w14:paraId="0269E15C">
      <w:pPr>
        <w:pStyle w:val="16"/>
        <w:jc w:val="both"/>
        <w:rPr>
          <w:rFonts w:ascii="Times New Roman" w:hAnsi="Times New Roman" w:cs="Times New Roman"/>
          <w:sz w:val="84"/>
          <w:szCs w:val="84"/>
        </w:rPr>
      </w:pPr>
    </w:p>
    <w:p w14:paraId="29BA6358">
      <w:pPr>
        <w:pStyle w:val="16"/>
        <w:jc w:val="both"/>
        <w:rPr>
          <w:rFonts w:ascii="Times New Roman" w:hAnsi="Times New Roman" w:cs="Times New Roman"/>
          <w:sz w:val="84"/>
          <w:szCs w:val="84"/>
        </w:rPr>
      </w:pPr>
    </w:p>
    <w:p w14:paraId="6AEAE0FA">
      <w:pPr>
        <w:pStyle w:val="16"/>
        <w:jc w:val="both"/>
        <w:rPr>
          <w:rFonts w:ascii="Times New Roman" w:hAnsi="Times New Roman" w:cs="Times New Roman"/>
          <w:sz w:val="84"/>
          <w:szCs w:val="84"/>
        </w:rPr>
      </w:pPr>
    </w:p>
    <w:p w14:paraId="7B3A2A17">
      <w:pPr>
        <w:pStyle w:val="16"/>
        <w:jc w:val="both"/>
        <w:rPr>
          <w:rFonts w:ascii="Times New Roman" w:hAnsi="Times New Roman" w:cs="Times New Roman"/>
          <w:sz w:val="84"/>
          <w:szCs w:val="84"/>
        </w:rPr>
      </w:pPr>
    </w:p>
    <w:p w14:paraId="3A047288">
      <w:pPr>
        <w:pStyle w:val="16"/>
        <w:jc w:val="both"/>
        <w:rPr>
          <w:rFonts w:ascii="Times New Roman" w:hAnsi="Times New Roman" w:cs="Times New Roman"/>
          <w:sz w:val="84"/>
          <w:szCs w:val="84"/>
        </w:rPr>
      </w:pPr>
    </w:p>
    <w:p w14:paraId="7F65CAF0">
      <w:pPr>
        <w:pStyle w:val="16"/>
        <w:jc w:val="both"/>
        <w:rPr>
          <w:rFonts w:ascii="Times New Roman" w:hAnsi="Times New Roman" w:cs="Times New Roman"/>
          <w:sz w:val="84"/>
          <w:szCs w:val="84"/>
        </w:rPr>
      </w:pPr>
    </w:p>
    <w:p w14:paraId="3D804EFC">
      <w:pPr>
        <w:pStyle w:val="16"/>
        <w:jc w:val="both"/>
        <w:rPr>
          <w:rFonts w:ascii="Times New Roman" w:hAnsi="Times New Roman" w:cs="Times New Roman"/>
          <w:sz w:val="84"/>
          <w:szCs w:val="84"/>
        </w:rPr>
      </w:pPr>
    </w:p>
    <w:p w14:paraId="77A5513C">
      <w:pPr>
        <w:pStyle w:val="16"/>
        <w:jc w:val="both"/>
        <w:rPr>
          <w:rFonts w:ascii="Times New Roman" w:hAnsi="Times New Roman" w:cs="Times New Roman"/>
          <w:sz w:val="84"/>
          <w:szCs w:val="84"/>
        </w:rPr>
      </w:pPr>
    </w:p>
    <w:p w14:paraId="4E38A044">
      <w:pPr>
        <w:pStyle w:val="16"/>
        <w:jc w:val="both"/>
        <w:rPr>
          <w:rFonts w:ascii="Times New Roman" w:hAnsi="Times New Roman" w:cs="Times New Roman"/>
          <w:sz w:val="84"/>
          <w:szCs w:val="84"/>
        </w:rPr>
      </w:pPr>
    </w:p>
    <w:p w14:paraId="02AA8737">
      <w:pPr>
        <w:pStyle w:val="16"/>
        <w:jc w:val="center"/>
        <w:rPr>
          <w:rFonts w:hint="eastAsia" w:ascii="Times New Roman" w:hAnsi="Times New Roman" w:eastAsia="方正小标宋简体" w:cs="Times New Roman"/>
          <w:sz w:val="76"/>
          <w:szCs w:val="76"/>
        </w:rPr>
      </w:pPr>
    </w:p>
    <w:p w14:paraId="594E3AFC">
      <w:pPr>
        <w:pStyle w:val="16"/>
        <w:jc w:val="center"/>
        <w:rPr>
          <w:rFonts w:hint="eastAsia" w:ascii="Times New Roman" w:hAnsi="Times New Roman" w:eastAsia="方正小标宋简体" w:cs="Times New Roman"/>
          <w:sz w:val="76"/>
          <w:szCs w:val="76"/>
        </w:rPr>
      </w:pPr>
    </w:p>
    <w:p w14:paraId="79DB351D">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2D62B2D8">
      <w:pPr>
        <w:pStyle w:val="16"/>
        <w:jc w:val="center"/>
        <w:rPr>
          <w:rFonts w:ascii="Times New Roman" w:hAnsi="Times New Roman" w:eastAsia="方正小标宋简体" w:cs="Times New Roman"/>
          <w:sz w:val="76"/>
          <w:szCs w:val="76"/>
        </w:rPr>
      </w:pPr>
    </w:p>
    <w:p w14:paraId="1FE9D93E">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27B86CF1">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72FDFDD0">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5728EC41">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4F1FD56D">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278C5A42">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4D56E460">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55ED9D23">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14D95F5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760AE79C">
      <w:pPr>
        <w:pStyle w:val="16"/>
        <w:jc w:val="both"/>
        <w:rPr>
          <w:rFonts w:ascii="Times New Roman" w:hAnsi="Times New Roman" w:cs="Times New Roman"/>
          <w:sz w:val="72"/>
          <w:szCs w:val="72"/>
        </w:rPr>
      </w:pPr>
    </w:p>
    <w:p w14:paraId="303C8A42">
      <w:pPr>
        <w:pStyle w:val="16"/>
        <w:jc w:val="both"/>
        <w:rPr>
          <w:rFonts w:ascii="Times New Roman" w:hAnsi="Times New Roman" w:cs="Times New Roman"/>
          <w:sz w:val="84"/>
          <w:szCs w:val="84"/>
        </w:rPr>
      </w:pPr>
    </w:p>
    <w:p w14:paraId="78DC2BAA">
      <w:pPr>
        <w:pStyle w:val="16"/>
        <w:jc w:val="both"/>
        <w:rPr>
          <w:rFonts w:ascii="Times New Roman" w:hAnsi="Times New Roman" w:cs="Times New Roman"/>
          <w:sz w:val="84"/>
          <w:szCs w:val="84"/>
        </w:rPr>
      </w:pPr>
    </w:p>
    <w:p w14:paraId="775B690A">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6870E59C">
      <w:pPr>
        <w:pStyle w:val="16"/>
        <w:jc w:val="center"/>
        <w:rPr>
          <w:rFonts w:ascii="Times New Roman" w:hAnsi="Times New Roman" w:eastAsia="方正小标宋简体" w:cs="Times New Roman"/>
          <w:sz w:val="56"/>
          <w:szCs w:val="56"/>
        </w:rPr>
      </w:pPr>
    </w:p>
    <w:p w14:paraId="032E97E2">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37AAF441">
      <w:pPr>
        <w:pStyle w:val="16"/>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44B4B6A9">
      <w:pPr>
        <w:pStyle w:val="16"/>
        <w:spacing w:line="596"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w:t>
      </w:r>
      <w:bookmarkStart w:id="0" w:name="_GoBack"/>
      <w:bookmarkEnd w:id="0"/>
      <w:r>
        <w:rPr>
          <w:rFonts w:ascii="Times New Roman" w:hAnsi="Times New Roman" w:eastAsia="方正小标宋简体" w:cs="Times New Roman"/>
          <w:sz w:val="44"/>
          <w:szCs w:val="44"/>
        </w:rPr>
        <w:t>绩效</w:t>
      </w:r>
      <w:r>
        <w:rPr>
          <w:rFonts w:hint="eastAsia" w:ascii="Times New Roman" w:hAnsi="Times New Roman" w:eastAsia="方正小标宋简体" w:cs="Times New Roman"/>
          <w:sz w:val="44"/>
          <w:szCs w:val="44"/>
        </w:rPr>
        <w:t>自评报告</w:t>
      </w:r>
    </w:p>
    <w:p w14:paraId="32FFE589">
      <w:pPr>
        <w:pStyle w:val="16"/>
        <w:spacing w:line="596" w:lineRule="exact"/>
        <w:jc w:val="center"/>
        <w:rPr>
          <w:rFonts w:ascii="Times New Roman" w:hAnsi="Times New Roman" w:eastAsia="方正小标宋简体" w:cs="Times New Roman"/>
          <w:sz w:val="32"/>
          <w:szCs w:val="32"/>
        </w:rPr>
      </w:pPr>
    </w:p>
    <w:p w14:paraId="5A4769F6">
      <w:pPr>
        <w:pStyle w:val="16"/>
        <w:spacing w:line="596" w:lineRule="exact"/>
        <w:jc w:val="center"/>
        <w:rPr>
          <w:rFonts w:ascii="Times New Roman" w:hAnsi="Times New Roman" w:eastAsia="仿宋_GB2312" w:cs="Times New Roman"/>
          <w:sz w:val="28"/>
          <w:szCs w:val="28"/>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详</w:t>
      </w:r>
      <w:r>
        <w:rPr>
          <w:rFonts w:ascii="Times New Roman" w:hAnsi="Times New Roman" w:eastAsia="仿宋_GB2312" w:cs="Times New Roman"/>
          <w:sz w:val="32"/>
          <w:szCs w:val="32"/>
        </w:rPr>
        <w:t>见附件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07F62">
    <w:pPr>
      <w:pStyle w:val="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FB4267">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16</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4BFB4267">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16</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13073511"/>
    <w:multiLevelType w:val="multilevel"/>
    <w:tmpl w:val="13073511"/>
    <w:lvl w:ilvl="0" w:tentative="0">
      <w:start w:val="6"/>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6D94263"/>
    <w:multiLevelType w:val="multilevel"/>
    <w:tmpl w:val="46D94263"/>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2864E63"/>
    <w:multiLevelType w:val="multilevel"/>
    <w:tmpl w:val="72864E63"/>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06C4"/>
    <w:rsid w:val="00005205"/>
    <w:rsid w:val="00017336"/>
    <w:rsid w:val="0002229B"/>
    <w:rsid w:val="000230A4"/>
    <w:rsid w:val="000273BD"/>
    <w:rsid w:val="000326BD"/>
    <w:rsid w:val="000415B7"/>
    <w:rsid w:val="00041E3F"/>
    <w:rsid w:val="00047162"/>
    <w:rsid w:val="00052746"/>
    <w:rsid w:val="000528EA"/>
    <w:rsid w:val="00055DAA"/>
    <w:rsid w:val="00060CD0"/>
    <w:rsid w:val="00061F7B"/>
    <w:rsid w:val="000658A3"/>
    <w:rsid w:val="00074155"/>
    <w:rsid w:val="000873EF"/>
    <w:rsid w:val="000908FD"/>
    <w:rsid w:val="000A3521"/>
    <w:rsid w:val="000A3B46"/>
    <w:rsid w:val="000A3F69"/>
    <w:rsid w:val="000B2DE7"/>
    <w:rsid w:val="000C263A"/>
    <w:rsid w:val="000D622D"/>
    <w:rsid w:val="000E0560"/>
    <w:rsid w:val="000E4798"/>
    <w:rsid w:val="000E7A2C"/>
    <w:rsid w:val="000F7834"/>
    <w:rsid w:val="001010F1"/>
    <w:rsid w:val="00103957"/>
    <w:rsid w:val="001041C1"/>
    <w:rsid w:val="00113CF6"/>
    <w:rsid w:val="00115624"/>
    <w:rsid w:val="00120CBE"/>
    <w:rsid w:val="00124A1F"/>
    <w:rsid w:val="0014142C"/>
    <w:rsid w:val="00152C6D"/>
    <w:rsid w:val="00153981"/>
    <w:rsid w:val="00162D39"/>
    <w:rsid w:val="001678BD"/>
    <w:rsid w:val="00170E4E"/>
    <w:rsid w:val="00174C69"/>
    <w:rsid w:val="00182373"/>
    <w:rsid w:val="00182712"/>
    <w:rsid w:val="001A5927"/>
    <w:rsid w:val="001A67DB"/>
    <w:rsid w:val="001B0315"/>
    <w:rsid w:val="001B2BE4"/>
    <w:rsid w:val="001B53DA"/>
    <w:rsid w:val="001B7F49"/>
    <w:rsid w:val="001C0A5B"/>
    <w:rsid w:val="001C3C29"/>
    <w:rsid w:val="001D51E5"/>
    <w:rsid w:val="001E080D"/>
    <w:rsid w:val="001E53D0"/>
    <w:rsid w:val="001F0C3B"/>
    <w:rsid w:val="001F3A16"/>
    <w:rsid w:val="002019A2"/>
    <w:rsid w:val="00202C14"/>
    <w:rsid w:val="00202C82"/>
    <w:rsid w:val="00204E85"/>
    <w:rsid w:val="00204EE2"/>
    <w:rsid w:val="00207D8C"/>
    <w:rsid w:val="00214427"/>
    <w:rsid w:val="002206E1"/>
    <w:rsid w:val="00226CB7"/>
    <w:rsid w:val="0024329E"/>
    <w:rsid w:val="0024338B"/>
    <w:rsid w:val="00264552"/>
    <w:rsid w:val="00264EF9"/>
    <w:rsid w:val="00265724"/>
    <w:rsid w:val="00273A5E"/>
    <w:rsid w:val="0027426B"/>
    <w:rsid w:val="002C34A4"/>
    <w:rsid w:val="002E0A30"/>
    <w:rsid w:val="002E0C4A"/>
    <w:rsid w:val="002E2CFB"/>
    <w:rsid w:val="002E6A2A"/>
    <w:rsid w:val="002F51BE"/>
    <w:rsid w:val="0030641C"/>
    <w:rsid w:val="003130C4"/>
    <w:rsid w:val="00315156"/>
    <w:rsid w:val="00316C4B"/>
    <w:rsid w:val="0032192B"/>
    <w:rsid w:val="00324460"/>
    <w:rsid w:val="00327056"/>
    <w:rsid w:val="003479BD"/>
    <w:rsid w:val="00351E62"/>
    <w:rsid w:val="00353306"/>
    <w:rsid w:val="00362B20"/>
    <w:rsid w:val="0037197D"/>
    <w:rsid w:val="00372DE5"/>
    <w:rsid w:val="003768D5"/>
    <w:rsid w:val="003914B6"/>
    <w:rsid w:val="003B4F92"/>
    <w:rsid w:val="003B6E76"/>
    <w:rsid w:val="003C4197"/>
    <w:rsid w:val="003C47E6"/>
    <w:rsid w:val="003C4A80"/>
    <w:rsid w:val="003C4FC2"/>
    <w:rsid w:val="003D1405"/>
    <w:rsid w:val="003E2331"/>
    <w:rsid w:val="003E4E00"/>
    <w:rsid w:val="003E6275"/>
    <w:rsid w:val="003E6EAB"/>
    <w:rsid w:val="003E70B1"/>
    <w:rsid w:val="003F25DC"/>
    <w:rsid w:val="003F56A4"/>
    <w:rsid w:val="00406483"/>
    <w:rsid w:val="004152F9"/>
    <w:rsid w:val="00416E61"/>
    <w:rsid w:val="00426B15"/>
    <w:rsid w:val="0042790C"/>
    <w:rsid w:val="00431A82"/>
    <w:rsid w:val="0043290F"/>
    <w:rsid w:val="00434282"/>
    <w:rsid w:val="00441F69"/>
    <w:rsid w:val="00444FDC"/>
    <w:rsid w:val="00447C5A"/>
    <w:rsid w:val="004506F9"/>
    <w:rsid w:val="00453741"/>
    <w:rsid w:val="004717A2"/>
    <w:rsid w:val="00473DF3"/>
    <w:rsid w:val="00487911"/>
    <w:rsid w:val="00491741"/>
    <w:rsid w:val="0049375C"/>
    <w:rsid w:val="004B0CEE"/>
    <w:rsid w:val="004C518E"/>
    <w:rsid w:val="004C58AB"/>
    <w:rsid w:val="004E0A42"/>
    <w:rsid w:val="004E63EC"/>
    <w:rsid w:val="004F3A05"/>
    <w:rsid w:val="00500E5F"/>
    <w:rsid w:val="005018EA"/>
    <w:rsid w:val="00501BB9"/>
    <w:rsid w:val="005122EF"/>
    <w:rsid w:val="0051441A"/>
    <w:rsid w:val="005161BE"/>
    <w:rsid w:val="00517C33"/>
    <w:rsid w:val="00517D5F"/>
    <w:rsid w:val="00521AF2"/>
    <w:rsid w:val="00523644"/>
    <w:rsid w:val="0054069E"/>
    <w:rsid w:val="005423FE"/>
    <w:rsid w:val="00544866"/>
    <w:rsid w:val="005536DC"/>
    <w:rsid w:val="00553BFC"/>
    <w:rsid w:val="00562239"/>
    <w:rsid w:val="005767CC"/>
    <w:rsid w:val="005774C3"/>
    <w:rsid w:val="00590D9F"/>
    <w:rsid w:val="00595D26"/>
    <w:rsid w:val="005975E2"/>
    <w:rsid w:val="005A317E"/>
    <w:rsid w:val="005A6472"/>
    <w:rsid w:val="005A74E6"/>
    <w:rsid w:val="005B404E"/>
    <w:rsid w:val="005B7582"/>
    <w:rsid w:val="005C12C8"/>
    <w:rsid w:val="005C5979"/>
    <w:rsid w:val="005D2A01"/>
    <w:rsid w:val="005D4D55"/>
    <w:rsid w:val="005E2CFB"/>
    <w:rsid w:val="005F2103"/>
    <w:rsid w:val="005F3D1C"/>
    <w:rsid w:val="00602320"/>
    <w:rsid w:val="00602A1E"/>
    <w:rsid w:val="006043C9"/>
    <w:rsid w:val="00612501"/>
    <w:rsid w:val="0062378F"/>
    <w:rsid w:val="00633F76"/>
    <w:rsid w:val="00641842"/>
    <w:rsid w:val="00651EEC"/>
    <w:rsid w:val="006635CD"/>
    <w:rsid w:val="00664B48"/>
    <w:rsid w:val="00686673"/>
    <w:rsid w:val="00691E8C"/>
    <w:rsid w:val="00691FD8"/>
    <w:rsid w:val="006A22C4"/>
    <w:rsid w:val="006A348B"/>
    <w:rsid w:val="006A351B"/>
    <w:rsid w:val="006B0422"/>
    <w:rsid w:val="006C1B53"/>
    <w:rsid w:val="006C5526"/>
    <w:rsid w:val="006C55D3"/>
    <w:rsid w:val="006C6995"/>
    <w:rsid w:val="006C7234"/>
    <w:rsid w:val="006D5E1B"/>
    <w:rsid w:val="006D7730"/>
    <w:rsid w:val="006E5284"/>
    <w:rsid w:val="006F3EB5"/>
    <w:rsid w:val="00702E34"/>
    <w:rsid w:val="007033A6"/>
    <w:rsid w:val="00704395"/>
    <w:rsid w:val="00710FE7"/>
    <w:rsid w:val="00717621"/>
    <w:rsid w:val="00720FF1"/>
    <w:rsid w:val="00727A53"/>
    <w:rsid w:val="0073027B"/>
    <w:rsid w:val="0073606A"/>
    <w:rsid w:val="0074082B"/>
    <w:rsid w:val="00750C13"/>
    <w:rsid w:val="0075327D"/>
    <w:rsid w:val="00760BC6"/>
    <w:rsid w:val="0077039E"/>
    <w:rsid w:val="00777FCF"/>
    <w:rsid w:val="00783A35"/>
    <w:rsid w:val="00787B42"/>
    <w:rsid w:val="00793E90"/>
    <w:rsid w:val="007A20A6"/>
    <w:rsid w:val="007A23B9"/>
    <w:rsid w:val="007B0C90"/>
    <w:rsid w:val="007B33B7"/>
    <w:rsid w:val="007B7FAB"/>
    <w:rsid w:val="007C4539"/>
    <w:rsid w:val="007C6F0C"/>
    <w:rsid w:val="007E2D32"/>
    <w:rsid w:val="007F3657"/>
    <w:rsid w:val="007F4144"/>
    <w:rsid w:val="007F49DF"/>
    <w:rsid w:val="00803A2D"/>
    <w:rsid w:val="008060A5"/>
    <w:rsid w:val="008064EA"/>
    <w:rsid w:val="00810FAE"/>
    <w:rsid w:val="008125A4"/>
    <w:rsid w:val="00812ED5"/>
    <w:rsid w:val="00813EDD"/>
    <w:rsid w:val="00817223"/>
    <w:rsid w:val="00823EB4"/>
    <w:rsid w:val="00824FDA"/>
    <w:rsid w:val="008277D9"/>
    <w:rsid w:val="00833DBD"/>
    <w:rsid w:val="0084478C"/>
    <w:rsid w:val="00847892"/>
    <w:rsid w:val="00862E8B"/>
    <w:rsid w:val="0086638C"/>
    <w:rsid w:val="008709BC"/>
    <w:rsid w:val="00886C9E"/>
    <w:rsid w:val="008878D0"/>
    <w:rsid w:val="00897463"/>
    <w:rsid w:val="008A0ABD"/>
    <w:rsid w:val="008A2BC0"/>
    <w:rsid w:val="008A3E8D"/>
    <w:rsid w:val="008C4E9A"/>
    <w:rsid w:val="008C5DC3"/>
    <w:rsid w:val="008E75DA"/>
    <w:rsid w:val="00903E06"/>
    <w:rsid w:val="0091244F"/>
    <w:rsid w:val="009125F4"/>
    <w:rsid w:val="009237C4"/>
    <w:rsid w:val="009300BD"/>
    <w:rsid w:val="00931A9B"/>
    <w:rsid w:val="00944C48"/>
    <w:rsid w:val="00950252"/>
    <w:rsid w:val="0095291E"/>
    <w:rsid w:val="0096582A"/>
    <w:rsid w:val="00967F5D"/>
    <w:rsid w:val="00970AC9"/>
    <w:rsid w:val="009719DB"/>
    <w:rsid w:val="00975212"/>
    <w:rsid w:val="009761D9"/>
    <w:rsid w:val="009815BA"/>
    <w:rsid w:val="00981AFE"/>
    <w:rsid w:val="00994639"/>
    <w:rsid w:val="009A03A9"/>
    <w:rsid w:val="009A0F95"/>
    <w:rsid w:val="009A1122"/>
    <w:rsid w:val="009A4802"/>
    <w:rsid w:val="009B2C29"/>
    <w:rsid w:val="009B3ADF"/>
    <w:rsid w:val="009B4BC7"/>
    <w:rsid w:val="009B4EDB"/>
    <w:rsid w:val="009B6DB2"/>
    <w:rsid w:val="009C3B52"/>
    <w:rsid w:val="009C4746"/>
    <w:rsid w:val="009C7ADE"/>
    <w:rsid w:val="009D4035"/>
    <w:rsid w:val="009E6817"/>
    <w:rsid w:val="009E6E9A"/>
    <w:rsid w:val="009F24E3"/>
    <w:rsid w:val="009F6A00"/>
    <w:rsid w:val="00A01D2B"/>
    <w:rsid w:val="00A12713"/>
    <w:rsid w:val="00A16EAF"/>
    <w:rsid w:val="00A21B54"/>
    <w:rsid w:val="00A229EF"/>
    <w:rsid w:val="00A23530"/>
    <w:rsid w:val="00A42218"/>
    <w:rsid w:val="00A4244F"/>
    <w:rsid w:val="00A51D32"/>
    <w:rsid w:val="00A57140"/>
    <w:rsid w:val="00A6363D"/>
    <w:rsid w:val="00A65422"/>
    <w:rsid w:val="00A70249"/>
    <w:rsid w:val="00A70B02"/>
    <w:rsid w:val="00A71D9F"/>
    <w:rsid w:val="00A7764B"/>
    <w:rsid w:val="00A92B1D"/>
    <w:rsid w:val="00A92E9F"/>
    <w:rsid w:val="00A95321"/>
    <w:rsid w:val="00AB2EF8"/>
    <w:rsid w:val="00AB695A"/>
    <w:rsid w:val="00AC11E6"/>
    <w:rsid w:val="00AE5B2D"/>
    <w:rsid w:val="00AF60C0"/>
    <w:rsid w:val="00B12AB3"/>
    <w:rsid w:val="00B13B87"/>
    <w:rsid w:val="00B17983"/>
    <w:rsid w:val="00B33BEA"/>
    <w:rsid w:val="00B4709B"/>
    <w:rsid w:val="00B57C9F"/>
    <w:rsid w:val="00B63572"/>
    <w:rsid w:val="00B75206"/>
    <w:rsid w:val="00B845B3"/>
    <w:rsid w:val="00B85D8B"/>
    <w:rsid w:val="00B93B74"/>
    <w:rsid w:val="00BA3F0A"/>
    <w:rsid w:val="00BB415E"/>
    <w:rsid w:val="00BB4A40"/>
    <w:rsid w:val="00BB5CCD"/>
    <w:rsid w:val="00BC64FD"/>
    <w:rsid w:val="00BC79C5"/>
    <w:rsid w:val="00BD47BA"/>
    <w:rsid w:val="00BD6C3E"/>
    <w:rsid w:val="00BE3674"/>
    <w:rsid w:val="00C05CF1"/>
    <w:rsid w:val="00C10681"/>
    <w:rsid w:val="00C16556"/>
    <w:rsid w:val="00C16881"/>
    <w:rsid w:val="00C3049A"/>
    <w:rsid w:val="00C31B1E"/>
    <w:rsid w:val="00C34068"/>
    <w:rsid w:val="00C52CCA"/>
    <w:rsid w:val="00C5598E"/>
    <w:rsid w:val="00C56319"/>
    <w:rsid w:val="00C57053"/>
    <w:rsid w:val="00C62C50"/>
    <w:rsid w:val="00C77645"/>
    <w:rsid w:val="00C8131F"/>
    <w:rsid w:val="00CA79BE"/>
    <w:rsid w:val="00CB20A4"/>
    <w:rsid w:val="00CD4BAB"/>
    <w:rsid w:val="00CE04C3"/>
    <w:rsid w:val="00CE76A0"/>
    <w:rsid w:val="00CF23AA"/>
    <w:rsid w:val="00CF62EF"/>
    <w:rsid w:val="00CF7390"/>
    <w:rsid w:val="00D03E92"/>
    <w:rsid w:val="00D055F6"/>
    <w:rsid w:val="00D148C6"/>
    <w:rsid w:val="00D17A8A"/>
    <w:rsid w:val="00D30953"/>
    <w:rsid w:val="00D415BA"/>
    <w:rsid w:val="00D46BD7"/>
    <w:rsid w:val="00D52066"/>
    <w:rsid w:val="00D63780"/>
    <w:rsid w:val="00D63DDE"/>
    <w:rsid w:val="00D644EE"/>
    <w:rsid w:val="00D75489"/>
    <w:rsid w:val="00D855D0"/>
    <w:rsid w:val="00D92D6A"/>
    <w:rsid w:val="00D94EE4"/>
    <w:rsid w:val="00DD06FF"/>
    <w:rsid w:val="00DD5FE9"/>
    <w:rsid w:val="00DE3279"/>
    <w:rsid w:val="00DE3C81"/>
    <w:rsid w:val="00DE4EB3"/>
    <w:rsid w:val="00DE64D8"/>
    <w:rsid w:val="00DF4623"/>
    <w:rsid w:val="00E00C7A"/>
    <w:rsid w:val="00E05CC0"/>
    <w:rsid w:val="00E13932"/>
    <w:rsid w:val="00E179C5"/>
    <w:rsid w:val="00E209CF"/>
    <w:rsid w:val="00E25314"/>
    <w:rsid w:val="00E25FEB"/>
    <w:rsid w:val="00E26C90"/>
    <w:rsid w:val="00E300FD"/>
    <w:rsid w:val="00E37D6C"/>
    <w:rsid w:val="00E46354"/>
    <w:rsid w:val="00E467AF"/>
    <w:rsid w:val="00E51B44"/>
    <w:rsid w:val="00E55AC3"/>
    <w:rsid w:val="00E55B68"/>
    <w:rsid w:val="00E606CC"/>
    <w:rsid w:val="00E67BE6"/>
    <w:rsid w:val="00E82758"/>
    <w:rsid w:val="00E82BB4"/>
    <w:rsid w:val="00E8683C"/>
    <w:rsid w:val="00E95B01"/>
    <w:rsid w:val="00EA172C"/>
    <w:rsid w:val="00EA2B72"/>
    <w:rsid w:val="00EB0060"/>
    <w:rsid w:val="00EB4B2A"/>
    <w:rsid w:val="00EB4DC8"/>
    <w:rsid w:val="00EC4F00"/>
    <w:rsid w:val="00ED6090"/>
    <w:rsid w:val="00ED71B1"/>
    <w:rsid w:val="00EE01E6"/>
    <w:rsid w:val="00EE6FB9"/>
    <w:rsid w:val="00EF245A"/>
    <w:rsid w:val="00EF425A"/>
    <w:rsid w:val="00EF672D"/>
    <w:rsid w:val="00F21988"/>
    <w:rsid w:val="00F317B1"/>
    <w:rsid w:val="00F37030"/>
    <w:rsid w:val="00F45CD3"/>
    <w:rsid w:val="00F4725C"/>
    <w:rsid w:val="00F57ADE"/>
    <w:rsid w:val="00F74360"/>
    <w:rsid w:val="00F926F2"/>
    <w:rsid w:val="00F94F65"/>
    <w:rsid w:val="00FB462F"/>
    <w:rsid w:val="00FC2367"/>
    <w:rsid w:val="00FD0A50"/>
    <w:rsid w:val="00FD3B84"/>
    <w:rsid w:val="00FD75C3"/>
    <w:rsid w:val="00FE16FA"/>
    <w:rsid w:val="00FE328A"/>
    <w:rsid w:val="00FE47D8"/>
    <w:rsid w:val="00FE6269"/>
    <w:rsid w:val="00FF5CD6"/>
    <w:rsid w:val="028C1D30"/>
    <w:rsid w:val="06915006"/>
    <w:rsid w:val="0751274D"/>
    <w:rsid w:val="07634BF4"/>
    <w:rsid w:val="07A77932"/>
    <w:rsid w:val="08F14AE1"/>
    <w:rsid w:val="0B567F72"/>
    <w:rsid w:val="0C7C6B53"/>
    <w:rsid w:val="0D3F15F5"/>
    <w:rsid w:val="0EF6245F"/>
    <w:rsid w:val="11E43B98"/>
    <w:rsid w:val="13692089"/>
    <w:rsid w:val="18985D2F"/>
    <w:rsid w:val="18FA38C9"/>
    <w:rsid w:val="1B323160"/>
    <w:rsid w:val="1B714E5F"/>
    <w:rsid w:val="1BFD5482"/>
    <w:rsid w:val="1E532BCB"/>
    <w:rsid w:val="1EBE63A2"/>
    <w:rsid w:val="1F041D62"/>
    <w:rsid w:val="1F6317DE"/>
    <w:rsid w:val="1F745786"/>
    <w:rsid w:val="21B1218A"/>
    <w:rsid w:val="238B2E7B"/>
    <w:rsid w:val="2AD95BF4"/>
    <w:rsid w:val="2F101369"/>
    <w:rsid w:val="321612FC"/>
    <w:rsid w:val="32B56379"/>
    <w:rsid w:val="38090922"/>
    <w:rsid w:val="38D75D21"/>
    <w:rsid w:val="395219B1"/>
    <w:rsid w:val="46BE0A2A"/>
    <w:rsid w:val="472236C4"/>
    <w:rsid w:val="47867568"/>
    <w:rsid w:val="47C05439"/>
    <w:rsid w:val="4B1C68ED"/>
    <w:rsid w:val="4B8003CD"/>
    <w:rsid w:val="4F976C0B"/>
    <w:rsid w:val="523F5138"/>
    <w:rsid w:val="538D47D7"/>
    <w:rsid w:val="538E105C"/>
    <w:rsid w:val="53BF69FD"/>
    <w:rsid w:val="591A5257"/>
    <w:rsid w:val="5D2E7409"/>
    <w:rsid w:val="60841B7E"/>
    <w:rsid w:val="635D15B9"/>
    <w:rsid w:val="64714AD2"/>
    <w:rsid w:val="64857E64"/>
    <w:rsid w:val="65965345"/>
    <w:rsid w:val="65F04BE5"/>
    <w:rsid w:val="6A484E25"/>
    <w:rsid w:val="6E0F6D2F"/>
    <w:rsid w:val="6EAE4254"/>
    <w:rsid w:val="74205B29"/>
    <w:rsid w:val="75F714AD"/>
    <w:rsid w:val="78081C98"/>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qFormat/>
    <w:uiPriority w:val="99"/>
    <w:pPr>
      <w:jc w:val="left"/>
    </w:pPr>
  </w:style>
  <w:style w:type="paragraph" w:styleId="3">
    <w:name w:val="Body Text"/>
    <w:basedOn w:val="1"/>
    <w:link w:val="12"/>
    <w:qFormat/>
    <w:uiPriority w:val="99"/>
    <w:pPr>
      <w:spacing w:before="100" w:beforeAutospacing="1" w:after="120"/>
    </w:pPr>
    <w:rPr>
      <w:rFonts w:ascii="Times New Roman" w:hAnsi="Times New Roman" w:cs="Times New Roman"/>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sz w:val="24"/>
    </w:rPr>
  </w:style>
  <w:style w:type="character" w:styleId="10">
    <w:name w:val="annotation reference"/>
    <w:basedOn w:val="9"/>
    <w:semiHidden/>
    <w:qFormat/>
    <w:uiPriority w:val="99"/>
    <w:rPr>
      <w:sz w:val="21"/>
      <w:szCs w:val="21"/>
    </w:rPr>
  </w:style>
  <w:style w:type="character" w:customStyle="1" w:styleId="11">
    <w:name w:val="批注文字 Char"/>
    <w:basedOn w:val="9"/>
    <w:link w:val="2"/>
    <w:semiHidden/>
    <w:qFormat/>
    <w:locked/>
    <w:uiPriority w:val="99"/>
    <w:rPr>
      <w:rFonts w:ascii="Calibri" w:hAnsi="Calibri" w:cs="Calibri"/>
      <w:sz w:val="21"/>
      <w:szCs w:val="21"/>
    </w:rPr>
  </w:style>
  <w:style w:type="character" w:customStyle="1" w:styleId="12">
    <w:name w:val="正文文本 Char"/>
    <w:basedOn w:val="9"/>
    <w:link w:val="3"/>
    <w:qFormat/>
    <w:locked/>
    <w:uiPriority w:val="99"/>
    <w:rPr>
      <w:rFonts w:eastAsia="宋体"/>
      <w:kern w:val="2"/>
      <w:sz w:val="21"/>
      <w:szCs w:val="21"/>
      <w:lang w:val="en-US" w:eastAsia="zh-CN"/>
    </w:rPr>
  </w:style>
  <w:style w:type="character" w:customStyle="1" w:styleId="13">
    <w:name w:val="批注框文本 Char"/>
    <w:basedOn w:val="9"/>
    <w:link w:val="4"/>
    <w:semiHidden/>
    <w:qFormat/>
    <w:locked/>
    <w:uiPriority w:val="99"/>
    <w:rPr>
      <w:sz w:val="18"/>
      <w:szCs w:val="18"/>
    </w:rPr>
  </w:style>
  <w:style w:type="character" w:customStyle="1" w:styleId="14">
    <w:name w:val="页脚 Char"/>
    <w:basedOn w:val="9"/>
    <w:link w:val="5"/>
    <w:qFormat/>
    <w:locked/>
    <w:uiPriority w:val="99"/>
    <w:rPr>
      <w:sz w:val="18"/>
      <w:szCs w:val="18"/>
    </w:rPr>
  </w:style>
  <w:style w:type="character" w:customStyle="1" w:styleId="15">
    <w:name w:val="页眉 Char"/>
    <w:basedOn w:val="9"/>
    <w:link w:val="6"/>
    <w:qFormat/>
    <w:locked/>
    <w:uiPriority w:val="99"/>
    <w:rPr>
      <w:sz w:val="18"/>
      <w:szCs w:val="18"/>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qFormat/>
    <w:uiPriority w:val="99"/>
    <w:pPr>
      <w:ind w:firstLine="420" w:firstLineChars="200"/>
    </w:pPr>
  </w:style>
  <w:style w:type="paragraph" w:customStyle="1" w:styleId="18">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93FD95-25EB-4197-91F1-D267498CAD5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8000</Words>
  <Characters>8714</Characters>
  <Lines>63</Lines>
  <Paragraphs>17</Paragraphs>
  <TotalTime>808</TotalTime>
  <ScaleCrop>false</ScaleCrop>
  <LinksUpToDate>false</LinksUpToDate>
  <CharactersWithSpaces>8737</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2022-10-11T01:13:00Z</cp:lastPrinted>
  <dcterms:modified xsi:type="dcterms:W3CDTF">2024-10-21T03:25:05Z</dcterms:modified>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6EBE52FCCCF24CFFADEC837B0F81A811_13</vt:lpwstr>
  </property>
</Properties>
</file>