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BDA4C">
      <w:pPr>
        <w:pStyle w:val="17"/>
        <w:jc w:val="both"/>
        <w:rPr>
          <w:rFonts w:ascii="Times New Roman" w:hAnsi="Times New Roman" w:cs="Times New Roman"/>
          <w:sz w:val="56"/>
          <w:szCs w:val="56"/>
        </w:rPr>
      </w:pPr>
    </w:p>
    <w:p w14:paraId="14419A17">
      <w:pPr>
        <w:pStyle w:val="17"/>
        <w:jc w:val="both"/>
        <w:rPr>
          <w:rFonts w:ascii="Times New Roman" w:hAnsi="Times New Roman" w:cs="Times New Roman"/>
          <w:sz w:val="56"/>
          <w:szCs w:val="56"/>
        </w:rPr>
      </w:pPr>
    </w:p>
    <w:p w14:paraId="4B40329F">
      <w:pPr>
        <w:pStyle w:val="17"/>
        <w:jc w:val="both"/>
        <w:rPr>
          <w:rFonts w:ascii="Times New Roman" w:hAnsi="Times New Roman" w:cs="Times New Roman"/>
          <w:sz w:val="84"/>
          <w:szCs w:val="84"/>
        </w:rPr>
      </w:pPr>
    </w:p>
    <w:p w14:paraId="33E16960">
      <w:pPr>
        <w:pStyle w:val="17"/>
        <w:jc w:val="center"/>
        <w:rPr>
          <w:rFonts w:ascii="Times New Roman" w:hAnsi="Times New Roman" w:eastAsia="方正小标宋简体" w:cs="Times New Roman"/>
          <w:sz w:val="76"/>
          <w:szCs w:val="76"/>
        </w:rPr>
      </w:pPr>
    </w:p>
    <w:p w14:paraId="0E1607F7">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49ADA29D">
      <w:pPr>
        <w:pStyle w:val="17"/>
        <w:jc w:val="center"/>
        <w:rPr>
          <w:rFonts w:hint="default" w:ascii="Times New Roman" w:hAnsi="Times New Roman" w:cs="Times New Roman"/>
          <w:lang w:val="en-US"/>
        </w:rPr>
      </w:pPr>
      <w:bookmarkStart w:id="0" w:name="_GoBack"/>
      <w:r>
        <w:rPr>
          <w:rFonts w:hint="eastAsia" w:ascii="Times New Roman" w:hAnsi="Times New Roman" w:eastAsia="方正小标宋简体" w:cs="Times New Roman"/>
          <w:sz w:val="72"/>
          <w:szCs w:val="72"/>
          <w:lang w:val="en-US" w:eastAsia="zh-CN"/>
        </w:rPr>
        <w:t>株洲市石峰区市场监督管理局</w:t>
      </w:r>
    </w:p>
    <w:bookmarkEnd w:id="0"/>
    <w:p w14:paraId="777EB5CD">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37C84FF">
      <w:pPr>
        <w:pStyle w:val="17"/>
        <w:jc w:val="both"/>
        <w:rPr>
          <w:rFonts w:ascii="Times New Roman" w:hAnsi="Times New Roman" w:cs="Times New Roman"/>
          <w:sz w:val="32"/>
          <w:szCs w:val="32"/>
        </w:rPr>
      </w:pPr>
    </w:p>
    <w:p w14:paraId="6DA100CD">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18206D55">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val="en-US" w:eastAsia="zh-CN"/>
        </w:rPr>
        <w:t>株洲市石峰区市场监督管理局</w:t>
      </w:r>
      <w:r>
        <w:rPr>
          <w:rFonts w:ascii="Times New Roman" w:hAnsi="Times New Roman" w:cs="Times New Roman"/>
          <w:sz w:val="32"/>
          <w:szCs w:val="32"/>
        </w:rPr>
        <w:t>概况</w:t>
      </w:r>
    </w:p>
    <w:p w14:paraId="4E02A28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FE0CBC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2CB09F02">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E75ABA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56F858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9CA897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E81429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CD69FB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6E8D2F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8D9929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0FA4CA7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41948DF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6D4FE89F">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7B0D122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CF936AA">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F92A9D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87F75D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D5BFBD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E8470A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7B3808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703201D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51A878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5AB683B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1175B65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4ACA960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17168F0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51C24DB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6C31895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0519D30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184ACB73">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00E9AF9C">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34984012">
      <w:pPr>
        <w:pStyle w:val="17"/>
        <w:jc w:val="both"/>
        <w:rPr>
          <w:rFonts w:ascii="Times New Roman" w:hAnsi="Times New Roman" w:cs="Times New Roman"/>
          <w:sz w:val="84"/>
          <w:szCs w:val="84"/>
        </w:rPr>
      </w:pPr>
    </w:p>
    <w:p w14:paraId="6A688D30">
      <w:pPr>
        <w:pStyle w:val="17"/>
        <w:jc w:val="both"/>
        <w:rPr>
          <w:rFonts w:ascii="Times New Roman" w:hAnsi="Times New Roman" w:cs="Times New Roman"/>
          <w:sz w:val="84"/>
          <w:szCs w:val="84"/>
        </w:rPr>
      </w:pPr>
    </w:p>
    <w:p w14:paraId="1DC71553">
      <w:pPr>
        <w:pStyle w:val="17"/>
        <w:jc w:val="center"/>
        <w:rPr>
          <w:rFonts w:ascii="Times New Roman" w:hAnsi="Times New Roman" w:eastAsia="方正小标宋简体" w:cs="Times New Roman"/>
          <w:w w:val="90"/>
          <w:sz w:val="76"/>
          <w:szCs w:val="76"/>
        </w:rPr>
      </w:pPr>
    </w:p>
    <w:p w14:paraId="04AAAE29">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1B117A69">
      <w:pPr>
        <w:pStyle w:val="17"/>
        <w:jc w:val="center"/>
        <w:rPr>
          <w:rFonts w:ascii="Times New Roman" w:hAnsi="Times New Roman" w:eastAsia="方正小标宋简体" w:cs="Times New Roman"/>
          <w:sz w:val="76"/>
          <w:szCs w:val="76"/>
        </w:rPr>
      </w:pPr>
    </w:p>
    <w:p w14:paraId="070640CC">
      <w:pPr>
        <w:pStyle w:val="17"/>
        <w:jc w:val="center"/>
        <w:rPr>
          <w:rFonts w:hint="default" w:ascii="Times New Roman" w:hAnsi="Times New Roman" w:eastAsia="方正小标宋简体" w:cs="Times New Roman"/>
          <w:b/>
          <w:bCs/>
          <w:sz w:val="72"/>
          <w:szCs w:val="72"/>
          <w:lang w:val="en-US"/>
        </w:rPr>
      </w:pPr>
      <w:r>
        <w:rPr>
          <w:rFonts w:hint="eastAsia" w:ascii="Times New Roman" w:hAnsi="Times New Roman" w:eastAsia="方正小标宋简体" w:cs="Times New Roman"/>
          <w:sz w:val="72"/>
          <w:szCs w:val="72"/>
          <w:lang w:val="en-US" w:eastAsia="zh-CN"/>
        </w:rPr>
        <w:t>株洲市石峰区市场监督管理局</w:t>
      </w:r>
    </w:p>
    <w:p w14:paraId="4C3A0CC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7F1D3760">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447950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株洲市石峰区市场监督管理局</w:t>
      </w:r>
      <w:r>
        <w:rPr>
          <w:rFonts w:hint="eastAsia" w:ascii="仿宋" w:hAnsi="仿宋" w:eastAsia="仿宋" w:cs="仿宋"/>
          <w:bCs/>
          <w:kern w:val="0"/>
          <w:sz w:val="32"/>
          <w:szCs w:val="32"/>
        </w:rPr>
        <w:t>（以下简称</w:t>
      </w:r>
      <w:r>
        <w:rPr>
          <w:rFonts w:hint="eastAsia" w:ascii="仿宋" w:hAnsi="仿宋" w:eastAsia="仿宋" w:cs="仿宋"/>
          <w:bCs/>
          <w:kern w:val="0"/>
          <w:sz w:val="32"/>
          <w:szCs w:val="32"/>
          <w:lang w:eastAsia="zh-CN"/>
        </w:rPr>
        <w:t>区</w:t>
      </w:r>
      <w:r>
        <w:rPr>
          <w:rFonts w:hint="eastAsia" w:ascii="仿宋" w:hAnsi="仿宋" w:eastAsia="仿宋" w:cs="仿宋"/>
          <w:bCs/>
          <w:kern w:val="0"/>
          <w:sz w:val="32"/>
          <w:szCs w:val="32"/>
          <w:lang w:val="en-US" w:eastAsia="zh-CN"/>
        </w:rPr>
        <w:t>市场监管局</w:t>
      </w:r>
      <w:r>
        <w:rPr>
          <w:rFonts w:hint="eastAsia" w:ascii="仿宋" w:hAnsi="仿宋" w:eastAsia="仿宋" w:cs="仿宋"/>
          <w:bCs/>
          <w:kern w:val="0"/>
          <w:sz w:val="32"/>
          <w:szCs w:val="32"/>
        </w:rPr>
        <w:t>）的主要职责是：</w:t>
      </w:r>
    </w:p>
    <w:p w14:paraId="49BB95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负责市场综合监督管理。组织实施市场监督管理、知识产权有关法律、法规、规章和政策。组织实施质量强区战略、食品安全战略、标准化战略和知识产权战略，拟订并组织实施有关规划，规范和维护市场秩序，营造诚实守信、公平竞争的市场环境。</w:t>
      </w:r>
    </w:p>
    <w:p w14:paraId="5D0FAD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负责市场主体统一登记注册。负责权限内全区各类企业、农民专业合作社和从事经营活动的单位、个体工商户等市场主体的登记注册和监督管理工作。建立市场主体信息公示和共享机制，依法公示和共享有关信息，加强信用监管，推动市场主体信用体系建设。</w:t>
      </w:r>
    </w:p>
    <w:p w14:paraId="574BBC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负责监督管理市场秩序。依法推进竞争政策实施，组织实施公平竞争审查制度。依法监督管理市场交易、网络商品交易及有关服务的行为。依法监督管理价格收费违法违规、不正当竞争、违法直销、传销、侵犯商标专利知识产权和制售假冒伪劣行为。指导广告业发展，监督管理广告活动。依法监督管理无照生产经营和相关生产经营行为。</w:t>
      </w:r>
    </w:p>
    <w:p w14:paraId="4F4DD8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负责质量管理工作。拟订并组织实施推进质量强区战略的政策措施。参与产品质量事故调查。负责监督实施缺陷产品召回制度相关工作、监督管理产品防伪工作。复制组织实施产权质量检验、监督抽查和风险监控工作。组织实施产品质量分类分级制度、质量安全追溯制度。负责工业产品生产许可获证企业日常监管工作。</w:t>
      </w:r>
    </w:p>
    <w:p w14:paraId="5FBF3A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（五）负责产品质量安全监督管理。组织实施产品质量检验、监督抽查和风险监控工作。组织实施产品质量分类分级制度、质量安全追溯制度。负责工业产品生产许可获证企业日常监管工作。</w:t>
      </w:r>
    </w:p>
    <w:p w14:paraId="04D277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负责特种设备安全监督管理。综合管理特种设备安全监察、监督工作。监督检查高能耗特种设备节能标准和锅炉环境保护标准的执行情况。对辖区特种设备的应急救援、投诉举报进行处置，牵头落实相关领域内的安全工作。按照规定权限组织调查处理特种设备事故并进行统计分析。</w:t>
      </w:r>
    </w:p>
    <w:p w14:paraId="60FED6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负责食品安全监督管理综合协调。拟订并组织实施食品安全有关政策措施。负责食品安全应急体系建设，组织实施食品安全事件应急处置和调查处理工作。建立健全食品安全重要信息直报制度。承担区食品安全委员会日常工作。</w:t>
      </w:r>
    </w:p>
    <w:p w14:paraId="3AD1BD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监督管理。负责食盐专营管理和食盐质量安全监督管理。</w:t>
      </w:r>
    </w:p>
    <w:p w14:paraId="78D84E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九）在法定权限内负责监督实施药品（含中药、民族药，下同）、医疗器械、化妆品标准和分类管理制度。监督实施权限内药品、医疗器械经营、使用质量管理规范。监督实施权限内化妆品经营、使用卫生标准和技术规范。配合实施国家基本药物制度。配合做好放射性药品、麻醉药品、毒性药品及精神药品、药品类易制毒化学品监督管理工作。</w:t>
      </w:r>
    </w:p>
    <w:p w14:paraId="1B34A3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（十）负责权限内药品、医疗器械和化妆品安全监督检查。制定检查制度，组织实施监督抽检，监督实施问题产品召回和处置制度。</w:t>
      </w:r>
    </w:p>
    <w:p w14:paraId="001C18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（十一）负责药品、医疗器械、化妆品上市后风险管理，组织开展药品和化妆品不良反应、医疗器械不良事件的监测管理与风险处置工作。依法承担药品、医疗器械、化妆品安全应急管理工作。</w:t>
      </w:r>
    </w:p>
    <w:p w14:paraId="6B39B7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（十二）负责统一管理计量工作。推行法定计量单位和国家计量制度。依职责管理计量器具及量值传递和比对工作。规范、监督商品量和市场计量行为。</w:t>
      </w:r>
    </w:p>
    <w:p w14:paraId="6A82B8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（十三）负责统一管理标准化工作。依据法定职责，对标准的制定进行指导监督，对标准的实施进行监督检查，鼓励企业、社会团体和教育、科研机构等开展或参与标准化工作。</w:t>
      </w:r>
    </w:p>
    <w:p w14:paraId="567390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四）负责统一管理和监督认证认可工作。负责对辖区内检验、检测机构的监督管理工作。推动强制性产品认证制度的实施和自愿性认证活动的开展。维护认证市场秩序，依法监督管理辖区内认证认可和合格评定有关活动。</w:t>
      </w:r>
    </w:p>
    <w:p w14:paraId="00B372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五）负责知识产权保护综合协调工作。组织落实知识产权保护体系和公共服务体系建设，负责商标、专利、地理标志的日常监管。指导企事业单位知识产权业务。组织开展知识产权运营工作，促进知识产权与科技金融相结合。</w:t>
      </w:r>
    </w:p>
    <w:p w14:paraId="28272A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（十六）负责组织开展有关消费维权工作，负责消费者咨询、投诉举报受理和处理等工作，保护经营者、消费者合法权益。指导区消费者委员会开展消费维权工作。</w:t>
      </w:r>
    </w:p>
    <w:p w14:paraId="7A9831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（十七）负责协助市市场监管局开展市场监管综合行政执法工作，依法查办辖区内市市场监管局委托的违反市场监管法律、法规、规章的相关案件。</w:t>
      </w:r>
    </w:p>
    <w:p w14:paraId="3D3EC1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（十八）完成区委、区人民政府及上级业务主管部门交办的其他任务。</w:t>
      </w:r>
    </w:p>
    <w:p w14:paraId="150C8A92">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1317BC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内设机构设置。株洲市石峰区市场监督管理局内设机构包括：综合办公室、行政审批股、信用监督管理股、市场秩序和价格监督管理股、计量认证质量标准和特种设备安全监察股、餐饮和食品生产流通安全监督管理股、药品医疗器械化妆品和特殊食品监督管理股、知识产权和商标广告监督管理股、消费者权益保护股、综合监督和政策法规股、机关党委。下设5个市场监督管理所和1个股级公益一类事业单位——市场监管网格和信息中心。</w:t>
      </w:r>
    </w:p>
    <w:p w14:paraId="5D56ED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（二）决算单位构成。株洲市石峰区市场监督管理局单位2023年部门决算汇总公开单位构成包括：株洲市石峰区市场监督管理局单位本级。</w:t>
      </w:r>
    </w:p>
    <w:p w14:paraId="69D4DA62">
      <w:pPr>
        <w:pStyle w:val="17"/>
        <w:jc w:val="both"/>
        <w:rPr>
          <w:rFonts w:ascii="Times New Roman" w:hAnsi="Times New Roman" w:cs="Times New Roman"/>
          <w:sz w:val="84"/>
          <w:szCs w:val="84"/>
        </w:rPr>
      </w:pPr>
    </w:p>
    <w:p w14:paraId="4E951503">
      <w:pPr>
        <w:pStyle w:val="17"/>
        <w:jc w:val="both"/>
        <w:rPr>
          <w:rFonts w:ascii="Times New Roman" w:hAnsi="Times New Roman" w:cs="Times New Roman"/>
          <w:sz w:val="84"/>
          <w:szCs w:val="84"/>
        </w:rPr>
      </w:pPr>
    </w:p>
    <w:p w14:paraId="233A5630">
      <w:pPr>
        <w:pStyle w:val="17"/>
        <w:jc w:val="both"/>
        <w:rPr>
          <w:rFonts w:ascii="Times New Roman" w:hAnsi="Times New Roman" w:cs="Times New Roman"/>
          <w:sz w:val="84"/>
          <w:szCs w:val="84"/>
        </w:rPr>
      </w:pPr>
    </w:p>
    <w:p w14:paraId="74E55BFF">
      <w:pPr>
        <w:pStyle w:val="17"/>
        <w:jc w:val="both"/>
        <w:rPr>
          <w:rFonts w:ascii="Times New Roman" w:hAnsi="Times New Roman" w:cs="Times New Roman"/>
          <w:sz w:val="84"/>
          <w:szCs w:val="84"/>
        </w:rPr>
      </w:pPr>
    </w:p>
    <w:p w14:paraId="7102E9F9">
      <w:pPr>
        <w:pStyle w:val="17"/>
        <w:jc w:val="both"/>
        <w:rPr>
          <w:rFonts w:ascii="Times New Roman" w:hAnsi="Times New Roman" w:cs="Times New Roman"/>
          <w:sz w:val="84"/>
          <w:szCs w:val="84"/>
        </w:rPr>
      </w:pPr>
    </w:p>
    <w:p w14:paraId="2E4737BC">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68B44259">
      <w:pPr>
        <w:pStyle w:val="17"/>
        <w:jc w:val="center"/>
        <w:rPr>
          <w:rFonts w:ascii="Times New Roman" w:hAnsi="Times New Roman" w:eastAsia="方正小标宋简体" w:cs="Times New Roman"/>
          <w:sz w:val="76"/>
          <w:szCs w:val="76"/>
        </w:rPr>
      </w:pPr>
    </w:p>
    <w:p w14:paraId="084D0F0A">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28CEA670">
      <w:pPr>
        <w:rPr>
          <w:rFonts w:ascii="Times New Roman" w:hAnsi="Times New Roman" w:eastAsia="仿宋_GB2312" w:cs="Times New Roman"/>
          <w:sz w:val="72"/>
          <w:szCs w:val="72"/>
        </w:rPr>
      </w:pPr>
    </w:p>
    <w:p w14:paraId="1759D518">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2D05D42B">
      <w:pPr>
        <w:pStyle w:val="17"/>
        <w:jc w:val="both"/>
        <w:rPr>
          <w:rFonts w:ascii="Times New Roman" w:hAnsi="Times New Roman" w:cs="Times New Roman"/>
          <w:sz w:val="84"/>
          <w:szCs w:val="84"/>
        </w:rPr>
      </w:pPr>
    </w:p>
    <w:p w14:paraId="7E6FCAE2">
      <w:pPr>
        <w:pStyle w:val="17"/>
        <w:jc w:val="both"/>
        <w:rPr>
          <w:rFonts w:ascii="Times New Roman" w:hAnsi="Times New Roman" w:cs="Times New Roman"/>
          <w:sz w:val="84"/>
          <w:szCs w:val="84"/>
        </w:rPr>
      </w:pPr>
    </w:p>
    <w:p w14:paraId="7EAD178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4B4EA04D">
      <w:pPr>
        <w:pStyle w:val="17"/>
        <w:jc w:val="center"/>
        <w:rPr>
          <w:rFonts w:ascii="Times New Roman" w:hAnsi="Times New Roman" w:eastAsia="方正小标宋简体" w:cs="Times New Roman"/>
          <w:sz w:val="76"/>
          <w:szCs w:val="76"/>
        </w:rPr>
      </w:pPr>
    </w:p>
    <w:p w14:paraId="021A0C43">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0E8EE9C9">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334D47C6">
      <w:pPr>
        <w:pStyle w:val="17"/>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年度收、支总计</w:t>
      </w:r>
      <w:r>
        <w:rPr>
          <w:rFonts w:hint="eastAsia" w:ascii="仿宋" w:hAnsi="仿宋" w:eastAsia="仿宋" w:cs="仿宋"/>
          <w:color w:val="auto"/>
          <w:sz w:val="32"/>
          <w:szCs w:val="32"/>
          <w:lang w:val="en-US" w:eastAsia="zh-CN"/>
        </w:rPr>
        <w:t>1359.46</w:t>
      </w:r>
      <w:r>
        <w:rPr>
          <w:rFonts w:hint="eastAsia" w:ascii="仿宋" w:hAnsi="仿宋" w:eastAsia="仿宋" w:cs="仿宋"/>
          <w:color w:val="auto"/>
          <w:sz w:val="32"/>
          <w:szCs w:val="32"/>
        </w:rPr>
        <w:t>万元。与上年相比，</w:t>
      </w:r>
      <w:r>
        <w:rPr>
          <w:rFonts w:hint="eastAsia" w:ascii="仿宋" w:hAnsi="仿宋" w:eastAsia="仿宋" w:cs="仿宋"/>
          <w:color w:val="auto"/>
          <w:sz w:val="32"/>
          <w:szCs w:val="32"/>
          <w:lang w:val="en-US" w:eastAsia="zh-CN"/>
        </w:rPr>
        <w:t>增加405.98</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增加42.58</w:t>
      </w:r>
      <w:r>
        <w:rPr>
          <w:rFonts w:hint="eastAsia" w:ascii="仿宋" w:hAnsi="仿宋" w:eastAsia="仿宋" w:cs="仿宋"/>
          <w:color w:val="auto"/>
          <w:sz w:val="32"/>
          <w:szCs w:val="32"/>
        </w:rPr>
        <w:t>%，主要</w:t>
      </w:r>
      <w:r>
        <w:rPr>
          <w:rFonts w:hint="eastAsia" w:ascii="仿宋" w:hAnsi="仿宋" w:eastAsia="仿宋" w:cs="仿宋"/>
          <w:color w:val="auto"/>
          <w:sz w:val="32"/>
          <w:szCs w:val="32"/>
          <w:lang w:eastAsia="zh-CN"/>
        </w:rPr>
        <w:t>原因：一</w:t>
      </w:r>
      <w:r>
        <w:rPr>
          <w:rFonts w:hint="eastAsia" w:ascii="仿宋" w:hAnsi="仿宋" w:eastAsia="仿宋" w:cs="仿宋"/>
          <w:color w:val="auto"/>
          <w:sz w:val="32"/>
          <w:szCs w:val="32"/>
          <w:lang w:val="en-US" w:eastAsia="zh-CN"/>
        </w:rPr>
        <w:t>是人员增加造成人员经费增加；二是上级追加专项资金。</w:t>
      </w:r>
    </w:p>
    <w:p w14:paraId="5B1629BB">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4BA6ACE7">
      <w:pPr>
        <w:pStyle w:val="17"/>
        <w:ind w:firstLine="640" w:firstLineChars="200"/>
        <w:rPr>
          <w:rFonts w:ascii="Times New Roman" w:hAnsi="Times New Roman" w:cs="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1359.46</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1356.54</w:t>
      </w:r>
      <w:r>
        <w:rPr>
          <w:rFonts w:hint="eastAsia" w:ascii="仿宋" w:hAnsi="仿宋" w:eastAsia="仿宋" w:cs="仿宋"/>
          <w:sz w:val="32"/>
          <w:szCs w:val="32"/>
        </w:rPr>
        <w:t>万元，占</w:t>
      </w:r>
      <w:r>
        <w:rPr>
          <w:rFonts w:hint="eastAsia" w:ascii="仿宋" w:hAnsi="仿宋" w:eastAsia="仿宋" w:cs="仿宋"/>
          <w:sz w:val="32"/>
          <w:szCs w:val="32"/>
          <w:lang w:val="en-US" w:eastAsia="zh-CN"/>
        </w:rPr>
        <w:t>99.79</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2.92</w:t>
      </w:r>
      <w:r>
        <w:rPr>
          <w:rFonts w:hint="eastAsia" w:ascii="仿宋" w:hAnsi="仿宋" w:eastAsia="仿宋" w:cs="仿宋"/>
          <w:sz w:val="32"/>
          <w:szCs w:val="32"/>
        </w:rPr>
        <w:t>万元，占</w:t>
      </w:r>
      <w:r>
        <w:rPr>
          <w:rFonts w:hint="eastAsia" w:ascii="仿宋" w:hAnsi="仿宋" w:eastAsia="仿宋" w:cs="仿宋"/>
          <w:sz w:val="32"/>
          <w:szCs w:val="32"/>
          <w:lang w:val="en-US" w:eastAsia="zh-CN"/>
        </w:rPr>
        <w:t>0.21</w:t>
      </w:r>
      <w:r>
        <w:rPr>
          <w:rFonts w:hint="eastAsia" w:ascii="仿宋" w:hAnsi="仿宋" w:eastAsia="仿宋" w:cs="仿宋"/>
          <w:sz w:val="32"/>
          <w:szCs w:val="32"/>
        </w:rPr>
        <w:t>%。</w:t>
      </w:r>
    </w:p>
    <w:p w14:paraId="01828C8F">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613804A4">
      <w:pPr>
        <w:pStyle w:val="17"/>
        <w:ind w:firstLine="640" w:firstLineChars="200"/>
        <w:rPr>
          <w:rFonts w:ascii="Times New Roman" w:hAnsi="Times New Roman" w:cs="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1359.46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998.09</w:t>
      </w:r>
      <w:r>
        <w:rPr>
          <w:rFonts w:hint="eastAsia" w:ascii="仿宋" w:hAnsi="仿宋" w:eastAsia="仿宋" w:cs="仿宋"/>
          <w:sz w:val="32"/>
          <w:szCs w:val="32"/>
        </w:rPr>
        <w:t>万元，占</w:t>
      </w:r>
      <w:r>
        <w:rPr>
          <w:rFonts w:hint="eastAsia" w:ascii="仿宋" w:hAnsi="仿宋" w:eastAsia="仿宋" w:cs="仿宋"/>
          <w:sz w:val="32"/>
          <w:szCs w:val="32"/>
          <w:lang w:val="en-US" w:eastAsia="zh-CN"/>
        </w:rPr>
        <w:t>73.42</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361.37</w:t>
      </w:r>
      <w:r>
        <w:rPr>
          <w:rFonts w:hint="eastAsia" w:ascii="仿宋" w:hAnsi="仿宋" w:eastAsia="仿宋" w:cs="仿宋"/>
          <w:sz w:val="32"/>
          <w:szCs w:val="32"/>
        </w:rPr>
        <w:t>万元，占</w:t>
      </w:r>
      <w:r>
        <w:rPr>
          <w:rFonts w:hint="eastAsia" w:ascii="仿宋" w:hAnsi="仿宋" w:eastAsia="仿宋" w:cs="仿宋"/>
          <w:sz w:val="32"/>
          <w:szCs w:val="32"/>
          <w:lang w:val="en-US" w:eastAsia="zh-CN"/>
        </w:rPr>
        <w:t>26.58</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1F4D026A">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18D4859E">
      <w:pPr>
        <w:pStyle w:val="17"/>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年度财政拨款收、支总计</w:t>
      </w:r>
      <w:r>
        <w:rPr>
          <w:rFonts w:hint="eastAsia" w:ascii="仿宋" w:hAnsi="仿宋" w:eastAsia="仿宋" w:cs="仿宋"/>
          <w:color w:val="auto"/>
          <w:sz w:val="32"/>
          <w:szCs w:val="32"/>
          <w:lang w:val="en-US" w:eastAsia="zh-CN"/>
        </w:rPr>
        <w:t>1356.54</w:t>
      </w:r>
      <w:r>
        <w:rPr>
          <w:rFonts w:hint="eastAsia" w:ascii="仿宋" w:hAnsi="仿宋" w:eastAsia="仿宋" w:cs="仿宋"/>
          <w:color w:val="auto"/>
          <w:sz w:val="32"/>
          <w:szCs w:val="32"/>
        </w:rPr>
        <w:t>万元，与上年相比，</w:t>
      </w:r>
      <w:r>
        <w:rPr>
          <w:rFonts w:hint="eastAsia" w:ascii="仿宋" w:hAnsi="仿宋" w:eastAsia="仿宋" w:cs="仿宋"/>
          <w:color w:val="auto"/>
          <w:sz w:val="32"/>
          <w:szCs w:val="32"/>
          <w:lang w:val="en-US" w:eastAsia="zh-CN"/>
        </w:rPr>
        <w:t>增加408.93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增加43.15</w:t>
      </w:r>
      <w:r>
        <w:rPr>
          <w:rFonts w:hint="eastAsia" w:ascii="仿宋" w:hAnsi="仿宋" w:eastAsia="仿宋" w:cs="仿宋"/>
          <w:color w:val="auto"/>
          <w:sz w:val="32"/>
          <w:szCs w:val="32"/>
        </w:rPr>
        <w:t>%主要</w:t>
      </w:r>
      <w:r>
        <w:rPr>
          <w:rFonts w:hint="eastAsia" w:ascii="仿宋" w:hAnsi="仿宋" w:eastAsia="仿宋" w:cs="仿宋"/>
          <w:color w:val="auto"/>
          <w:sz w:val="32"/>
          <w:szCs w:val="32"/>
          <w:lang w:eastAsia="zh-CN"/>
        </w:rPr>
        <w:t>原因：一</w:t>
      </w:r>
      <w:r>
        <w:rPr>
          <w:rFonts w:hint="eastAsia" w:ascii="仿宋" w:hAnsi="仿宋" w:eastAsia="仿宋" w:cs="仿宋"/>
          <w:color w:val="auto"/>
          <w:sz w:val="32"/>
          <w:szCs w:val="32"/>
          <w:lang w:val="en-US" w:eastAsia="zh-CN"/>
        </w:rPr>
        <w:t>是人员增加造成人员经费增加；二是上级追加专项资金。</w:t>
      </w:r>
    </w:p>
    <w:p w14:paraId="1796721B">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1527861A">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61679357">
      <w:pPr>
        <w:pStyle w:val="17"/>
        <w:ind w:firstLine="640" w:firstLineChars="200"/>
        <w:rPr>
          <w:rFonts w:ascii="Times New Roman" w:hAnsi="Times New Roman" w:eastAsia="楷体_GB2312" w:cs="Times New Roman"/>
          <w:b/>
          <w:color w:val="auto"/>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1356.54</w:t>
      </w:r>
      <w:r>
        <w:rPr>
          <w:rFonts w:hint="eastAsia" w:ascii="仿宋" w:hAnsi="仿宋" w:eastAsia="仿宋" w:cs="仿宋"/>
          <w:sz w:val="32"/>
          <w:szCs w:val="32"/>
        </w:rPr>
        <w:t>万元，占本年支出合计的</w:t>
      </w:r>
      <w:r>
        <w:rPr>
          <w:rFonts w:hint="eastAsia" w:ascii="仿宋" w:hAnsi="仿宋" w:eastAsia="仿宋" w:cs="仿宋"/>
          <w:color w:val="auto"/>
          <w:sz w:val="32"/>
          <w:szCs w:val="32"/>
          <w:lang w:val="en-US" w:eastAsia="zh-CN"/>
        </w:rPr>
        <w:t>99.79</w:t>
      </w:r>
      <w:r>
        <w:rPr>
          <w:rFonts w:hint="eastAsia" w:ascii="仿宋" w:hAnsi="仿宋" w:eastAsia="仿宋" w:cs="仿宋"/>
          <w:color w:val="auto"/>
          <w:sz w:val="32"/>
          <w:szCs w:val="32"/>
        </w:rPr>
        <w:t>%，与上年相比，财政拨款支出</w:t>
      </w:r>
      <w:r>
        <w:rPr>
          <w:rFonts w:hint="eastAsia" w:ascii="仿宋" w:hAnsi="仿宋" w:eastAsia="仿宋" w:cs="仿宋"/>
          <w:color w:val="auto"/>
          <w:sz w:val="32"/>
          <w:szCs w:val="32"/>
          <w:lang w:val="en-US" w:eastAsia="zh-CN"/>
        </w:rPr>
        <w:t>增加408.93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增加43.15</w:t>
      </w:r>
      <w:r>
        <w:rPr>
          <w:rFonts w:hint="eastAsia" w:ascii="仿宋" w:hAnsi="仿宋" w:eastAsia="仿宋" w:cs="仿宋"/>
          <w:color w:val="auto"/>
          <w:sz w:val="32"/>
          <w:szCs w:val="32"/>
        </w:rPr>
        <w:t>%，主要</w:t>
      </w:r>
      <w:r>
        <w:rPr>
          <w:rFonts w:hint="eastAsia" w:ascii="仿宋" w:hAnsi="仿宋" w:eastAsia="仿宋" w:cs="仿宋"/>
          <w:color w:val="auto"/>
          <w:sz w:val="32"/>
          <w:szCs w:val="32"/>
          <w:lang w:eastAsia="zh-CN"/>
        </w:rPr>
        <w:t>原因：一</w:t>
      </w:r>
      <w:r>
        <w:rPr>
          <w:rFonts w:hint="eastAsia" w:ascii="仿宋" w:hAnsi="仿宋" w:eastAsia="仿宋" w:cs="仿宋"/>
          <w:color w:val="auto"/>
          <w:sz w:val="32"/>
          <w:szCs w:val="32"/>
          <w:lang w:val="en-US" w:eastAsia="zh-CN"/>
        </w:rPr>
        <w:t>是人员增加造成人员经费增加；二是上级追加专项资金。</w:t>
      </w:r>
    </w:p>
    <w:p w14:paraId="72B4E160">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73BADA30">
      <w:pPr>
        <w:pStyle w:val="17"/>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1356.54</w:t>
      </w:r>
      <w:r>
        <w:rPr>
          <w:rFonts w:hint="eastAsia" w:ascii="仿宋" w:hAnsi="仿宋" w:eastAsia="仿宋" w:cs="仿宋"/>
          <w:sz w:val="32"/>
          <w:szCs w:val="32"/>
        </w:rPr>
        <w:t>万元，主要用于一般公共服务（类）支出</w:t>
      </w:r>
      <w:r>
        <w:rPr>
          <w:rFonts w:hint="eastAsia" w:ascii="仿宋" w:hAnsi="仿宋" w:eastAsia="仿宋" w:cs="仿宋"/>
          <w:sz w:val="32"/>
          <w:szCs w:val="32"/>
          <w:lang w:val="en-US" w:eastAsia="zh-CN"/>
        </w:rPr>
        <w:t>1356.54</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654865C1">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6E261FD0">
      <w:pPr>
        <w:pStyle w:val="17"/>
        <w:ind w:firstLine="800" w:firstLineChars="25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993.19</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1356.54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136.58</w:t>
      </w:r>
      <w:r>
        <w:rPr>
          <w:rFonts w:hint="eastAsia" w:ascii="仿宋" w:hAnsi="仿宋" w:eastAsia="仿宋" w:cs="仿宋"/>
          <w:sz w:val="32"/>
          <w:szCs w:val="32"/>
        </w:rPr>
        <w:t>%，其中：</w:t>
      </w:r>
    </w:p>
    <w:p w14:paraId="117C60D9">
      <w:pPr>
        <w:pStyle w:val="17"/>
        <w:ind w:firstLine="800" w:firstLineChars="250"/>
        <w:rPr>
          <w:rFonts w:hint="eastAsia" w:ascii="仿宋" w:hAnsi="仿宋" w:eastAsia="仿宋" w:cs="仿宋"/>
          <w:sz w:val="32"/>
          <w:szCs w:val="32"/>
        </w:rPr>
      </w:pPr>
      <w:r>
        <w:rPr>
          <w:rFonts w:hint="eastAsia" w:ascii="仿宋" w:hAnsi="仿宋" w:eastAsia="仿宋" w:cs="仿宋"/>
          <w:sz w:val="32"/>
          <w:szCs w:val="32"/>
        </w:rPr>
        <w:t>1、一般公共服务（类）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p>
    <w:p w14:paraId="31172370">
      <w:pPr>
        <w:pStyle w:val="17"/>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903.19</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995.16</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110.18</w:t>
      </w:r>
      <w:r>
        <w:rPr>
          <w:rFonts w:hint="eastAsia" w:ascii="仿宋" w:hAnsi="仿宋" w:eastAsia="仿宋" w:cs="仿宋"/>
          <w:color w:val="auto"/>
          <w:sz w:val="32"/>
          <w:szCs w:val="32"/>
        </w:rPr>
        <w:t>%，决算数大于年初预算数的主要原因</w:t>
      </w:r>
      <w:r>
        <w:rPr>
          <w:rFonts w:hint="eastAsia" w:ascii="仿宋" w:hAnsi="仿宋" w:eastAsia="仿宋" w:cs="仿宋"/>
          <w:color w:val="auto"/>
          <w:sz w:val="32"/>
          <w:szCs w:val="32"/>
          <w:lang w:val="en-US" w:eastAsia="zh-CN"/>
        </w:rPr>
        <w:t>是人员增加造成人员经费大幅增长</w:t>
      </w:r>
      <w:r>
        <w:rPr>
          <w:rFonts w:hint="eastAsia" w:ascii="仿宋" w:hAnsi="仿宋" w:eastAsia="仿宋" w:cs="仿宋"/>
          <w:color w:val="auto"/>
          <w:sz w:val="32"/>
          <w:szCs w:val="32"/>
          <w:lang w:eastAsia="zh-CN"/>
        </w:rPr>
        <w:t>。</w:t>
      </w:r>
    </w:p>
    <w:p w14:paraId="5776C77B">
      <w:pPr>
        <w:pStyle w:val="17"/>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2、一般公共服务支出（类）知识产权事务（款）</w:t>
      </w:r>
      <w:r>
        <w:rPr>
          <w:rFonts w:hint="eastAsia" w:ascii="仿宋" w:hAnsi="仿宋" w:eastAsia="仿宋" w:cs="仿宋"/>
          <w:sz w:val="32"/>
          <w:szCs w:val="32"/>
          <w:lang w:eastAsia="zh-CN"/>
        </w:rPr>
        <w:t>。</w:t>
      </w:r>
    </w:p>
    <w:p w14:paraId="2D09299A">
      <w:pPr>
        <w:pStyle w:val="17"/>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20万</w:t>
      </w:r>
      <w:r>
        <w:rPr>
          <w:rFonts w:hint="eastAsia" w:ascii="仿宋" w:hAnsi="仿宋" w:eastAsia="仿宋" w:cs="仿宋"/>
          <w:color w:val="auto"/>
          <w:sz w:val="32"/>
          <w:szCs w:val="32"/>
        </w:rPr>
        <w:t>元，支出决算为</w:t>
      </w:r>
      <w:r>
        <w:rPr>
          <w:rFonts w:hint="eastAsia" w:ascii="仿宋" w:hAnsi="仿宋" w:eastAsia="仿宋" w:cs="仿宋"/>
          <w:color w:val="auto"/>
          <w:sz w:val="32"/>
          <w:szCs w:val="32"/>
          <w:lang w:val="en-US" w:eastAsia="zh-CN"/>
        </w:rPr>
        <w:t>65.47</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327.35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val="en-US" w:eastAsia="zh-CN"/>
        </w:rPr>
        <w:t>大</w:t>
      </w:r>
      <w:r>
        <w:rPr>
          <w:rFonts w:hint="eastAsia" w:ascii="仿宋" w:hAnsi="仿宋" w:eastAsia="仿宋" w:cs="仿宋"/>
          <w:color w:val="auto"/>
          <w:sz w:val="32"/>
          <w:szCs w:val="32"/>
        </w:rPr>
        <w:t>于年初预算数的主要原因</w:t>
      </w:r>
      <w:r>
        <w:rPr>
          <w:rFonts w:hint="eastAsia" w:ascii="仿宋" w:hAnsi="仿宋" w:eastAsia="仿宋" w:cs="仿宋"/>
          <w:color w:val="auto"/>
          <w:sz w:val="32"/>
          <w:szCs w:val="32"/>
          <w:lang w:val="en-US" w:eastAsia="zh-CN"/>
        </w:rPr>
        <w:t>追加知识产权战略推进专项资金。</w:t>
      </w:r>
    </w:p>
    <w:p w14:paraId="2D521E15">
      <w:pPr>
        <w:pStyle w:val="17"/>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eastAsia="zh-CN"/>
        </w:rPr>
        <w:t>食品安全监管</w:t>
      </w:r>
      <w:r>
        <w:rPr>
          <w:rFonts w:hint="eastAsia" w:ascii="仿宋" w:hAnsi="仿宋" w:eastAsia="仿宋" w:cs="仿宋"/>
          <w:sz w:val="32"/>
          <w:szCs w:val="32"/>
        </w:rPr>
        <w:t>（项）。</w:t>
      </w:r>
    </w:p>
    <w:p w14:paraId="089CF26A">
      <w:pPr>
        <w:pStyle w:val="17"/>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79.06</w:t>
      </w:r>
      <w:r>
        <w:rPr>
          <w:rFonts w:hint="eastAsia" w:ascii="仿宋" w:hAnsi="仿宋" w:eastAsia="仿宋" w:cs="仿宋"/>
          <w:sz w:val="32"/>
          <w:szCs w:val="32"/>
        </w:rPr>
        <w:t>万元，决算数大于年</w:t>
      </w:r>
      <w:r>
        <w:rPr>
          <w:rFonts w:hint="eastAsia" w:ascii="仿宋" w:hAnsi="仿宋" w:eastAsia="仿宋" w:cs="仿宋"/>
          <w:color w:val="auto"/>
          <w:sz w:val="32"/>
          <w:szCs w:val="32"/>
        </w:rPr>
        <w:t>初预算数的主要原因是</w:t>
      </w:r>
      <w:r>
        <w:rPr>
          <w:rFonts w:hint="eastAsia" w:ascii="仿宋" w:hAnsi="仿宋" w:eastAsia="仿宋" w:cs="仿宋"/>
          <w:color w:val="auto"/>
          <w:sz w:val="32"/>
          <w:szCs w:val="32"/>
          <w:lang w:eastAsia="zh-CN"/>
        </w:rPr>
        <w:t>年中追加了</w:t>
      </w:r>
      <w:r>
        <w:rPr>
          <w:rFonts w:hint="eastAsia" w:ascii="仿宋" w:hAnsi="仿宋" w:eastAsia="仿宋" w:cs="仿宋"/>
          <w:color w:val="auto"/>
          <w:sz w:val="32"/>
          <w:szCs w:val="32"/>
          <w:lang w:val="en-US" w:eastAsia="zh-CN"/>
        </w:rPr>
        <w:t>食品安全监管和食品抽检工作经费、食品药品监管补助资金等。</w:t>
      </w:r>
    </w:p>
    <w:p w14:paraId="2D3F4FFF">
      <w:pPr>
        <w:pStyle w:val="17"/>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eastAsia="zh-CN"/>
        </w:rPr>
        <w:t>其他市场监督管理事务</w:t>
      </w:r>
      <w:r>
        <w:rPr>
          <w:rFonts w:hint="eastAsia" w:ascii="仿宋" w:hAnsi="仿宋" w:eastAsia="仿宋" w:cs="仿宋"/>
          <w:sz w:val="32"/>
          <w:szCs w:val="32"/>
        </w:rPr>
        <w:t>（项）。</w:t>
      </w:r>
    </w:p>
    <w:p w14:paraId="0B456B42">
      <w:pPr>
        <w:pStyle w:val="17"/>
        <w:ind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120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159.54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132.95</w:t>
      </w:r>
      <w:r>
        <w:rPr>
          <w:rFonts w:hint="eastAsia" w:ascii="仿宋" w:hAnsi="仿宋" w:eastAsia="仿宋" w:cs="仿宋"/>
          <w:sz w:val="32"/>
          <w:szCs w:val="32"/>
        </w:rPr>
        <w:t>%，决算数</w:t>
      </w:r>
      <w:r>
        <w:rPr>
          <w:rFonts w:hint="eastAsia" w:ascii="仿宋" w:hAnsi="仿宋" w:eastAsia="仿宋" w:cs="仿宋"/>
          <w:sz w:val="32"/>
          <w:szCs w:val="32"/>
          <w:lang w:val="en-US" w:eastAsia="zh-CN"/>
        </w:rPr>
        <w:t>大于</w:t>
      </w:r>
      <w:r>
        <w:rPr>
          <w:rFonts w:hint="eastAsia" w:ascii="仿宋" w:hAnsi="仿宋" w:eastAsia="仿宋" w:cs="仿宋"/>
          <w:sz w:val="32"/>
          <w:szCs w:val="32"/>
        </w:rPr>
        <w:t>年初预算数</w:t>
      </w:r>
      <w:r>
        <w:rPr>
          <w:rFonts w:hint="eastAsia" w:ascii="仿宋" w:hAnsi="仿宋" w:eastAsia="仿宋" w:cs="仿宋"/>
          <w:color w:val="auto"/>
          <w:sz w:val="32"/>
          <w:szCs w:val="32"/>
        </w:rPr>
        <w:t>的主要原因是</w:t>
      </w:r>
      <w:r>
        <w:rPr>
          <w:rFonts w:hint="eastAsia" w:ascii="仿宋" w:hAnsi="仿宋" w:eastAsia="仿宋" w:cs="仿宋"/>
          <w:color w:val="auto"/>
          <w:sz w:val="32"/>
          <w:szCs w:val="32"/>
          <w:lang w:val="en-US" w:eastAsia="zh-CN"/>
        </w:rPr>
        <w:t>年中追加市场监督管理专项资金。</w:t>
      </w:r>
    </w:p>
    <w:p w14:paraId="511C1558">
      <w:pPr>
        <w:pStyle w:val="17"/>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一般行政管理事务</w:t>
      </w:r>
      <w:r>
        <w:rPr>
          <w:rFonts w:hint="eastAsia" w:ascii="仿宋" w:hAnsi="仿宋" w:eastAsia="仿宋" w:cs="仿宋"/>
          <w:sz w:val="32"/>
          <w:szCs w:val="32"/>
        </w:rPr>
        <w:t>（项）。</w:t>
      </w:r>
    </w:p>
    <w:p w14:paraId="71951E6E">
      <w:pPr>
        <w:pStyle w:val="17"/>
        <w:ind w:firstLine="800" w:firstLineChars="250"/>
        <w:rPr>
          <w:rFonts w:hint="eastAsia" w:ascii="仿宋" w:hAnsi="仿宋" w:eastAsia="仿宋" w:cs="仿宋"/>
          <w:color w:val="auto"/>
          <w:sz w:val="32"/>
          <w:szCs w:val="32"/>
          <w:lang w:eastAsia="zh-CN"/>
        </w:rPr>
      </w:pPr>
      <w:r>
        <w:rPr>
          <w:rFonts w:hint="eastAsia" w:ascii="仿宋" w:hAnsi="仿宋" w:eastAsia="仿宋" w:cs="仿宋"/>
          <w:sz w:val="32"/>
          <w:szCs w:val="32"/>
        </w:rPr>
        <w:t>年初预算</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val="en-US" w:eastAsia="zh-CN"/>
        </w:rPr>
        <w:t>年中追加国家卫生城市巩固提升工作专项经费</w:t>
      </w:r>
      <w:r>
        <w:rPr>
          <w:rFonts w:hint="eastAsia" w:ascii="仿宋" w:hAnsi="仿宋" w:eastAsia="仿宋" w:cs="仿宋"/>
          <w:color w:val="auto"/>
          <w:sz w:val="32"/>
          <w:szCs w:val="32"/>
          <w:lang w:eastAsia="zh-CN"/>
        </w:rPr>
        <w:t>。</w:t>
      </w:r>
    </w:p>
    <w:p w14:paraId="1E7478B8">
      <w:pPr>
        <w:pStyle w:val="17"/>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质量基础</w:t>
      </w:r>
      <w:r>
        <w:rPr>
          <w:rFonts w:hint="eastAsia" w:ascii="仿宋" w:hAnsi="仿宋" w:eastAsia="仿宋" w:cs="仿宋"/>
          <w:sz w:val="32"/>
          <w:szCs w:val="32"/>
        </w:rPr>
        <w:t>（项）。</w:t>
      </w:r>
    </w:p>
    <w:p w14:paraId="02AA88D4">
      <w:pPr>
        <w:pStyle w:val="17"/>
        <w:ind w:firstLine="800" w:firstLineChars="250"/>
        <w:rPr>
          <w:rFonts w:hint="eastAsia" w:ascii="仿宋" w:hAnsi="仿宋" w:eastAsia="仿宋" w:cs="仿宋"/>
          <w:color w:val="auto"/>
          <w:sz w:val="32"/>
          <w:szCs w:val="32"/>
          <w:lang w:eastAsia="zh-CN"/>
        </w:rPr>
      </w:pPr>
      <w:r>
        <w:rPr>
          <w:rFonts w:hint="eastAsia" w:ascii="仿宋" w:hAnsi="仿宋" w:eastAsia="仿宋" w:cs="仿宋"/>
          <w:sz w:val="32"/>
          <w:szCs w:val="32"/>
        </w:rPr>
        <w:t>年初预算</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val="en-US" w:eastAsia="zh-CN"/>
        </w:rPr>
        <w:t>年中追加标准化专项资金专项经费</w:t>
      </w:r>
      <w:r>
        <w:rPr>
          <w:rFonts w:hint="eastAsia" w:ascii="仿宋" w:hAnsi="仿宋" w:eastAsia="仿宋" w:cs="仿宋"/>
          <w:color w:val="auto"/>
          <w:sz w:val="32"/>
          <w:szCs w:val="32"/>
          <w:lang w:eastAsia="zh-CN"/>
        </w:rPr>
        <w:t>。</w:t>
      </w:r>
    </w:p>
    <w:p w14:paraId="6211CAC5">
      <w:pPr>
        <w:pStyle w:val="17"/>
        <w:ind w:firstLine="800" w:firstLineChars="250"/>
        <w:rPr>
          <w:rFonts w:hint="eastAsia" w:ascii="仿宋" w:hAnsi="仿宋" w:eastAsia="仿宋" w:cs="仿宋"/>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市场监督管理事务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药品事务</w:t>
      </w:r>
      <w:r>
        <w:rPr>
          <w:rFonts w:hint="eastAsia" w:ascii="仿宋" w:hAnsi="仿宋" w:eastAsia="仿宋" w:cs="仿宋"/>
          <w:sz w:val="32"/>
          <w:szCs w:val="32"/>
        </w:rPr>
        <w:t>（项）。</w:t>
      </w:r>
    </w:p>
    <w:p w14:paraId="47670D28">
      <w:pPr>
        <w:pStyle w:val="17"/>
        <w:ind w:firstLine="800" w:firstLineChars="250"/>
        <w:rPr>
          <w:rFonts w:hint="eastAsia" w:ascii="仿宋" w:hAnsi="仿宋" w:eastAsia="仿宋" w:cs="仿宋"/>
          <w:color w:val="auto"/>
          <w:sz w:val="32"/>
          <w:szCs w:val="32"/>
          <w:lang w:eastAsia="zh-CN"/>
        </w:rPr>
      </w:pPr>
      <w:r>
        <w:rPr>
          <w:rFonts w:hint="eastAsia" w:ascii="仿宋" w:hAnsi="仿宋" w:eastAsia="仿宋" w:cs="仿宋"/>
          <w:sz w:val="32"/>
          <w:szCs w:val="32"/>
        </w:rPr>
        <w:t>年初预算</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1.59</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val="en-US" w:eastAsia="zh-CN"/>
        </w:rPr>
        <w:t>追加药品监管补助资金</w:t>
      </w:r>
      <w:r>
        <w:rPr>
          <w:rFonts w:hint="eastAsia" w:ascii="仿宋" w:hAnsi="仿宋" w:eastAsia="仿宋" w:cs="仿宋"/>
          <w:color w:val="auto"/>
          <w:sz w:val="32"/>
          <w:szCs w:val="32"/>
          <w:lang w:eastAsia="zh-CN"/>
        </w:rPr>
        <w:t>。</w:t>
      </w:r>
    </w:p>
    <w:p w14:paraId="31D161A0">
      <w:pPr>
        <w:pStyle w:val="17"/>
        <w:numPr>
          <w:ilvl w:val="0"/>
          <w:numId w:val="4"/>
        </w:numPr>
        <w:ind w:firstLine="800" w:firstLineChars="250"/>
        <w:rPr>
          <w:rFonts w:hint="eastAsia" w:ascii="仿宋" w:hAnsi="仿宋" w:eastAsia="仿宋" w:cs="仿宋"/>
          <w:sz w:val="32"/>
          <w:szCs w:val="32"/>
        </w:rPr>
      </w:pPr>
      <w:r>
        <w:rPr>
          <w:rFonts w:hint="eastAsia" w:ascii="仿宋" w:hAnsi="仿宋" w:eastAsia="仿宋" w:cs="仿宋"/>
          <w:sz w:val="32"/>
          <w:szCs w:val="32"/>
        </w:rPr>
        <w:t>一般公共服务（类）</w:t>
      </w:r>
      <w:r>
        <w:rPr>
          <w:rFonts w:hint="eastAsia" w:ascii="仿宋" w:hAnsi="仿宋" w:eastAsia="仿宋" w:cs="仿宋"/>
          <w:sz w:val="32"/>
          <w:szCs w:val="32"/>
          <w:lang w:val="en-US" w:eastAsia="zh-CN"/>
        </w:rPr>
        <w:t>其他一般公共服务支出</w:t>
      </w:r>
      <w:r>
        <w:rPr>
          <w:rFonts w:hint="eastAsia" w:ascii="仿宋" w:hAnsi="仿宋" w:eastAsia="仿宋" w:cs="仿宋"/>
          <w:sz w:val="32"/>
          <w:szCs w:val="32"/>
        </w:rPr>
        <w:t>（款）</w:t>
      </w:r>
    </w:p>
    <w:p w14:paraId="6522A3FB">
      <w:pPr>
        <w:pStyle w:val="17"/>
        <w:numPr>
          <w:ilvl w:val="0"/>
          <w:numId w:val="0"/>
        </w:numPr>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仿宋"/>
          <w:sz w:val="32"/>
          <w:szCs w:val="32"/>
        </w:rPr>
        <w:t>年初预算</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28.72</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val="en-US" w:eastAsia="zh-CN"/>
        </w:rPr>
        <w:t>年中追加市场主体培育申报服务工作经费</w:t>
      </w:r>
      <w:r>
        <w:rPr>
          <w:rFonts w:hint="eastAsia" w:ascii="仿宋" w:hAnsi="仿宋" w:eastAsia="仿宋" w:cs="仿宋"/>
          <w:color w:val="auto"/>
          <w:sz w:val="32"/>
          <w:szCs w:val="32"/>
          <w:lang w:eastAsia="zh-CN"/>
        </w:rPr>
        <w:t>。</w:t>
      </w:r>
    </w:p>
    <w:p w14:paraId="4C28656A">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69E04E8A">
      <w:pPr>
        <w:pStyle w:val="17"/>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998.09</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844.57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84.62</w:t>
      </w:r>
      <w:r>
        <w:rPr>
          <w:rFonts w:hint="eastAsia" w:ascii="仿宋" w:hAnsi="仿宋" w:eastAsia="仿宋" w:cs="仿宋"/>
          <w:sz w:val="32"/>
          <w:szCs w:val="32"/>
        </w:rPr>
        <w:t>%,主要包括基本工资、津贴补贴、奖金、机关事业单位基本养老保险缴费</w:t>
      </w:r>
      <w:r>
        <w:rPr>
          <w:rFonts w:hint="eastAsia" w:ascii="仿宋" w:hAnsi="仿宋" w:eastAsia="仿宋" w:cs="仿宋"/>
          <w:sz w:val="32"/>
          <w:szCs w:val="32"/>
          <w:lang w:eastAsia="zh-CN"/>
        </w:rPr>
        <w:t>、职业年金缴费、职工基本医疗保险缴费、住房公积金、生活补助、奖励金</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153.52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15.38</w:t>
      </w:r>
      <w:r>
        <w:rPr>
          <w:rFonts w:hint="eastAsia" w:ascii="仿宋" w:hAnsi="仿宋" w:eastAsia="仿宋" w:cs="仿宋"/>
          <w:sz w:val="32"/>
          <w:szCs w:val="32"/>
        </w:rPr>
        <w:t>%，主要包括办公费、电费</w:t>
      </w:r>
      <w:r>
        <w:rPr>
          <w:rFonts w:hint="eastAsia" w:ascii="仿宋" w:hAnsi="仿宋" w:eastAsia="仿宋" w:cs="仿宋"/>
          <w:sz w:val="32"/>
          <w:szCs w:val="32"/>
          <w:lang w:eastAsia="zh-CN"/>
        </w:rPr>
        <w:t>、邮电费、维修（护）费、工会经费、福利费、公务用车运行维护费、其他交通费用、</w:t>
      </w:r>
      <w:r>
        <w:rPr>
          <w:rFonts w:hint="eastAsia" w:ascii="仿宋" w:hAnsi="仿宋" w:eastAsia="仿宋" w:cs="仿宋"/>
          <w:sz w:val="32"/>
          <w:szCs w:val="32"/>
        </w:rPr>
        <w:t>其他商品和服务支出。</w:t>
      </w:r>
    </w:p>
    <w:p w14:paraId="22BDD091">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CE85228">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6303FBC">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15</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14.74</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lang w:val="en-US" w:eastAsia="zh-CN"/>
        </w:rPr>
        <w:t>98.27</w:t>
      </w:r>
      <w:r>
        <w:rPr>
          <w:rFonts w:ascii="Times New Roman" w:hAnsi="Times New Roman" w:eastAsia="仿宋" w:cs="Times New Roman"/>
          <w:sz w:val="32"/>
          <w:szCs w:val="32"/>
        </w:rPr>
        <w:t>%,其中：</w:t>
      </w:r>
    </w:p>
    <w:p w14:paraId="4065416A">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w:t>
      </w:r>
    </w:p>
    <w:p w14:paraId="253F82A4">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w:t>
      </w:r>
    </w:p>
    <w:p w14:paraId="0F1A0C8E">
      <w:pPr>
        <w:pStyle w:val="17"/>
        <w:ind w:firstLine="800" w:firstLineChars="25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公务用车购置费支出预算为0万元，支出决算为0万元，决算数等于预算数。</w:t>
      </w:r>
    </w:p>
    <w:p w14:paraId="3F8435AC">
      <w:pPr>
        <w:pStyle w:val="17"/>
        <w:ind w:firstLine="640" w:firstLineChars="200"/>
        <w:rPr>
          <w:rFonts w:hint="eastAsia" w:ascii="Times New Roman" w:hAnsi="Times New Roman" w:eastAsia="仿宋" w:cs="Times New Roman"/>
          <w:color w:val="auto"/>
          <w:sz w:val="32"/>
          <w:szCs w:val="32"/>
          <w:lang w:val="en-US" w:eastAsia="zh-CN"/>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15</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14.74</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完成预算的</w:t>
      </w:r>
      <w:r>
        <w:rPr>
          <w:rFonts w:hint="eastAsia" w:ascii="Times New Roman" w:hAnsi="Times New Roman" w:eastAsia="仿宋" w:cs="Times New Roman"/>
          <w:sz w:val="32"/>
          <w:szCs w:val="32"/>
          <w:lang w:val="en-US" w:eastAsia="zh-CN"/>
        </w:rPr>
        <w:t>98.27</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与上年相比</w:t>
      </w:r>
      <w:r>
        <w:rPr>
          <w:rFonts w:hint="eastAsia" w:ascii="Times New Roman" w:hAnsi="Times New Roman" w:eastAsia="仿宋" w:cs="Times New Roman"/>
          <w:sz w:val="32"/>
          <w:szCs w:val="32"/>
          <w:lang w:val="en-US" w:eastAsia="zh-CN"/>
        </w:rPr>
        <w:t>增加1.14万</w:t>
      </w:r>
      <w:r>
        <w:rPr>
          <w:rFonts w:ascii="Times New Roman" w:hAnsi="Times New Roman" w:eastAsia="仿宋" w:cs="Times New Roman"/>
          <w:sz w:val="32"/>
          <w:szCs w:val="32"/>
        </w:rPr>
        <w:t>,</w:t>
      </w:r>
      <w:r>
        <w:rPr>
          <w:rFonts w:hint="eastAsia" w:ascii="仿宋" w:hAnsi="仿宋" w:eastAsia="仿宋" w:cs="仿宋"/>
          <w:sz w:val="32"/>
          <w:szCs w:val="32"/>
          <w:lang w:val="en-US" w:eastAsia="zh-CN"/>
        </w:rPr>
        <w:t>增加8.38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Times New Roman" w:hAnsi="Times New Roman" w:eastAsia="仿宋" w:cs="Times New Roman"/>
          <w:sz w:val="32"/>
          <w:szCs w:val="32"/>
          <w:lang w:val="en-US" w:eastAsia="zh-CN"/>
        </w:rPr>
        <w:t>增加</w:t>
      </w:r>
      <w:r>
        <w:rPr>
          <w:rFonts w:ascii="Times New Roman" w:hAnsi="Times New Roman" w:eastAsia="仿宋" w:cs="Times New Roman"/>
          <w:sz w:val="32"/>
          <w:szCs w:val="32"/>
        </w:rPr>
        <w:t>的</w:t>
      </w:r>
      <w:r>
        <w:rPr>
          <w:rFonts w:ascii="Times New Roman" w:hAnsi="Times New Roman" w:eastAsia="仿宋" w:cs="Times New Roman"/>
          <w:color w:val="auto"/>
          <w:sz w:val="32"/>
          <w:szCs w:val="32"/>
        </w:rPr>
        <w:t>主要原因</w:t>
      </w:r>
      <w:r>
        <w:rPr>
          <w:rFonts w:hint="eastAsia" w:ascii="Times New Roman" w:hAnsi="Times New Roman" w:eastAsia="仿宋" w:cs="Times New Roman"/>
          <w:color w:val="auto"/>
          <w:sz w:val="32"/>
          <w:szCs w:val="32"/>
          <w:lang w:eastAsia="zh-CN"/>
        </w:rPr>
        <w:t>是</w:t>
      </w:r>
      <w:r>
        <w:rPr>
          <w:rFonts w:hint="eastAsia" w:ascii="Times New Roman" w:hAnsi="Times New Roman" w:eastAsia="仿宋" w:cs="Times New Roman"/>
          <w:color w:val="auto"/>
          <w:sz w:val="32"/>
          <w:szCs w:val="32"/>
          <w:lang w:val="en-US" w:eastAsia="zh-CN"/>
        </w:rPr>
        <w:t>支付</w:t>
      </w:r>
      <w:r>
        <w:rPr>
          <w:rFonts w:hint="eastAsia" w:ascii="仿宋" w:hAnsi="仿宋" w:eastAsia="仿宋" w:cs="仿宋"/>
          <w:sz w:val="32"/>
          <w:szCs w:val="32"/>
          <w:lang w:val="en-US" w:eastAsia="zh-CN"/>
        </w:rPr>
        <w:t>上年度应付未付的</w:t>
      </w:r>
      <w:r>
        <w:rPr>
          <w:rFonts w:hint="eastAsia" w:ascii="Times New Roman" w:hAnsi="Times New Roman" w:eastAsia="仿宋" w:cs="Times New Roman"/>
          <w:color w:val="auto"/>
          <w:sz w:val="32"/>
          <w:szCs w:val="32"/>
          <w:lang w:val="en-US" w:eastAsia="zh-CN"/>
        </w:rPr>
        <w:t>公车维修及年检费。</w:t>
      </w:r>
    </w:p>
    <w:p w14:paraId="7F7B9BF5">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724CFC8">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14.74</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100</w:t>
      </w:r>
      <w:r>
        <w:rPr>
          <w:rFonts w:ascii="Times New Roman" w:hAnsi="Times New Roman" w:eastAsia="仿宋" w:cs="Times New Roman"/>
          <w:sz w:val="32"/>
          <w:szCs w:val="32"/>
        </w:rPr>
        <w:t>%。其中：</w:t>
      </w:r>
    </w:p>
    <w:p w14:paraId="3FF601F9">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6411F15A">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1D1F71E7">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14.74</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14.74</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8</w:t>
      </w:r>
      <w:r>
        <w:rPr>
          <w:rFonts w:ascii="Times New Roman" w:hAnsi="Times New Roman" w:eastAsia="仿宋" w:cs="Times New Roman"/>
          <w:color w:val="000000"/>
          <w:kern w:val="0"/>
          <w:sz w:val="32"/>
          <w:szCs w:val="32"/>
        </w:rPr>
        <w:t>辆。</w:t>
      </w:r>
    </w:p>
    <w:p w14:paraId="1DA2752A">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C77006F">
      <w:pPr>
        <w:pStyle w:val="17"/>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lang w:val="en-US" w:eastAsia="zh-CN"/>
        </w:rPr>
        <w:t>2023年度政府性基金预算财政拨款收入0万元；年初结转和结余0万元；支出0万元，其中基本支出0万元，项目支出0万元；年末结转和结余0万元。本单位没有政府性基金收入，也没有使用政府性基金安排的支出。</w:t>
      </w:r>
    </w:p>
    <w:p w14:paraId="0DD9F380">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EBF41F8">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2B2E5C7B">
      <w:pPr>
        <w:pStyle w:val="8"/>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6495436C">
      <w:pPr>
        <w:pStyle w:val="17"/>
        <w:ind w:firstLine="640" w:firstLineChars="200"/>
        <w:rPr>
          <w:rFonts w:hint="default" w:ascii="Times New Roman" w:hAnsi="Times New Roman" w:eastAsia="仿宋" w:cs="Times New Roman"/>
          <w:color w:val="auto"/>
          <w:sz w:val="32"/>
          <w:szCs w:val="32"/>
          <w:lang w:val="en-US" w:eastAsia="zh-CN"/>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150.6</w:t>
      </w:r>
      <w:r>
        <w:rPr>
          <w:rFonts w:hint="eastAsia" w:ascii="仿宋" w:hAnsi="仿宋" w:eastAsia="仿宋" w:cs="仿宋"/>
          <w:sz w:val="32"/>
          <w:szCs w:val="32"/>
        </w:rPr>
        <w:t>万元，比年初预算数</w:t>
      </w:r>
      <w:r>
        <w:rPr>
          <w:rFonts w:hint="eastAsia" w:ascii="仿宋" w:hAnsi="仿宋" w:eastAsia="仿宋" w:cs="仿宋"/>
          <w:sz w:val="32"/>
          <w:szCs w:val="32"/>
          <w:lang w:val="en-US" w:eastAsia="zh-CN"/>
        </w:rPr>
        <w:t>增加19.19</w:t>
      </w:r>
      <w:r>
        <w:rPr>
          <w:rFonts w:hint="eastAsia" w:ascii="仿宋" w:hAnsi="仿宋" w:eastAsia="仿宋" w:cs="仿宋"/>
          <w:sz w:val="32"/>
          <w:szCs w:val="32"/>
        </w:rPr>
        <w:t>万元，</w:t>
      </w:r>
      <w:r>
        <w:rPr>
          <w:rFonts w:hint="eastAsia" w:ascii="仿宋" w:hAnsi="仿宋" w:eastAsia="仿宋" w:cs="仿宋"/>
          <w:sz w:val="32"/>
          <w:szCs w:val="32"/>
          <w:lang w:val="en-US" w:eastAsia="zh-CN"/>
        </w:rPr>
        <w:t>增加14.61</w:t>
      </w:r>
      <w:r>
        <w:rPr>
          <w:rFonts w:hint="eastAsia" w:ascii="仿宋" w:hAnsi="仿宋" w:eastAsia="仿宋" w:cs="仿宋"/>
          <w:sz w:val="32"/>
          <w:szCs w:val="32"/>
        </w:rPr>
        <w:t>%。</w:t>
      </w:r>
      <w:r>
        <w:rPr>
          <w:rFonts w:hint="eastAsia" w:ascii="Times New Roman" w:hAnsi="Times New Roman" w:eastAsia="仿宋" w:cs="Times New Roman"/>
          <w:sz w:val="32"/>
          <w:szCs w:val="32"/>
          <w:lang w:val="en-US" w:eastAsia="zh-CN"/>
        </w:rPr>
        <w:t>增加</w:t>
      </w:r>
      <w:r>
        <w:rPr>
          <w:rFonts w:ascii="Times New Roman" w:hAnsi="Times New Roman" w:eastAsia="仿宋" w:cs="Times New Roman"/>
          <w:sz w:val="32"/>
          <w:szCs w:val="32"/>
        </w:rPr>
        <w:t>的</w:t>
      </w:r>
      <w:r>
        <w:rPr>
          <w:rFonts w:ascii="Times New Roman" w:hAnsi="Times New Roman" w:eastAsia="仿宋" w:cs="Times New Roman"/>
          <w:color w:val="auto"/>
          <w:sz w:val="32"/>
          <w:szCs w:val="32"/>
        </w:rPr>
        <w:t>主要原因</w:t>
      </w:r>
      <w:r>
        <w:rPr>
          <w:rFonts w:hint="eastAsia" w:ascii="Times New Roman" w:hAnsi="Times New Roman" w:eastAsia="仿宋" w:cs="Times New Roman"/>
          <w:color w:val="auto"/>
          <w:sz w:val="32"/>
          <w:szCs w:val="32"/>
          <w:lang w:val="en-US" w:eastAsia="zh-CN"/>
        </w:rPr>
        <w:t>:一是人员增加导致增人增资；二</w:t>
      </w:r>
      <w:r>
        <w:rPr>
          <w:rFonts w:ascii="Times New Roman" w:hAnsi="Times New Roman" w:eastAsia="仿宋" w:cs="Times New Roman"/>
          <w:color w:val="auto"/>
          <w:sz w:val="32"/>
          <w:szCs w:val="32"/>
        </w:rPr>
        <w:t>是</w:t>
      </w:r>
      <w:r>
        <w:rPr>
          <w:rFonts w:hint="eastAsia" w:ascii="Times New Roman" w:hAnsi="Times New Roman" w:eastAsia="仿宋" w:cs="Times New Roman"/>
          <w:color w:val="auto"/>
          <w:sz w:val="32"/>
          <w:szCs w:val="32"/>
          <w:lang w:val="en-US" w:eastAsia="zh-CN"/>
        </w:rPr>
        <w:t>上年度应付未付款于2023年结清，导致2023年机关运行经费增加。</w:t>
      </w:r>
    </w:p>
    <w:p w14:paraId="13633444">
      <w:pPr>
        <w:pStyle w:val="8"/>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7B39203D">
      <w:pPr>
        <w:pStyle w:val="17"/>
        <w:keepNext w:val="0"/>
        <w:keepLines w:val="0"/>
        <w:pageBreakBefore w:val="0"/>
        <w:widowControl w:val="0"/>
        <w:kinsoku/>
        <w:wordWrap/>
        <w:overflowPunct/>
        <w:topLinePunct w:val="0"/>
        <w:bidi w:val="0"/>
        <w:spacing w:line="520" w:lineRule="exact"/>
        <w:ind w:firstLine="640" w:firstLineChars="200"/>
        <w:jc w:val="both"/>
        <w:textAlignment w:val="auto"/>
        <w:rPr>
          <w:rFonts w:ascii="Times New Roman" w:hAnsi="Times New Roman" w:eastAsia="黑体" w:cs="Times New Roman"/>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年本部门开支会议费</w:t>
      </w:r>
      <w:r>
        <w:rPr>
          <w:rFonts w:hint="eastAsia" w:ascii="仿宋" w:hAnsi="仿宋" w:eastAsia="仿宋" w:cs="仿宋"/>
          <w:sz w:val="32"/>
          <w:szCs w:val="32"/>
          <w:lang w:val="en-US" w:eastAsia="zh-CN"/>
        </w:rPr>
        <w:t>0</w:t>
      </w:r>
      <w:r>
        <w:rPr>
          <w:rFonts w:hint="eastAsia" w:ascii="仿宋" w:hAnsi="仿宋" w:eastAsia="仿宋" w:cs="仿宋"/>
          <w:sz w:val="32"/>
          <w:szCs w:val="32"/>
        </w:rPr>
        <w:t>万元；开支培训费</w:t>
      </w:r>
      <w:r>
        <w:rPr>
          <w:rFonts w:hint="eastAsia" w:ascii="仿宋" w:hAnsi="仿宋" w:eastAsia="仿宋" w:cs="仿宋"/>
          <w:sz w:val="32"/>
          <w:szCs w:val="32"/>
          <w:lang w:val="en-US" w:eastAsia="zh-CN"/>
        </w:rPr>
        <w:t>0.28</w:t>
      </w:r>
      <w:r>
        <w:rPr>
          <w:rFonts w:hint="eastAsia" w:ascii="仿宋" w:hAnsi="仿宋" w:eastAsia="仿宋" w:cs="仿宋"/>
          <w:sz w:val="32"/>
          <w:szCs w:val="32"/>
        </w:rPr>
        <w:t>万元，用于</w:t>
      </w:r>
      <w:r>
        <w:rPr>
          <w:rFonts w:hint="eastAsia" w:ascii="仿宋" w:hAnsi="仿宋" w:eastAsia="仿宋" w:cs="仿宋"/>
          <w:sz w:val="32"/>
          <w:szCs w:val="32"/>
          <w:lang w:eastAsia="zh-CN"/>
        </w:rPr>
        <w:t>开展事业编、工勤编人员岗位培训。</w:t>
      </w:r>
      <w:r>
        <w:rPr>
          <w:rFonts w:hint="eastAsia" w:ascii="仿宋" w:hAnsi="仿宋" w:eastAsia="仿宋" w:cs="仿宋"/>
          <w:sz w:val="32"/>
          <w:szCs w:val="32"/>
        </w:rPr>
        <w:t>无举办节庆、晚会等活动开支。</w:t>
      </w:r>
    </w:p>
    <w:p w14:paraId="0014A691">
      <w:pPr>
        <w:pStyle w:val="8"/>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6F4DEF17">
      <w:pPr>
        <w:pStyle w:val="17"/>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211.38</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57.48</w:t>
      </w:r>
      <w:r>
        <w:rPr>
          <w:rFonts w:hint="eastAsia" w:ascii="仿宋" w:hAnsi="仿宋" w:eastAsia="仿宋" w:cs="仿宋"/>
          <w:sz w:val="32"/>
          <w:szCs w:val="32"/>
        </w:rPr>
        <w:t xml:space="preserve"> 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153.9</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57.48</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37.35</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12.51</w:t>
      </w:r>
      <w:r>
        <w:rPr>
          <w:rFonts w:hint="eastAsia" w:ascii="仿宋" w:hAnsi="仿宋" w:eastAsia="仿宋" w:cs="仿宋"/>
          <w:sz w:val="32"/>
          <w:szCs w:val="32"/>
        </w:rPr>
        <w:t>万元，占授予中小企业合同金额的</w:t>
      </w:r>
      <w:r>
        <w:rPr>
          <w:rFonts w:hint="eastAsia" w:ascii="仿宋" w:hAnsi="仿宋" w:eastAsia="仿宋" w:cs="仿宋"/>
          <w:sz w:val="32"/>
          <w:szCs w:val="32"/>
          <w:lang w:val="en-US" w:eastAsia="zh-CN"/>
        </w:rPr>
        <w:t>21.76</w:t>
      </w:r>
      <w:r>
        <w:rPr>
          <w:rFonts w:hint="eastAsia" w:ascii="仿宋" w:hAnsi="仿宋" w:eastAsia="仿宋" w:cs="仿宋"/>
          <w:sz w:val="32"/>
          <w:szCs w:val="32"/>
        </w:rPr>
        <w:t>%。</w:t>
      </w:r>
    </w:p>
    <w:p w14:paraId="1AA10E48">
      <w:pPr>
        <w:pStyle w:val="8"/>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32869AE6">
      <w:pPr>
        <w:pStyle w:val="17"/>
        <w:ind w:firstLine="640" w:firstLineChars="200"/>
        <w:rPr>
          <w:rFonts w:hint="eastAsia" w:ascii="Times New Roman" w:hAnsi="Times New Roman" w:eastAsia="黑体" w:cs="Times New Roman"/>
          <w:color w:val="000000"/>
          <w:kern w:val="0"/>
          <w:sz w:val="32"/>
          <w:szCs w:val="32"/>
          <w:lang w:val="en-US" w:eastAsia="zh-CN"/>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年12月31日，部门（单位）共有车辆</w:t>
      </w:r>
      <w:r>
        <w:rPr>
          <w:rFonts w:hint="eastAsia" w:ascii="仿宋" w:hAnsi="仿宋" w:eastAsia="仿宋" w:cs="仿宋"/>
          <w:sz w:val="32"/>
          <w:szCs w:val="32"/>
          <w:lang w:val="en-US" w:eastAsia="zh-CN"/>
        </w:rPr>
        <w:t>8</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7</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1</w:t>
      </w:r>
      <w:r>
        <w:rPr>
          <w:rFonts w:hint="eastAsia" w:ascii="仿宋" w:hAnsi="仿宋" w:eastAsia="仿宋" w:cs="仿宋"/>
          <w:sz w:val="32"/>
          <w:szCs w:val="32"/>
        </w:rPr>
        <w:t>台；单位价值100万元以上专用设备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w:t>
      </w:r>
    </w:p>
    <w:p w14:paraId="78890C14">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31889F4C">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44F7B4A6">
      <w:pPr>
        <w:pStyle w:val="17"/>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根据预算绩效管理要求，</w:t>
      </w:r>
      <w:r>
        <w:rPr>
          <w:rFonts w:hint="eastAsia" w:ascii="仿宋" w:hAnsi="仿宋" w:eastAsia="仿宋" w:cs="仿宋"/>
          <w:sz w:val="32"/>
          <w:szCs w:val="32"/>
        </w:rPr>
        <w:t>本单位组织对202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年度部门整体支出开展绩效自评，部门整体支出绩效评价报告详见第五部分。</w:t>
      </w:r>
    </w:p>
    <w:p w14:paraId="5200F002">
      <w:pPr>
        <w:pStyle w:val="17"/>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仿宋"/>
          <w:sz w:val="32"/>
          <w:szCs w:val="32"/>
          <w:lang w:val="en-US" w:eastAsia="zh-CN"/>
        </w:rPr>
        <w:t>我部门组织对“</w:t>
      </w:r>
      <w:r>
        <w:rPr>
          <w:rFonts w:hint="eastAsia" w:ascii="仿宋_GB2312" w:hAnsi="仿宋" w:eastAsia="仿宋_GB2312"/>
          <w:sz w:val="32"/>
          <w:szCs w:val="32"/>
          <w:lang w:val="en-US" w:eastAsia="zh-CN"/>
        </w:rPr>
        <w:t>市场及食品监管专项</w:t>
      </w:r>
      <w:r>
        <w:rPr>
          <w:rFonts w:hint="eastAsia" w:ascii="仿宋" w:hAnsi="仿宋" w:eastAsia="仿宋" w:cs="仿宋"/>
          <w:sz w:val="32"/>
          <w:szCs w:val="32"/>
          <w:lang w:val="en-US" w:eastAsia="zh-CN"/>
        </w:rPr>
        <w:t>”、“</w:t>
      </w:r>
      <w:r>
        <w:rPr>
          <w:rFonts w:hint="eastAsia" w:ascii="仿宋_GB2312" w:hAnsi="仿宋" w:eastAsia="仿宋_GB2312"/>
          <w:sz w:val="32"/>
          <w:szCs w:val="32"/>
          <w:lang w:val="en-US" w:eastAsia="zh-CN"/>
        </w:rPr>
        <w:t>知识产权专项</w:t>
      </w:r>
      <w:r>
        <w:rPr>
          <w:rFonts w:hint="eastAsia" w:ascii="仿宋" w:hAnsi="仿宋" w:eastAsia="仿宋" w:cs="仿宋"/>
          <w:sz w:val="32"/>
          <w:szCs w:val="32"/>
          <w:lang w:val="en-US" w:eastAsia="zh-CN"/>
        </w:rPr>
        <w:t>”、“</w:t>
      </w:r>
      <w:r>
        <w:rPr>
          <w:rFonts w:hint="eastAsia" w:ascii="仿宋_GB2312" w:hAnsi="仿宋" w:eastAsia="仿宋_GB2312"/>
          <w:sz w:val="32"/>
          <w:szCs w:val="32"/>
          <w:lang w:val="en-US" w:eastAsia="zh-CN"/>
        </w:rPr>
        <w:t>食品安全监管和食品抽检工作经费”、</w:t>
      </w:r>
      <w:r>
        <w:rPr>
          <w:rFonts w:hint="eastAsia" w:ascii="仿宋" w:hAnsi="仿宋" w:eastAsia="仿宋" w:cs="仿宋"/>
          <w:sz w:val="32"/>
          <w:szCs w:val="32"/>
          <w:lang w:val="en-US" w:eastAsia="zh-CN"/>
        </w:rPr>
        <w:t>“</w:t>
      </w:r>
      <w:r>
        <w:rPr>
          <w:rFonts w:hint="eastAsia" w:ascii="仿宋_GB2312" w:hAnsi="仿宋" w:eastAsia="仿宋_GB2312"/>
          <w:sz w:val="32"/>
          <w:szCs w:val="32"/>
          <w:highlight w:val="none"/>
          <w:lang w:val="en-US" w:eastAsia="zh-CN"/>
        </w:rPr>
        <w:t>经开区市场监督管理专项</w:t>
      </w:r>
      <w:r>
        <w:rPr>
          <w:rFonts w:hint="eastAsia" w:ascii="仿宋" w:hAnsi="仿宋" w:eastAsia="仿宋" w:cs="仿宋"/>
          <w:sz w:val="32"/>
          <w:szCs w:val="32"/>
          <w:lang w:val="en-US" w:eastAsia="zh-CN"/>
        </w:rPr>
        <w:t>”、“</w:t>
      </w:r>
      <w:r>
        <w:rPr>
          <w:rFonts w:hint="eastAsia" w:ascii="仿宋_GB2312" w:hAnsi="仿宋" w:eastAsia="仿宋_GB2312"/>
          <w:sz w:val="32"/>
          <w:szCs w:val="32"/>
          <w:highlight w:val="none"/>
          <w:lang w:val="en-US" w:eastAsia="zh-CN"/>
        </w:rPr>
        <w:t>标准化及质量专项经费</w:t>
      </w:r>
      <w:r>
        <w:rPr>
          <w:rFonts w:hint="eastAsia" w:ascii="仿宋" w:hAnsi="仿宋" w:eastAsia="仿宋" w:cs="仿宋"/>
          <w:sz w:val="32"/>
          <w:szCs w:val="32"/>
          <w:lang w:val="en-US" w:eastAsia="zh-CN"/>
        </w:rPr>
        <w:t>”、“</w:t>
      </w:r>
      <w:r>
        <w:rPr>
          <w:rFonts w:hint="eastAsia" w:ascii="仿宋_GB2312" w:hAnsi="仿宋" w:eastAsia="仿宋_GB2312"/>
          <w:sz w:val="32"/>
          <w:szCs w:val="32"/>
          <w:highlight w:val="none"/>
          <w:lang w:val="en-US" w:eastAsia="zh-CN"/>
        </w:rPr>
        <w:t>市场主体培育纳税申报服务工作经费</w:t>
      </w:r>
      <w:r>
        <w:rPr>
          <w:rFonts w:hint="eastAsia" w:ascii="仿宋" w:hAnsi="仿宋" w:eastAsia="仿宋" w:cs="仿宋"/>
          <w:sz w:val="32"/>
          <w:szCs w:val="32"/>
          <w:lang w:val="en-US" w:eastAsia="zh-CN"/>
        </w:rPr>
        <w:t>”等项目开展了部门评价，</w:t>
      </w:r>
      <w:r>
        <w:rPr>
          <w:rFonts w:hint="eastAsia" w:ascii="仿宋_GB2312" w:hAnsi="仿宋" w:eastAsia="仿宋_GB2312"/>
          <w:sz w:val="32"/>
          <w:szCs w:val="32"/>
          <w:lang w:val="en-US" w:eastAsia="zh-CN"/>
        </w:rPr>
        <w:t>涉及一般公共预算支出</w:t>
      </w:r>
      <w:r>
        <w:rPr>
          <w:rFonts w:hint="eastAsia" w:ascii="仿宋_GB2312" w:hAnsi="仿宋" w:eastAsia="仿宋_GB2312"/>
          <w:sz w:val="32"/>
          <w:szCs w:val="32"/>
          <w:highlight w:val="none"/>
          <w:lang w:val="en-US" w:eastAsia="zh-CN"/>
        </w:rPr>
        <w:t>361.37</w:t>
      </w:r>
      <w:r>
        <w:rPr>
          <w:rFonts w:hint="eastAsia" w:ascii="仿宋_GB2312" w:hAnsi="仿宋" w:eastAsia="仿宋_GB2312"/>
          <w:sz w:val="32"/>
          <w:szCs w:val="32"/>
          <w:lang w:val="en-US" w:eastAsia="zh-CN"/>
        </w:rPr>
        <w:t>万元，政府性基金预算支出0万元，国有资本经营预算支出0万元。从评价情况来看，因财政资金紧张，预算执行未能及时、有效，绩效目标仅得到较好实现，绩效管理水平有待提高。</w:t>
      </w:r>
    </w:p>
    <w:p w14:paraId="4AB3346E">
      <w:pPr>
        <w:pStyle w:val="8"/>
        <w:numPr>
          <w:ilvl w:val="0"/>
          <w:numId w:val="6"/>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3E28C72B">
      <w:pPr>
        <w:pStyle w:val="8"/>
        <w:numPr>
          <w:ilvl w:val="0"/>
          <w:numId w:val="0"/>
        </w:numPr>
        <w:autoSpaceDE w:val="0"/>
        <w:autoSpaceDN w:val="0"/>
        <w:adjustRightInd w:val="0"/>
        <w:spacing w:line="570" w:lineRule="exact"/>
        <w:ind w:firstLine="640" w:firstLineChars="200"/>
        <w:rPr>
          <w:rFonts w:hint="eastAsia" w:ascii="仿宋" w:hAnsi="仿宋" w:eastAsia="仿宋" w:cs="仿宋"/>
          <w:color w:val="auto"/>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_GB2312" w:hAnsi="仿宋" w:eastAsia="仿宋_GB2312"/>
          <w:color w:val="auto"/>
          <w:sz w:val="32"/>
          <w:szCs w:val="32"/>
          <w:lang w:val="en-US" w:eastAsia="zh-CN"/>
        </w:rPr>
        <w:t>市场及食品监管专项</w:t>
      </w:r>
      <w:r>
        <w:rPr>
          <w:rFonts w:hint="eastAsia" w:ascii="仿宋" w:hAnsi="仿宋" w:eastAsia="仿宋" w:cs="仿宋"/>
          <w:color w:val="auto"/>
          <w:sz w:val="32"/>
          <w:szCs w:val="32"/>
          <w:lang w:val="en-US" w:eastAsia="zh-CN"/>
        </w:rPr>
        <w:t>项目绩效自评综述：根据年初设定的绩效目标，绩效评价结果为优良（详见附表）。项目总体绩效目标为：一是</w:t>
      </w:r>
      <w:r>
        <w:rPr>
          <w:rFonts w:hint="default" w:ascii="仿宋" w:hAnsi="仿宋" w:eastAsia="仿宋" w:cs="仿宋"/>
          <w:color w:val="auto"/>
          <w:sz w:val="32"/>
          <w:szCs w:val="32"/>
          <w:lang w:val="en-US" w:eastAsia="zh-CN"/>
        </w:rPr>
        <w:t>改善营商环境、改善解决商事主体“办证多、办证难”、“准入不准营”等突出问题</w:t>
      </w:r>
      <w:r>
        <w:rPr>
          <w:rFonts w:hint="eastAsia" w:ascii="仿宋" w:hAnsi="仿宋" w:eastAsia="仿宋" w:cs="仿宋"/>
          <w:color w:val="auto"/>
          <w:sz w:val="32"/>
          <w:szCs w:val="32"/>
          <w:lang w:val="en-US" w:eastAsia="zh-CN"/>
        </w:rPr>
        <w:t>；二是及时完成本年度确定“双随机、一公开”企业抽检目标。三是严厉查处辖区内无照经营行为，完成流通领域商品监管（含抽检）工作，加强</w:t>
      </w:r>
      <w:r>
        <w:rPr>
          <w:rFonts w:hint="default" w:ascii="仿宋" w:hAnsi="仿宋" w:eastAsia="仿宋" w:cs="仿宋"/>
          <w:color w:val="auto"/>
          <w:sz w:val="32"/>
          <w:szCs w:val="32"/>
          <w:lang w:val="en-US" w:eastAsia="zh-CN"/>
        </w:rPr>
        <w:t>工业产品质量安全、特种设备安全监管，强化现场检查，严惩违法违规行为，有效防范系统性、源发性、区域性风险</w:t>
      </w:r>
      <w:r>
        <w:rPr>
          <w:rFonts w:hint="eastAsia" w:ascii="仿宋" w:hAnsi="仿宋" w:eastAsia="仿宋" w:cs="仿宋"/>
          <w:color w:val="auto"/>
          <w:sz w:val="32"/>
          <w:szCs w:val="32"/>
          <w:lang w:val="en-US" w:eastAsia="zh-CN"/>
        </w:rPr>
        <w:t>。</w:t>
      </w:r>
    </w:p>
    <w:p w14:paraId="53F704B7">
      <w:pPr>
        <w:pStyle w:val="17"/>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知识产权专项项目绩效自评综述：根据年初设定的绩效目标，绩效评价结果为优良（详见附表）。项目总体绩效目标为：加强知识产权转化，鼓励企业、高等院校、科研院所建立知识产权转移转化机制；打通知识产权向现实生产力转化的通道。</w:t>
      </w:r>
    </w:p>
    <w:p w14:paraId="7B856E0B">
      <w:pPr>
        <w:pStyle w:val="8"/>
        <w:numPr>
          <w:ilvl w:val="0"/>
          <w:numId w:val="0"/>
        </w:numPr>
        <w:autoSpaceDE w:val="0"/>
        <w:autoSpaceDN w:val="0"/>
        <w:adjustRightInd w:val="0"/>
        <w:spacing w:line="570" w:lineRule="exact"/>
        <w:ind w:firstLine="640" w:firstLineChars="200"/>
        <w:rPr>
          <w:rFonts w:hint="eastAsia" w:ascii="仿宋" w:hAnsi="仿宋" w:eastAsia="仿宋" w:cs="仿宋"/>
          <w:color w:val="auto"/>
          <w:sz w:val="32"/>
          <w:szCs w:val="32"/>
          <w:lang w:val="en-US" w:eastAsia="zh-CN"/>
        </w:rPr>
      </w:pPr>
      <w:r>
        <w:rPr>
          <w:rFonts w:hint="eastAsia" w:ascii="仿宋_GB2312" w:hAnsi="仿宋" w:eastAsia="仿宋_GB2312"/>
          <w:color w:val="auto"/>
          <w:sz w:val="32"/>
          <w:szCs w:val="32"/>
          <w:lang w:val="en-US" w:eastAsia="zh-CN"/>
        </w:rPr>
        <w:t>食品安全监管和食品抽检工作经费专项</w:t>
      </w:r>
      <w:r>
        <w:rPr>
          <w:rFonts w:hint="eastAsia" w:ascii="仿宋" w:hAnsi="仿宋" w:eastAsia="仿宋" w:cs="仿宋"/>
          <w:color w:val="auto"/>
          <w:sz w:val="32"/>
          <w:szCs w:val="32"/>
          <w:lang w:val="en-US" w:eastAsia="zh-CN"/>
        </w:rPr>
        <w:t>项目绩效自评综述：根据年初设定的绩效目标，绩效评价结果为优良（详见附表）。项目总体绩效目标为：一是完成食品安全抽样检验工作，二是进一步了解食品安全状况；三是提高食品安全监管能力和水平。</w:t>
      </w:r>
    </w:p>
    <w:p w14:paraId="3B43F7D3">
      <w:pPr>
        <w:pStyle w:val="8"/>
        <w:numPr>
          <w:ilvl w:val="0"/>
          <w:numId w:val="0"/>
        </w:numPr>
        <w:autoSpaceDE w:val="0"/>
        <w:autoSpaceDN w:val="0"/>
        <w:adjustRightInd w:val="0"/>
        <w:spacing w:line="570" w:lineRule="exact"/>
        <w:ind w:firstLine="640" w:firstLineChars="200"/>
        <w:rPr>
          <w:rFonts w:hint="eastAsia" w:ascii="仿宋" w:hAnsi="仿宋" w:eastAsia="仿宋" w:cs="仿宋"/>
          <w:color w:val="auto"/>
          <w:sz w:val="32"/>
          <w:szCs w:val="32"/>
          <w:lang w:val="en-US" w:eastAsia="zh-CN"/>
        </w:rPr>
      </w:pPr>
      <w:r>
        <w:rPr>
          <w:rFonts w:hint="eastAsia" w:ascii="仿宋_GB2312" w:hAnsi="仿宋" w:eastAsia="仿宋_GB2312"/>
          <w:sz w:val="32"/>
          <w:szCs w:val="32"/>
          <w:highlight w:val="none"/>
          <w:lang w:val="en-US" w:eastAsia="zh-CN"/>
        </w:rPr>
        <w:t>经开区市场监督管理专项</w:t>
      </w:r>
      <w:r>
        <w:rPr>
          <w:rFonts w:hint="eastAsia" w:ascii="仿宋" w:hAnsi="仿宋" w:eastAsia="仿宋" w:cs="仿宋"/>
          <w:color w:val="auto"/>
          <w:sz w:val="32"/>
          <w:szCs w:val="32"/>
          <w:lang w:val="en-US" w:eastAsia="zh-CN"/>
        </w:rPr>
        <w:t>目绩效自评综述：根据年初设定的绩效目标，绩效评价结果为优良（详见附表）。项目总体绩效目标为：持续改善经开区营商环境、及时完成本年度确定“双随机、一公开”企业抽检目标、严厉查处辖区内无照经营行为，加强</w:t>
      </w:r>
      <w:r>
        <w:rPr>
          <w:rFonts w:hint="default" w:ascii="仿宋" w:hAnsi="仿宋" w:eastAsia="仿宋" w:cs="仿宋"/>
          <w:color w:val="auto"/>
          <w:sz w:val="32"/>
          <w:szCs w:val="32"/>
          <w:lang w:val="en-US" w:eastAsia="zh-CN"/>
        </w:rPr>
        <w:t>工业产品质量安全、特种设备安全监管，强化现场检查，严惩违法违规行为</w:t>
      </w:r>
      <w:r>
        <w:rPr>
          <w:rFonts w:hint="eastAsia" w:ascii="仿宋" w:hAnsi="仿宋" w:eastAsia="仿宋" w:cs="仿宋"/>
          <w:color w:val="auto"/>
          <w:sz w:val="32"/>
          <w:szCs w:val="32"/>
          <w:lang w:val="en-US" w:eastAsia="zh-CN"/>
        </w:rPr>
        <w:t>。</w:t>
      </w:r>
    </w:p>
    <w:p w14:paraId="7B3E9A12">
      <w:pPr>
        <w:pStyle w:val="8"/>
        <w:numPr>
          <w:ilvl w:val="0"/>
          <w:numId w:val="0"/>
        </w:numPr>
        <w:autoSpaceDE w:val="0"/>
        <w:autoSpaceDN w:val="0"/>
        <w:adjustRightInd w:val="0"/>
        <w:spacing w:line="570" w:lineRule="exact"/>
        <w:ind w:firstLine="640" w:firstLineChars="200"/>
        <w:rPr>
          <w:rFonts w:hint="eastAsia" w:ascii="仿宋" w:hAnsi="仿宋" w:eastAsia="仿宋" w:cs="仿宋"/>
          <w:color w:val="auto"/>
          <w:sz w:val="32"/>
          <w:szCs w:val="32"/>
          <w:lang w:val="en-US" w:eastAsia="zh-CN"/>
        </w:rPr>
      </w:pPr>
      <w:r>
        <w:rPr>
          <w:rFonts w:hint="eastAsia" w:ascii="仿宋_GB2312" w:hAnsi="仿宋" w:eastAsia="仿宋_GB2312"/>
          <w:sz w:val="32"/>
          <w:szCs w:val="32"/>
          <w:highlight w:val="none"/>
          <w:lang w:val="en-US" w:eastAsia="zh-CN"/>
        </w:rPr>
        <w:t>标准化及质量专项</w:t>
      </w:r>
      <w:r>
        <w:rPr>
          <w:rFonts w:hint="eastAsia" w:ascii="仿宋" w:hAnsi="仿宋" w:eastAsia="仿宋" w:cs="仿宋"/>
          <w:color w:val="auto"/>
          <w:sz w:val="32"/>
          <w:szCs w:val="32"/>
          <w:lang w:val="en-US" w:eastAsia="zh-CN"/>
        </w:rPr>
        <w:t>目绩效自评综述：根据年初设定的绩效目标，绩效评价结果为优良（详见附表）。项目总体绩效目标为：抓质量标准化，促进标准化工程发展。实施重点工业产品抽检。</w:t>
      </w:r>
    </w:p>
    <w:p w14:paraId="7CC8EF35">
      <w:pPr>
        <w:pStyle w:val="8"/>
        <w:numPr>
          <w:ilvl w:val="0"/>
          <w:numId w:val="0"/>
        </w:numPr>
        <w:autoSpaceDE w:val="0"/>
        <w:autoSpaceDN w:val="0"/>
        <w:adjustRightInd w:val="0"/>
        <w:spacing w:line="570" w:lineRule="exact"/>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仿宋_GB2312" w:hAnsi="仿宋" w:eastAsia="仿宋_GB2312"/>
          <w:sz w:val="32"/>
          <w:szCs w:val="32"/>
          <w:highlight w:val="none"/>
          <w:lang w:val="en-US" w:eastAsia="zh-CN"/>
        </w:rPr>
        <w:t>市场主体培育纳税申报服务工作</w:t>
      </w:r>
      <w:r>
        <w:rPr>
          <w:rFonts w:hint="eastAsia" w:ascii="仿宋" w:hAnsi="仿宋" w:eastAsia="仿宋" w:cs="仿宋"/>
          <w:color w:val="auto"/>
          <w:sz w:val="32"/>
          <w:szCs w:val="32"/>
          <w:lang w:val="en-US" w:eastAsia="zh-CN"/>
        </w:rPr>
        <w:t>绩效自评综述：根据年初设定的绩效目标，绩效评价结果为优良（详见附表）。项目总体绩效目标为：推进市场主体培育工作，确保新增企业数量和涉税指标的增长。</w:t>
      </w:r>
    </w:p>
    <w:p w14:paraId="467E8E5D">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41A7F26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482D9572">
      <w:pPr>
        <w:pStyle w:val="17"/>
        <w:jc w:val="both"/>
        <w:rPr>
          <w:rFonts w:ascii="Times New Roman" w:hAnsi="Times New Roman" w:cs="Times New Roman"/>
          <w:sz w:val="84"/>
          <w:szCs w:val="84"/>
        </w:rPr>
      </w:pPr>
    </w:p>
    <w:p w14:paraId="07C9C118">
      <w:pPr>
        <w:pStyle w:val="17"/>
        <w:jc w:val="both"/>
        <w:rPr>
          <w:rFonts w:ascii="Times New Roman" w:hAnsi="Times New Roman" w:cs="Times New Roman"/>
          <w:sz w:val="84"/>
          <w:szCs w:val="84"/>
        </w:rPr>
      </w:pPr>
    </w:p>
    <w:p w14:paraId="691444D1">
      <w:pPr>
        <w:pStyle w:val="17"/>
        <w:jc w:val="both"/>
        <w:rPr>
          <w:rFonts w:ascii="Times New Roman" w:hAnsi="Times New Roman" w:cs="Times New Roman"/>
          <w:sz w:val="84"/>
          <w:szCs w:val="84"/>
        </w:rPr>
      </w:pPr>
    </w:p>
    <w:p w14:paraId="71287158">
      <w:pPr>
        <w:pStyle w:val="17"/>
        <w:jc w:val="both"/>
        <w:rPr>
          <w:rFonts w:ascii="Times New Roman" w:hAnsi="Times New Roman" w:cs="Times New Roman"/>
          <w:sz w:val="84"/>
          <w:szCs w:val="84"/>
        </w:rPr>
      </w:pPr>
    </w:p>
    <w:p w14:paraId="39FBC192">
      <w:pPr>
        <w:pStyle w:val="17"/>
        <w:jc w:val="both"/>
        <w:rPr>
          <w:rFonts w:ascii="Times New Roman" w:hAnsi="Times New Roman" w:cs="Times New Roman"/>
          <w:sz w:val="84"/>
          <w:szCs w:val="84"/>
        </w:rPr>
      </w:pPr>
    </w:p>
    <w:p w14:paraId="781B460D">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5C70555C">
      <w:pPr>
        <w:pStyle w:val="17"/>
        <w:jc w:val="center"/>
        <w:rPr>
          <w:rFonts w:ascii="Times New Roman" w:hAnsi="Times New Roman" w:eastAsia="方正小标宋简体" w:cs="Times New Roman"/>
          <w:sz w:val="76"/>
          <w:szCs w:val="76"/>
        </w:rPr>
      </w:pPr>
    </w:p>
    <w:p w14:paraId="52018F3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406DD7F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5C29BA2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6FC7447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046BBF4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44DE21B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68FCBBF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1ED6C8C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028D1F0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2181496A">
      <w:pPr>
        <w:pStyle w:val="17"/>
        <w:jc w:val="both"/>
        <w:rPr>
          <w:rFonts w:hint="eastAsia" w:ascii="Times New Roman" w:hAnsi="Times New Roman" w:cs="Times New Roman"/>
          <w:sz w:val="72"/>
          <w:szCs w:val="72"/>
        </w:rPr>
      </w:pPr>
    </w:p>
    <w:p w14:paraId="38E5BADD">
      <w:pPr>
        <w:pStyle w:val="17"/>
        <w:jc w:val="both"/>
        <w:rPr>
          <w:rFonts w:ascii="Times New Roman" w:hAnsi="Times New Roman" w:cs="Times New Roman"/>
          <w:sz w:val="84"/>
          <w:szCs w:val="84"/>
        </w:rPr>
      </w:pPr>
    </w:p>
    <w:p w14:paraId="06935958">
      <w:pPr>
        <w:pStyle w:val="17"/>
        <w:jc w:val="both"/>
        <w:rPr>
          <w:rFonts w:ascii="Times New Roman" w:hAnsi="Times New Roman" w:cs="Times New Roman"/>
          <w:sz w:val="84"/>
          <w:szCs w:val="84"/>
        </w:rPr>
      </w:pPr>
    </w:p>
    <w:p w14:paraId="6959C41B">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F2B6C82">
      <w:pPr>
        <w:pStyle w:val="17"/>
        <w:jc w:val="center"/>
        <w:rPr>
          <w:rFonts w:ascii="Times New Roman" w:hAnsi="Times New Roman" w:eastAsia="方正小标宋简体" w:cs="Times New Roman"/>
          <w:sz w:val="56"/>
          <w:szCs w:val="56"/>
        </w:rPr>
      </w:pPr>
    </w:p>
    <w:p w14:paraId="38FAB7E9">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335BC162">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1186F22">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4F338E23">
      <w:pPr>
        <w:pStyle w:val="17"/>
        <w:spacing w:line="596" w:lineRule="exact"/>
        <w:jc w:val="center"/>
        <w:rPr>
          <w:rFonts w:hint="eastAsia" w:ascii="Times New Roman" w:hAnsi="Times New Roman" w:eastAsia="方正小标宋简体" w:cs="Times New Roman"/>
          <w:sz w:val="32"/>
          <w:szCs w:val="32"/>
          <w:lang w:eastAsia="zh-CN"/>
        </w:rPr>
      </w:pPr>
    </w:p>
    <w:p w14:paraId="5B6775A2">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8664">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88D0B9">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088D0B9">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D8B59"/>
    <w:multiLevelType w:val="singleLevel"/>
    <w:tmpl w:val="977D8B59"/>
    <w:lvl w:ilvl="0" w:tentative="0">
      <w:start w:val="1"/>
      <w:numFmt w:val="chineseCounting"/>
      <w:suff w:val="nothing"/>
      <w:lvlText w:val="%1、"/>
      <w:lvlJc w:val="left"/>
      <w:rPr>
        <w:rFonts w:hint="eastAsia"/>
      </w:rPr>
    </w:lvl>
  </w:abstractNum>
  <w:abstractNum w:abstractNumId="1">
    <w:nsid w:val="9EBF0C25"/>
    <w:multiLevelType w:val="singleLevel"/>
    <w:tmpl w:val="9EBF0C25"/>
    <w:lvl w:ilvl="0" w:tentative="0">
      <w:start w:val="2"/>
      <w:numFmt w:val="chineseCounting"/>
      <w:suff w:val="nothing"/>
      <w:lvlText w:val="（%1）"/>
      <w:lvlJc w:val="left"/>
      <w:rPr>
        <w:rFonts w:hint="eastAsia"/>
      </w:rPr>
    </w:lvl>
  </w:abstractNum>
  <w:abstractNum w:abstractNumId="2">
    <w:nsid w:val="B73FED07"/>
    <w:multiLevelType w:val="singleLevel"/>
    <w:tmpl w:val="B73FED07"/>
    <w:lvl w:ilvl="0" w:tentative="0">
      <w:start w:val="10"/>
      <w:numFmt w:val="chineseCounting"/>
      <w:suff w:val="nothing"/>
      <w:lvlText w:val="%1、"/>
      <w:lvlJc w:val="left"/>
      <w:rPr>
        <w:rFonts w:hint="eastAsia"/>
      </w:rPr>
    </w:lvl>
  </w:abstractNum>
  <w:abstractNum w:abstractNumId="3">
    <w:nsid w:val="E80D54F9"/>
    <w:multiLevelType w:val="singleLevel"/>
    <w:tmpl w:val="E80D54F9"/>
    <w:lvl w:ilvl="0" w:tentative="0">
      <w:start w:val="2"/>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A961A80"/>
    <w:multiLevelType w:val="singleLevel"/>
    <w:tmpl w:val="2A961A80"/>
    <w:lvl w:ilvl="0" w:tentative="0">
      <w:start w:val="8"/>
      <w:numFmt w:val="decimal"/>
      <w:suff w:val="nothing"/>
      <w:lvlText w:val="%1、"/>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9C21BE"/>
    <w:rsid w:val="07A77932"/>
    <w:rsid w:val="08F14AE1"/>
    <w:rsid w:val="0B567F72"/>
    <w:rsid w:val="0C7C6B53"/>
    <w:rsid w:val="0D3F15F5"/>
    <w:rsid w:val="0EF6245F"/>
    <w:rsid w:val="0FE40987"/>
    <w:rsid w:val="1059400F"/>
    <w:rsid w:val="11E43B98"/>
    <w:rsid w:val="12C86647"/>
    <w:rsid w:val="13692089"/>
    <w:rsid w:val="1744589C"/>
    <w:rsid w:val="18985D2F"/>
    <w:rsid w:val="18FA38C9"/>
    <w:rsid w:val="1B323160"/>
    <w:rsid w:val="1B714E5F"/>
    <w:rsid w:val="1BB47F9C"/>
    <w:rsid w:val="1D5D451A"/>
    <w:rsid w:val="1E532BCB"/>
    <w:rsid w:val="1EBE63A2"/>
    <w:rsid w:val="1F041D62"/>
    <w:rsid w:val="1F6317DE"/>
    <w:rsid w:val="1F745786"/>
    <w:rsid w:val="21B1218A"/>
    <w:rsid w:val="238B2E7B"/>
    <w:rsid w:val="25E41F27"/>
    <w:rsid w:val="2A663F7B"/>
    <w:rsid w:val="2AD95BF4"/>
    <w:rsid w:val="2F101369"/>
    <w:rsid w:val="321612FC"/>
    <w:rsid w:val="32B56379"/>
    <w:rsid w:val="36025E18"/>
    <w:rsid w:val="37F766E6"/>
    <w:rsid w:val="38090922"/>
    <w:rsid w:val="38D75D21"/>
    <w:rsid w:val="395219B1"/>
    <w:rsid w:val="39B547D5"/>
    <w:rsid w:val="3E6C0BD5"/>
    <w:rsid w:val="445A53A5"/>
    <w:rsid w:val="46BE0A2A"/>
    <w:rsid w:val="472236C4"/>
    <w:rsid w:val="47867568"/>
    <w:rsid w:val="47C05439"/>
    <w:rsid w:val="4B1C68ED"/>
    <w:rsid w:val="4B8003CD"/>
    <w:rsid w:val="4E512553"/>
    <w:rsid w:val="4F976C0B"/>
    <w:rsid w:val="523F5138"/>
    <w:rsid w:val="529E27D4"/>
    <w:rsid w:val="538D47D7"/>
    <w:rsid w:val="538E105C"/>
    <w:rsid w:val="53BF69FD"/>
    <w:rsid w:val="5523119B"/>
    <w:rsid w:val="56FB2E58"/>
    <w:rsid w:val="57237020"/>
    <w:rsid w:val="591A5257"/>
    <w:rsid w:val="59DF3A93"/>
    <w:rsid w:val="5D2E7409"/>
    <w:rsid w:val="5FE47C81"/>
    <w:rsid w:val="60841B7E"/>
    <w:rsid w:val="635D15B9"/>
    <w:rsid w:val="64714AD2"/>
    <w:rsid w:val="64857E64"/>
    <w:rsid w:val="65965345"/>
    <w:rsid w:val="65F04BE5"/>
    <w:rsid w:val="6A484E25"/>
    <w:rsid w:val="6D0026E5"/>
    <w:rsid w:val="6E0F6D2F"/>
    <w:rsid w:val="6EAE4254"/>
    <w:rsid w:val="6FA53094"/>
    <w:rsid w:val="74205B29"/>
    <w:rsid w:val="758277CB"/>
    <w:rsid w:val="75F714AD"/>
    <w:rsid w:val="76170AA5"/>
    <w:rsid w:val="76663F67"/>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before="100" w:beforeAutospacing="1" w:after="12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6768</Words>
  <Characters>7172</Characters>
  <Lines>56</Lines>
  <Paragraphs>15</Paragraphs>
  <TotalTime>222</TotalTime>
  <ScaleCrop>false</ScaleCrop>
  <LinksUpToDate>false</LinksUpToDate>
  <CharactersWithSpaces>7191</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2024-10-21T03:43:37Z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C511C5855DE64600B67C08A6E5C3387F_13</vt:lpwstr>
  </property>
</Properties>
</file>