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1、主要职能：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（1）贯彻落实党和国家各项方针政策和法律法规，对居民进行思想政治教育和社会主义法制教育，依法保障居民合法权益。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（2）拟订并执行本行政区域内的经济和社会发展远近期规划，大力发民街道经济，提高社区服务能力。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（3）管理本行政区域内的经济、教育、科学、文化、体育、卫生、农业事业和财政、民政、安全、司法行政、计划生育、城市管理、社会管理综合治理等行政工作。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（4）负责本行政区域内的社会主义精神文明建设和民主法制建设，组织开展各类文明创建活动和群众性文化活动。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（5）承担本级基层政权建设和基层组织建设工作。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（6）抓好征兵工作，组织民兵训练，开展国防教育等工作。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（7）完成区委、区政府交办的其他工作任务。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2、机构情况：街道辖3个行政村和7个居委会，辖区常住人口约5万人。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3、人员情况：截止202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年12月拥有在职人员（以区发工资人数为基准）3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人，退休人员2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人，网格人员1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995.12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392.28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eastAsia="zh-CN"/>
        </w:rPr>
        <w:t>党建引领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示范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</w:rPr>
        <w:t>，政治建设不断加强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主题教育守初心。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街道党工委坚持以习近平新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时代中国特色社会主义思想为指导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，把开展主题教育作为一项重大政治任务，以高度负责的态度抓好主题教育，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切实学在深处、干在实处。自主题教育开展以来，辖区57个党支部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学习计划，每月组织党员开展学习研讨活动，“书记讲党课”68次，坚定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理想信念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，锤炼了党性修养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第一议题促学习。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切实落实学习第一议题制度，以领导领学促进全员共学，围绕习近平系列讲话精神，组织理论中心组学习12次，机关党支部开展“三会一课”21次，主题党日活动12次，领导班子下基层讲党课11次，把学习贯彻习近平新时代中国特色社会主义思想作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首要政治任务，不断增强“四个意识”，坚定“四个自信”，忠诚拥护“两个确立”，坚决做到“两个维护”。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阵地建设强根基。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了白马村党总支党群服务中心、井墈社区党群服务中心提质改造，加快建设清石嘉苑党支部党群服务站、天骄小区党群服务站，报亭社区广铁小区党支部成功创建株洲市五星级小区党支部，通过建设规范化和标准化的党员活动阵地，开展形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多样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的活动，不断增强基层党组织的凝聚力和战斗力，提高基层党员素质。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统筹推进作风建设，街道效能不断提升。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为进一步严明纪律作风，切实巩固“干部能力提升年”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成果同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“作风建设年”有效衔接，街道党工委开展了一系列作风建设活动。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强化以镜鉴己，补足精神之钙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街道党工委紧紧围绕以案明纪以案促改肃流毒、正生态、促发展这一主题，深入开展了“镜鉴”专题大讨论活动。组织机关全体党员集中观看廉政警示片，并对21起典型案例进行深入剖析，班子成员带头撰写了心得体会。机关全体党员分组进行研讨，其中，班子成员以普通党员身份参与大讨论，与会党员轮流将心得体会进行分享交流，利用“反面典型”，敲响党员干部引以为戒的警钟，提高自身党性修养，不触“底线”，不碰“红线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坚持以学促改，强化底线思维。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是街道组织开展“两带头五整治”纠风反腐专项行动，切实提高党员思想认识和政治站位，准确把握开展好专项行动的重要性和紧迫性，把专项行动作为开展主题教育、推进作风建设、净化政治生态的重要抓手，确保专项行动取得实效。二是“清廉家风、照我心田”主题征文活动。大力推进清廉机关建设工作，采取干部群众喜闻乐见的形式，教育引导党员干部弘扬清廉家风，筑牢反腐防线，利用身边先进典型，形成带动作用，让党员干部自觉增强廉洁自律意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加强建章立制，激励担当作为。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街道制定了《清水塘街道2023年“作风建设年”实施方案》，一是严格考察标准，将考核考察结果充分运用到干部选拔任用、职级晋升、评先评优上来。二是坚持严管和厚爱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，评选表彰一批担当作为、创新创业的先进部门和先进个人，让能为善为敢为的干部脱颖而出。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紧扣民生实事项目，民生保障不断夯实。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就业服务提质增效。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积极推动沈家湾社区、湘天桥社区、华垅社区就业服务驿站建设，组织开展职业培训大讲堂活动，井墈社区召开企业专场招聘会。持续推进人社就业工作目标，城镇新增就业指标完成1577人，劳动力转移就业指标完成30人、完成高校毕业生就业服务61人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民生底线走深走实。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街道低保在册人数363人，2023年低保对象新增33人，退出低保24人。办理临时救助19人，发放临时救助金33800元。办理医疗救助14人，发放医疗救助金127517元。通过全面强化街道低保扩围增效工作力度，畅通“政策找人”的主动发现渠道，不断提升救助时效和精准度，织密织牢低保保障网，确保低保对象应保尽保、应纳尽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养老服务多元共建。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入弘益社工社会组织，充分发挥社工专业优势，给予“繁星工程”志愿者帮助和支持，运用“社工+志愿者”社志联动模式，共同为辖区重点老人提供精准帮扶。引入社会资本，创办老年食堂、老年驿站等，为社区老人提供精准养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建设了清水塘街道养老服务中心，统筹整合养老服务机构资源，重点打造具备养老服务供需对接、社区餐厅、老年学堂、康养娱乐、集中照护等功能于一体的街道区域养老服务中心，切实提高街道养老服务水平。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井墈社区成功创建全国示范性老年友好型社区。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聚焦生态资源保护，乡村振兴不断加快。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一是加强耕地保护。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为改善土壤质量确保土地有效利用，对辖区内3938.19亩稻田土地设立严格管控区，在严格管控区内实施优质大豆和国家推广的试验水稻的种植培育，增加农民收入。完成耕地复耕90.885亩。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二是强化森林安全。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制定《清水塘街道森林防火工作方案及考核奖惩办法（试行）》（株石清党发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号），对野外生产用火实行“计划烧除”，重要山林关口实行24小时值班值守轮岗制度，完成了九塘、白马村森林防火道、隔离带等建设任务。成立多部门联合督查组全时段监督值班值守情况，对履职不力的及时予以通报纠正，并将其纳入绩效考核结果中来，切实保障森林安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三是壮大集体经济。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九塘村以“鱼水文化”为核心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生态垂钓基地和140亩湘莲种植项目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万元。白马村以“九郎福柚”品牌建设为核心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瓜果、蔬菜种植采摘园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万元。大冲村以“秋瑾文化”为核心，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打造党建研学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休闲文旅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，槐庭食府、“三社合一”运营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万元。严格落实耕地“非粮化”“非农化”要求，积极盘活土地资源，引入200亩益母草种植项目，在乡村振兴方面探索了新路径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持续改善城居环境，小区治理不断升级。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红色物业创建成功。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完成井墈社区株化小区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、果园社区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“红色物业”创建工作，打造示范型党建引领小区。同社区居委会、业委会、派出所、律师等形成联合队伍，定期听取物业公司服务工作汇报，提升物业服务效能。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创文巩卫卓有成效。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处置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牛皮癣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100余次，劝导违章行为10000余次，清理破损广告90余次，督促餐饮门店规范使用油烟净化设备400余次，劝导并处置露天焚烧问题50余次，创文巩卫工作取得显著成效。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志愿服务创新升级。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目前完成志愿者培育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人，完成了“一户一人”志愿者“繁星工程”万人志愿者总目标。自工作推进以来，志愿者常态化在街道开展“十大主题”志愿服务，累计开展志愿活动600余场、“幸福邻里节”活动9场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、长株潭一体化“欢乐跑”活动，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既丰富了群众精神生活，也充分发挥了志愿者监督与协调作用，参与社区矛盾调解、清廉社区建设中来，切实保障社区环境和谐稳定。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全力维护社会稳定，发展底线不断筑牢。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信访矛盾调解成果显著。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共处理上访个案30余件，群访4件，成功签订息访息诉案件2件。在全国“两会”、省“两会”、市“两会”等敏感时期，未发生一起因处理不当造成的越级访、非访、闹访民事案件。成功完成慧泉书记来石峰区信访接待工作，公开登记11批，其中2例纳入慧泉书记接访名单，3例纳入市直部门接访名单，取得较好效果。街道信访工作受理率100%、答复率100%、参评率100%和参评满意率均达到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禁毒网格化全面管控。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举办禁毒宣传活动20余场。组织党员干部、学生、居民等到禁毒教育基地参观学习4次。开展禁毒宣传进校园、禁毒宣传进农村等活动38场。对396名在册吸毒人员建立一人一档，准确掌握人员基本情况、现实表现，一旦发现异常情况，及时管控帮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全面实现对辖区在册吸毒人员纳入网格化管控，完善社区戒毒（康复）工作机制，社区戒毒（康复）执行率达到100%，“出所必接”比例达100%。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安全生产监管常抓不懈。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班子会研究安全生产工作16次，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企业负责人开工第一课讲安全、企业安全培训、上门讲解典型生产安全事故案例等，增强安全管理人员的工作规范性和企业从业人员的安全意识。坚持“全覆盖、零容忍、严执法、重实效”的要求，开展安全生产、防灾减灾等检查150多次，派出检查700余人次，排查各类生产经营单位560多家，排查消防、工贸、餐饮等领域安全隐患500多条，对于不能现场整改的安全隐患，严格落实一单四制，共开具一单四制80余份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全年未发生一起特重大安全生产事故，街道社会大局平稳可控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在总结回顾成绩的同时，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也需要认识到街道仍然存在部分问题亟待解决：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一是运转经费不足。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街道财政收入主要是来自区级财政对街道的财政转移支付，但仍不足以支撑街道基础设施和社会事业发展的需要。另一方面市区上级部门均可对街道下达任务，以考核来督促完成各项任务，但事权和财权不相统一，街道为完成任务必须拿出资金进行配套，脱离了街道实际承受能力，运转压力较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二是信访矛盾隐患仍然存在。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汇亚大楼及华晨翡翠湾业主信访群体、“三供一业”遗留问题、老旧小区安全隐患问题等仍然较为突出，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部分群众反应过度，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沟通方式较为激进，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矛盾风险增加，导致工作压力大、调解难度大。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三是物业公司与居民矛盾凸显。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是物业公司市场化程度不高，利用闲置资源能力较差，对开展高水平的物业服务缺乏积极性。另一方面辖区多是国有企业搬迁后的厂矿型小区，居民思想还未从企业大包大揽的状态中改变，花钱买服务的意识不强，拒缴拖缴物业管理费用，导致物业与居民矛盾日益增加，管理难度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微民生网格事件办理经费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27.45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业务性专项经费”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37.25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社区人员经费”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,“提退人员经费”金额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11.81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年中执行调增（减）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418.51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）微民生网格事件办理经费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27.45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社区网格化管理依托统一的城市管理以及数字化的平台，将城市管理辖区按照一定的标准划分成单元格。通过加强对单元网格的部件和事件巡查，建立一种监督和处置互相分离的形式。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  <w:highlight w:val="none"/>
        </w:rPr>
        <w:t>%，该项目在积极的推进和实施过程中产生了良好的社会效益，有效地提高了事务管理人员的工作积极性。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37.25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主要用于街道党建、城管、妇联、计生、基层武装、综治维稳等开支,按进度，项目资金拔付率100%，项目资金使用率99.74%。体现了惠民利民的民本思想理念，将群众切身利益维护好、实现好、发展好，提升了居民的幸福感,进一步做好综治维稳、武装征兵、安全生产、城管等工作，提高街道办民办实事办好事的能力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（3）社区人员经费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eastAsia="仿宋_GB2312"/>
          <w:sz w:val="32"/>
          <w:szCs w:val="32"/>
        </w:rPr>
        <w:t>万元，主要用于更好服务社区,增强社区居民幸福指数,发挥好社区组织枢纽和配置作用,上通下达。按进度，项目资金拔付率100%，项目资金使用率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（4）提退人员经费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11.81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highlight w:val="none"/>
        </w:rPr>
        <w:t>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提退</w:t>
      </w:r>
      <w:r>
        <w:rPr>
          <w:rFonts w:hint="eastAsia" w:ascii="仿宋_GB2312" w:eastAsia="仿宋_GB2312"/>
          <w:sz w:val="32"/>
          <w:szCs w:val="32"/>
          <w:highlight w:val="none"/>
        </w:rPr>
        <w:t>人员工资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、社保和</w:t>
      </w:r>
      <w:r>
        <w:rPr>
          <w:rFonts w:hint="eastAsia" w:ascii="仿宋_GB2312" w:eastAsia="仿宋_GB2312"/>
          <w:sz w:val="32"/>
          <w:szCs w:val="32"/>
          <w:highlight w:val="none"/>
        </w:rPr>
        <w:t>考核奖金等。按进度，项目资金拔付率100%，项目资金使用率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62.17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就业创业服务资金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66.23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55.86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</w:rPr>
        <w:t>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37.5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231.9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391.49</w:t>
      </w:r>
      <w:r>
        <w:rPr>
          <w:rFonts w:hint="eastAsia" w:ascii="仿宋_GB2312" w:eastAsia="仿宋_GB2312"/>
          <w:color w:val="auto"/>
          <w:sz w:val="32"/>
          <w:szCs w:val="32"/>
        </w:rPr>
        <w:t>万元，结余结转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）就业创业服务资金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66.23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开展贫困劳动力岗位补贴、社保补贴和交通补贴等各类扶贫政策的宣传、咨询，做好信息数据的采集录入和维护工作。项目资金拔付率100%，项目资金使用率100%。有利于提供高质量的公共服务产品，有利于提高管理效率，从而提高服务生产效率，更深入、彻底地把公共服务落到实处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55.86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办事处伙食费、零星维修等日常开支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强化职能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充分发挥街道办事处的基础性作用。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项目资金拔付率100%，项目资金使用率100%。该项目在积极的推进和实施过程中产生了良好的社会效益，有效地提高了事务管理人员的工作积极性。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37.5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提升基层党建工作的科学化水平，加强基层党组织建设，为推动经济社会又好又快、更好更快发展提供坚强的组织保证。项目资金拔付率100%，项目资金使用率100%。保持党建工作的良好势头，发挥创新精神，进一步提升党建工作的龙头作用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</w:p>
    <w:p>
      <w:pPr>
        <w:spacing w:after="0" w:line="22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231.9万元，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主要用于设施环境改善，群众归属感强，促进经济协调发展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乡村设施进一步完善、环境质量提升、居民生活丰富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改善居民生产生活环境。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100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</w:t>
      </w:r>
      <w:r>
        <w:rPr>
          <w:rFonts w:hint="eastAsia" w:ascii="仿宋_GB2312" w:eastAsia="仿宋_GB2312"/>
          <w:sz w:val="32"/>
          <w:szCs w:val="32"/>
          <w:highlight w:val="none"/>
        </w:rPr>
        <w:t>新农村建设迈上新台阶，休闲农业发展凸显成效，吸引游客前来观赏，推动了乡村旅游和农家乐的发展壮大，提升了村民的幸福指数。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1、存在的问题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一是年初预算调整及追加金额较大，部门预算编制不科学，缺乏前瞻性。202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995.12</w:t>
      </w:r>
      <w:r>
        <w:rPr>
          <w:rFonts w:hint="eastAsia" w:ascii="仿宋_GB2312" w:eastAsia="仿宋_GB2312"/>
          <w:sz w:val="32"/>
          <w:szCs w:val="32"/>
        </w:rPr>
        <w:t>万元，年中追加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392.28</w:t>
      </w:r>
      <w:r>
        <w:rPr>
          <w:rFonts w:hint="eastAsia" w:ascii="仿宋_GB2312" w:eastAsia="仿宋_GB2312"/>
          <w:sz w:val="32"/>
          <w:szCs w:val="32"/>
        </w:rPr>
        <w:t>万元，其中：基本支出追加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4.28</w:t>
      </w:r>
      <w:r>
        <w:rPr>
          <w:rFonts w:hint="eastAsia" w:ascii="仿宋_GB2312" w:eastAsia="仿宋_GB2312"/>
          <w:sz w:val="32"/>
          <w:szCs w:val="32"/>
        </w:rPr>
        <w:t>万元、项目支出追加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</w:t>
      </w:r>
      <w:r>
        <w:rPr>
          <w:rFonts w:hint="eastAsia" w:ascii="仿宋_GB2312" w:eastAsia="仿宋_GB2312"/>
          <w:sz w:val="32"/>
          <w:szCs w:val="32"/>
        </w:rPr>
        <w:t>万元。全年预算收入总额为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1387.4</w:t>
      </w:r>
      <w:r>
        <w:rPr>
          <w:rFonts w:hint="eastAsia" w:ascii="仿宋_GB2312" w:eastAsia="仿宋_GB2312"/>
          <w:sz w:val="32"/>
          <w:szCs w:val="32"/>
        </w:rPr>
        <w:t>万元，年中追加为年初预算的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39.42</w:t>
      </w:r>
      <w:r>
        <w:rPr>
          <w:rFonts w:hint="eastAsia" w:ascii="仿宋_GB2312" w:eastAsia="仿宋_GB2312"/>
          <w:sz w:val="32"/>
          <w:szCs w:val="32"/>
        </w:rPr>
        <w:t>%，占全年预算资金的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28.27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二是资产管理制度有待加强。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科学合理编制预算，严格执行预算。加强预算编制的前瞻性，建议按照新《预算法》及其实施条例的相关规定，按政策规定及本部门的发展规划，结合上一年度预算执行情况和本年度预算收支变化因素，科学、合理地编制本年预算草案，避免预算支出与实际执行出现较大偏差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二是严格细化专项资金预算明细，做到专项资金合理规范，提高财政资金使用效益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三是认真执行各项规定，进一步加强资产管理。严格按照《固定资产管理办法》的规定加强固定资产管理，及时登记、更新台账，加强资产卡片管理，年终前对各类实物资产进行全面盘点，确保账账、账实相符。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四是建议财政部门指导规范单位正确填报年度决算数据,要求口径一致。</w:t>
      </w:r>
    </w:p>
    <w:p>
      <w:pPr>
        <w:pStyle w:val="10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06095951">
    <w:nsid w:val="955FFD4F"/>
    <w:multiLevelType w:val="singleLevel"/>
    <w:tmpl w:val="955FFD4F"/>
    <w:lvl w:ilvl="0" w:tentative="1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5060959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1ODZjNWVkMTY1ZDMyNmRiY2M2NTQ2YjQ1OGJmYTU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582208"/>
    <w:rsid w:val="0EA03BB9"/>
    <w:rsid w:val="0F74026E"/>
    <w:rsid w:val="0F9505C8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063C8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8A7E99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866FE0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C286DF0"/>
    <w:rsid w:val="2D8A136A"/>
    <w:rsid w:val="2E770DFB"/>
    <w:rsid w:val="2E9665FD"/>
    <w:rsid w:val="2F1763DE"/>
    <w:rsid w:val="3002077B"/>
    <w:rsid w:val="300B0291"/>
    <w:rsid w:val="30192EE0"/>
    <w:rsid w:val="311E625A"/>
    <w:rsid w:val="32390E2D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8CF5AD6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0F44B92"/>
    <w:rsid w:val="413C6D6B"/>
    <w:rsid w:val="41FE6046"/>
    <w:rsid w:val="42112CF3"/>
    <w:rsid w:val="42347456"/>
    <w:rsid w:val="42720F81"/>
    <w:rsid w:val="427B2141"/>
    <w:rsid w:val="43587B65"/>
    <w:rsid w:val="43A003E9"/>
    <w:rsid w:val="44332554"/>
    <w:rsid w:val="44527E3B"/>
    <w:rsid w:val="445F4809"/>
    <w:rsid w:val="44A7431B"/>
    <w:rsid w:val="44DA00F4"/>
    <w:rsid w:val="44E419D4"/>
    <w:rsid w:val="458E4325"/>
    <w:rsid w:val="46367F5F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91D61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2A14F1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733125"/>
    <w:rsid w:val="68F776E4"/>
    <w:rsid w:val="6927577B"/>
    <w:rsid w:val="69394480"/>
    <w:rsid w:val="6A023290"/>
    <w:rsid w:val="6A8E0312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5E1E12"/>
    <w:rsid w:val="7D670134"/>
    <w:rsid w:val="7D695474"/>
    <w:rsid w:val="7D7C3D3A"/>
    <w:rsid w:val="7DF55347"/>
    <w:rsid w:val="7E64772D"/>
    <w:rsid w:val="7E8E2937"/>
    <w:rsid w:val="7F68316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 w:firstLine="88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5"/>
    <w:basedOn w:val="1"/>
    <w:next w:val="1"/>
    <w:qFormat/>
    <w:locked/>
    <w:uiPriority w:val="0"/>
    <w:pPr>
      <w:ind w:left="1680"/>
    </w:p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next w:val="5"/>
    <w:qFormat/>
    <w:uiPriority w:val="0"/>
    <w:pPr>
      <w:spacing w:line="240" w:lineRule="auto"/>
      <w:ind w:firstLine="420" w:firstLineChars="200"/>
    </w:pPr>
  </w:style>
  <w:style w:type="paragraph" w:styleId="9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character" w:styleId="12">
    <w:name w:val="page number"/>
    <w:basedOn w:val="11"/>
    <w:qFormat/>
    <w:uiPriority w:val="99"/>
  </w:style>
  <w:style w:type="paragraph" w:customStyle="1" w:styleId="14">
    <w:name w:val="正文文字"/>
    <w:basedOn w:val="1"/>
    <w:next w:val="1"/>
    <w:qFormat/>
    <w:uiPriority w:val="99"/>
    <w:pPr>
      <w:spacing w:after="120"/>
    </w:pPr>
  </w:style>
  <w:style w:type="character" w:customStyle="1" w:styleId="15">
    <w:name w:val="Header Char"/>
    <w:basedOn w:val="11"/>
    <w:link w:val="9"/>
    <w:semiHidden/>
    <w:qFormat/>
    <w:locked/>
    <w:uiPriority w:val="99"/>
    <w:rPr>
      <w:sz w:val="18"/>
      <w:szCs w:val="18"/>
    </w:rPr>
  </w:style>
  <w:style w:type="character" w:customStyle="1" w:styleId="16">
    <w:name w:val="Footer Char"/>
    <w:basedOn w:val="11"/>
    <w:link w:val="7"/>
    <w:qFormat/>
    <w:locked/>
    <w:uiPriority w:val="99"/>
    <w:rPr>
      <w:sz w:val="18"/>
      <w:szCs w:val="18"/>
    </w:rPr>
  </w:style>
  <w:style w:type="character" w:customStyle="1" w:styleId="17">
    <w:name w:val="Date Char"/>
    <w:basedOn w:val="11"/>
    <w:link w:val="6"/>
    <w:semiHidden/>
    <w:qFormat/>
    <w:locked/>
    <w:uiPriority w:val="99"/>
  </w:style>
  <w:style w:type="character" w:customStyle="1" w:styleId="18">
    <w:name w:val="font41"/>
    <w:basedOn w:val="11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11323</Words>
  <Characters>12468</Characters>
  <Lines>0</Lines>
  <Paragraphs>0</Paragraphs>
  <ScaleCrop>false</ScaleCrop>
  <LinksUpToDate>false</LinksUpToDate>
  <CharactersWithSpaces>12979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2024-08-23T01:59:24Z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D046AB22908C472C8AD60C17670F1370</vt:lpwstr>
  </property>
</Properties>
</file>