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ascii="Times New Roman" w:hAnsi="Times New Roman" w:cs="Times New Roman"/>
          <w:sz w:val="56"/>
          <w:szCs w:val="56"/>
        </w:rPr>
      </w:pPr>
    </w:p>
    <w:p>
      <w:pPr>
        <w:pStyle w:val="17"/>
        <w:jc w:val="both"/>
        <w:rPr>
          <w:rFonts w:ascii="Times New Roman" w:hAnsi="Times New Roman" w:cs="Times New Roman"/>
          <w:sz w:val="56"/>
          <w:szCs w:val="56"/>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7"/>
        <w:jc w:val="center"/>
        <w:rPr>
          <w:rFonts w:hint="eastAsia" w:ascii="Times New Roman" w:hAnsi="Times New Roman" w:eastAsia="方正小标宋简体" w:cs="方正小标宋简体"/>
          <w:sz w:val="72"/>
          <w:szCs w:val="72"/>
          <w:lang w:eastAsia="zh-CN"/>
        </w:rPr>
      </w:pPr>
      <w:r>
        <w:rPr>
          <w:rFonts w:hint="eastAsia" w:ascii="Times New Roman" w:hAnsi="Times New Roman" w:eastAsia="方正小标宋简体" w:cs="方正小标宋简体"/>
          <w:sz w:val="72"/>
          <w:szCs w:val="72"/>
          <w:lang w:eastAsia="zh-CN"/>
        </w:rPr>
        <w:t>株洲市石峰区人民代表大会常务委员会</w:t>
      </w: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7"/>
        <w:jc w:val="both"/>
        <w:rPr>
          <w:rFonts w:ascii="Times New Roman" w:hAnsi="Times New Roman" w:cs="Times New Roman"/>
          <w:sz w:val="32"/>
          <w:szCs w:val="32"/>
        </w:rPr>
      </w:pPr>
    </w:p>
    <w:p>
      <w:pPr>
        <w:pStyle w:val="17"/>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lang w:eastAsia="zh-CN"/>
        </w:rPr>
        <w:t>株洲市石峰区人民代表大会常务委员会</w:t>
      </w:r>
      <w:r>
        <w:rPr>
          <w:rFonts w:ascii="Times New Roman" w:hAnsi="Times New Roman" w:cs="Times New Roman"/>
          <w:sz w:val="32"/>
          <w:szCs w:val="32"/>
        </w:rPr>
        <w:t>单位概况</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7"/>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7"/>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7"/>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w w:val="90"/>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7"/>
        <w:jc w:val="center"/>
        <w:rPr>
          <w:rFonts w:ascii="Times New Roman" w:hAnsi="Times New Roman" w:eastAsia="方正小标宋简体" w:cs="Times New Roman"/>
          <w:sz w:val="76"/>
          <w:szCs w:val="76"/>
        </w:rPr>
      </w:pPr>
    </w:p>
    <w:p>
      <w:pPr>
        <w:pStyle w:val="17"/>
        <w:jc w:val="center"/>
        <w:rPr>
          <w:rFonts w:hint="eastAsia" w:ascii="Times New Roman" w:hAnsi="Times New Roman" w:eastAsia="方正小标宋简体" w:cs="方正小标宋简体"/>
          <w:sz w:val="72"/>
          <w:szCs w:val="72"/>
          <w:lang w:eastAsia="zh-CN"/>
        </w:rPr>
      </w:pPr>
      <w:r>
        <w:rPr>
          <w:rFonts w:hint="eastAsia" w:ascii="Times New Roman" w:hAnsi="Times New Roman" w:eastAsia="方正小标宋简体" w:cs="方正小标宋简体"/>
          <w:sz w:val="72"/>
          <w:szCs w:val="72"/>
          <w:lang w:eastAsia="zh-CN"/>
        </w:rPr>
        <w:t>株洲市石峰区人民代表大会常务委员会</w:t>
      </w: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8"/>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（一）在本行政区域内，保证宪法、法律、行政法规和上级人民代表大会及其常务委员会决议的遵守和执行。</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（二）领导或者主持本级人民代表大会代表的选举。</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（三）召集本级人民代表大会会议。</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（四）讨论、决定本行政区域内的政治、经济、教育、科学、文化、卫生、环境和资源保护、民政、民族等工作的重大事项。</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（五）根据本级人民政府的建议，决定对本行政区域内的国民经济和社会发展计划、预算的部分变更。</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（六）监督本级人民政府、监察委员会、人民法院和人民检察院的工作，联系本级人民代表大会代表，受理人民群众对上述机关和国家工作人员的申诉和意见。</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（七）撤销下一级人民代表大会不适当的决议。</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（八）撤销本级人民政府不适当的决定和命令。</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九）在本级人民代表大会闭会期间，决定副区长的个别任免；在区长和监察委员会主任、人民法院院长、人民检察院检察长因故不能担任职务的时候，从本级人民政府、监察委员会、人民法院、人民检察院副职领导成员中决定代理人选；决定代理检察长，须报上一级人民检察院和人民代表大会常务委员会备案。</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（十）根据区长的提名，决定本级人民政府办公室主任、局长的任免。</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一）按照中华人民共和国监察法、人民法院组织法和人民检察院组织法的规定，任免石峰区监察委员会副主任、委员，任免石峰区人民法院副院长、庭长、副庭长、审判委员会委员、审判员，任免石峰区人民检察院副检察长、检察委员会委员、检察员。</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二）在本级人民代表大会闭会期间，决定撤销个别副区长的职务；决定撤销由它任命的本级人民政府其他组成人员和监察委员会副主任、委员，人民法院副院长、庭长、副庭长、审判委员会委员、审判员，人民检察院副检察长、检察委员会委员、检察员职务。</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（十三）在本级人民代表大会闭会期间，补选上一级人民代表大会出缺的代表和罢免个别代表。</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（十四）决定授予地方的荣誉称号。</w:t>
      </w:r>
    </w:p>
    <w:p>
      <w:pPr>
        <w:spacing w:line="590" w:lineRule="exact"/>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（十五）完成区委和上级组织交办的其他任务。</w:t>
      </w: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pStyle w:val="8"/>
        <w:keepNext w:val="0"/>
        <w:keepLines w:val="0"/>
        <w:widowControl/>
        <w:suppressLineNumbers w:val="0"/>
        <w:spacing w:before="0" w:beforeAutospacing="0" w:after="0" w:afterAutospacing="0" w:line="450" w:lineRule="atLeast"/>
        <w:ind w:right="0" w:firstLine="640" w:firstLineChars="200"/>
        <w:jc w:val="both"/>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w:t>
      </w:r>
    </w:p>
    <w:p>
      <w:pPr>
        <w:pStyle w:val="8"/>
        <w:keepNext w:val="0"/>
        <w:keepLines w:val="0"/>
        <w:widowControl/>
        <w:suppressLineNumbers w:val="0"/>
        <w:spacing w:before="0" w:beforeAutospacing="0" w:after="0" w:afterAutospacing="0" w:line="450" w:lineRule="atLeast"/>
        <w:ind w:right="0" w:firstLine="960" w:firstLineChars="300"/>
        <w:jc w:val="both"/>
        <w:rPr>
          <w:rFonts w:hint="eastAsia" w:ascii="仿宋" w:hAnsi="仿宋" w:eastAsia="仿宋" w:cs="仿宋"/>
          <w:bCs/>
          <w:kern w:val="0"/>
          <w:sz w:val="32"/>
          <w:szCs w:val="32"/>
        </w:rPr>
      </w:pPr>
      <w:r>
        <w:rPr>
          <w:rFonts w:hint="eastAsia" w:ascii="仿宋" w:hAnsi="仿宋" w:eastAsia="仿宋" w:cs="仿宋"/>
          <w:color w:val="000000"/>
          <w:kern w:val="0"/>
          <w:sz w:val="32"/>
          <w:szCs w:val="32"/>
          <w:lang w:val="en-US" w:eastAsia="zh-CN" w:bidi="ar-SA"/>
        </w:rPr>
        <w:t>石峰区人大内设机构包括：我单位属于全额拨款行政单位，石峰区一级预算单位，现有预算单位1个。本部门共有行政编制16名；事业编3名；机关工勤人员编制0名。实有在职人员31人，离休0人，退休21人。我单位内设处室8个，所属事业单位1个，分别是区人大常委会办公室（区人大常委会信访办公室）、区人大常委会选举任免联络工作委员会、区人大监察和司法委员会、区人大财政经济委员会、区人大教育科学文化卫生委员会、区人大环境与资源保护委员会、区人大农业与农村委员会、区人大社会建设委员会和代表事务中心。纳入本年部门决算编制范围。</w:t>
      </w:r>
    </w:p>
    <w:p>
      <w:pPr>
        <w:pStyle w:val="8"/>
        <w:keepNext w:val="0"/>
        <w:keepLines w:val="0"/>
        <w:widowControl/>
        <w:suppressLineNumbers w:val="0"/>
        <w:spacing w:before="0" w:beforeAutospacing="0" w:after="0" w:afterAutospacing="0" w:line="450" w:lineRule="atLeast"/>
        <w:ind w:left="0" w:right="0" w:firstLine="645"/>
        <w:jc w:val="both"/>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（二）决算单位构成。从决算单位构成看，石峰区人大单位2023年部门决算汇总公开单位构成包括：石峰区人大本级，我单位没有其他二级决算单位。</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7"/>
        <w:numPr>
          <w:ilvl w:val="0"/>
          <w:numId w:val="2"/>
        </w:numPr>
        <w:ind w:firstLine="640" w:firstLineChars="200"/>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17"/>
        <w:numPr>
          <w:ilvl w:val="0"/>
          <w:numId w:val="0"/>
        </w:numPr>
        <w:ind w:firstLine="640" w:firstLineChars="200"/>
        <w:rPr>
          <w:rFonts w:ascii="Times New Roman" w:hAnsi="Times New Roman" w:cs="Times New Roman"/>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922.94</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163.47</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21.52</w:t>
      </w:r>
      <w:r>
        <w:rPr>
          <w:rFonts w:hint="eastAsia" w:ascii="仿宋" w:hAnsi="仿宋" w:eastAsia="仿宋" w:cs="仿宋"/>
          <w:sz w:val="32"/>
          <w:szCs w:val="32"/>
        </w:rPr>
        <w:t>%，主要是因为</w:t>
      </w:r>
      <w:r>
        <w:rPr>
          <w:rFonts w:hint="eastAsia" w:ascii="仿宋" w:hAnsi="仿宋" w:eastAsia="仿宋" w:cs="仿宋"/>
          <w:sz w:val="32"/>
          <w:szCs w:val="32"/>
          <w:lang w:eastAsia="zh-CN"/>
        </w:rPr>
        <w:t>人员增加人员工资增加。</w:t>
      </w:r>
    </w:p>
    <w:p>
      <w:pPr>
        <w:pStyle w:val="17"/>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pPr>
        <w:pStyle w:val="17"/>
        <w:ind w:firstLine="640" w:firstLineChars="200"/>
        <w:rPr>
          <w:rFonts w:hint="default" w:eastAsia="仿宋" w:asciiTheme="minorEastAsia" w:hAnsiTheme="minorEastAsia"/>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922.94</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921.17</w:t>
      </w:r>
      <w:r>
        <w:rPr>
          <w:rFonts w:hint="eastAsia" w:ascii="仿宋" w:hAnsi="仿宋" w:eastAsia="仿宋" w:cs="仿宋"/>
          <w:sz w:val="32"/>
          <w:szCs w:val="32"/>
        </w:rPr>
        <w:t>万元，占</w:t>
      </w:r>
      <w:r>
        <w:rPr>
          <w:rFonts w:hint="eastAsia" w:ascii="仿宋" w:hAnsi="仿宋" w:eastAsia="仿宋" w:cs="仿宋"/>
          <w:sz w:val="32"/>
          <w:szCs w:val="32"/>
          <w:lang w:val="en-US" w:eastAsia="zh-CN"/>
        </w:rPr>
        <w:t>99.81</w:t>
      </w:r>
      <w:r>
        <w:rPr>
          <w:rFonts w:hint="eastAsia" w:ascii="仿宋" w:hAnsi="仿宋" w:eastAsia="仿宋" w:cs="仿宋"/>
          <w:sz w:val="32"/>
          <w:szCs w:val="32"/>
        </w:rPr>
        <w:t>%</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1.77万元，占0.19%。</w:t>
      </w:r>
    </w:p>
    <w:p>
      <w:pPr>
        <w:pStyle w:val="17"/>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pPr>
        <w:pStyle w:val="17"/>
        <w:spacing w:line="57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922.94</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779.56</w:t>
      </w:r>
      <w:r>
        <w:rPr>
          <w:rFonts w:hint="eastAsia" w:ascii="仿宋" w:hAnsi="仿宋" w:eastAsia="仿宋" w:cs="仿宋"/>
          <w:sz w:val="32"/>
          <w:szCs w:val="32"/>
        </w:rPr>
        <w:t>万元，占</w:t>
      </w:r>
      <w:r>
        <w:rPr>
          <w:rFonts w:hint="eastAsia" w:ascii="仿宋" w:hAnsi="仿宋" w:eastAsia="仿宋" w:cs="仿宋"/>
          <w:sz w:val="32"/>
          <w:szCs w:val="32"/>
          <w:lang w:val="en-US" w:eastAsia="zh-CN"/>
        </w:rPr>
        <w:t>84.46</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143.38</w:t>
      </w:r>
      <w:r>
        <w:rPr>
          <w:rFonts w:hint="eastAsia" w:ascii="仿宋" w:hAnsi="仿宋" w:eastAsia="仿宋" w:cs="仿宋"/>
          <w:sz w:val="32"/>
          <w:szCs w:val="32"/>
        </w:rPr>
        <w:t>万元，占</w:t>
      </w:r>
      <w:r>
        <w:rPr>
          <w:rFonts w:hint="eastAsia" w:ascii="仿宋" w:hAnsi="仿宋" w:eastAsia="仿宋" w:cs="仿宋"/>
          <w:sz w:val="32"/>
          <w:szCs w:val="32"/>
          <w:lang w:val="en-US" w:eastAsia="zh-CN"/>
        </w:rPr>
        <w:t>15.54</w:t>
      </w:r>
      <w:r>
        <w:rPr>
          <w:rFonts w:hint="eastAsia" w:ascii="仿宋" w:hAnsi="仿宋" w:eastAsia="仿宋" w:cs="仿宋"/>
          <w:sz w:val="32"/>
          <w:szCs w:val="32"/>
        </w:rPr>
        <w:t>%。</w:t>
      </w:r>
    </w:p>
    <w:p>
      <w:pPr>
        <w:pStyle w:val="17"/>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pPr>
        <w:pStyle w:val="17"/>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921.17</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161.70</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21.29</w:t>
      </w:r>
      <w:r>
        <w:rPr>
          <w:rFonts w:hint="eastAsia" w:ascii="仿宋" w:hAnsi="仿宋" w:eastAsia="仿宋" w:cs="仿宋"/>
          <w:sz w:val="32"/>
          <w:szCs w:val="32"/>
        </w:rPr>
        <w:t>%，主要是因为</w:t>
      </w:r>
      <w:r>
        <w:rPr>
          <w:rFonts w:hint="eastAsia" w:ascii="仿宋" w:hAnsi="仿宋" w:eastAsia="仿宋" w:cs="仿宋"/>
          <w:sz w:val="32"/>
          <w:szCs w:val="32"/>
          <w:lang w:eastAsia="zh-CN"/>
        </w:rPr>
        <w:t>人员增加人员工资增加。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pPr>
        <w:pStyle w:val="17"/>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921.17</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%，与上年相比，财政拨款支出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161.70</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21.29</w:t>
      </w:r>
      <w:r>
        <w:rPr>
          <w:rFonts w:hint="eastAsia" w:ascii="仿宋" w:hAnsi="仿宋" w:eastAsia="仿宋" w:cs="仿宋"/>
          <w:sz w:val="32"/>
          <w:szCs w:val="32"/>
        </w:rPr>
        <w:t>%，主要是因为</w:t>
      </w:r>
      <w:r>
        <w:rPr>
          <w:rFonts w:hint="eastAsia" w:ascii="仿宋" w:hAnsi="仿宋" w:eastAsia="仿宋" w:cs="仿宋"/>
          <w:sz w:val="32"/>
          <w:szCs w:val="32"/>
          <w:lang w:eastAsia="zh-CN"/>
        </w:rPr>
        <w:t>人员增加人员工资增加。</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921.17</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921.17</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年度财政拨款支出年初预算数为</w:t>
      </w:r>
      <w:r>
        <w:rPr>
          <w:rFonts w:hint="eastAsia" w:ascii="仿宋" w:hAnsi="仿宋" w:eastAsia="仿宋" w:cs="仿宋"/>
          <w:sz w:val="32"/>
          <w:szCs w:val="32"/>
          <w:lang w:val="en-US" w:eastAsia="zh-CN"/>
        </w:rPr>
        <w:t>773.20</w:t>
      </w:r>
      <w:r>
        <w:rPr>
          <w:rFonts w:hint="eastAsia" w:ascii="仿宋" w:hAnsi="仿宋" w:eastAsia="仿宋" w:cs="仿宋"/>
          <w:sz w:val="32"/>
          <w:szCs w:val="32"/>
          <w:lang w:eastAsia="zh-CN"/>
        </w:rPr>
        <w:t>万元，支出决算数为</w:t>
      </w:r>
      <w:r>
        <w:rPr>
          <w:rFonts w:hint="eastAsia" w:ascii="仿宋" w:hAnsi="仿宋" w:eastAsia="仿宋" w:cs="仿宋"/>
          <w:sz w:val="32"/>
          <w:szCs w:val="32"/>
          <w:lang w:val="en-US" w:eastAsia="zh-CN"/>
        </w:rPr>
        <w:t>921.17</w:t>
      </w:r>
      <w:r>
        <w:rPr>
          <w:rFonts w:hint="eastAsia" w:ascii="仿宋" w:hAnsi="仿宋" w:eastAsia="仿宋" w:cs="仿宋"/>
          <w:sz w:val="32"/>
          <w:szCs w:val="32"/>
          <w:lang w:eastAsia="zh-CN"/>
        </w:rPr>
        <w:t>万元，完成年初预算的</w:t>
      </w:r>
      <w:r>
        <w:rPr>
          <w:rFonts w:hint="eastAsia" w:ascii="仿宋" w:hAnsi="仿宋" w:eastAsia="仿宋" w:cs="仿宋"/>
          <w:sz w:val="32"/>
          <w:szCs w:val="32"/>
          <w:lang w:val="en-US" w:eastAsia="zh-CN"/>
        </w:rPr>
        <w:t>119.14</w:t>
      </w:r>
      <w:r>
        <w:rPr>
          <w:rFonts w:hint="eastAsia" w:ascii="仿宋" w:hAnsi="仿宋" w:eastAsia="仿宋" w:cs="仿宋"/>
          <w:sz w:val="32"/>
          <w:szCs w:val="32"/>
          <w:lang w:eastAsia="zh-CN"/>
        </w:rPr>
        <w:t>%，其中：</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1、一般公共服务支出（类）人大事务（款）行政运行（项）。</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w:t>
      </w:r>
      <w:r>
        <w:rPr>
          <w:rFonts w:hint="eastAsia" w:ascii="仿宋" w:hAnsi="仿宋" w:eastAsia="仿宋" w:cs="仿宋"/>
          <w:sz w:val="32"/>
          <w:szCs w:val="32"/>
          <w:lang w:val="en-US" w:eastAsia="zh-CN"/>
        </w:rPr>
        <w:t>684.70</w:t>
      </w:r>
      <w:r>
        <w:rPr>
          <w:rFonts w:hint="eastAsia" w:ascii="仿宋" w:hAnsi="仿宋" w:eastAsia="仿宋" w:cs="仿宋"/>
          <w:sz w:val="32"/>
          <w:szCs w:val="32"/>
          <w:lang w:eastAsia="zh-CN"/>
        </w:rPr>
        <w:t>万元，支出决算为</w:t>
      </w:r>
      <w:r>
        <w:rPr>
          <w:rFonts w:hint="eastAsia" w:ascii="仿宋" w:hAnsi="仿宋" w:eastAsia="仿宋" w:cs="仿宋"/>
          <w:sz w:val="32"/>
          <w:szCs w:val="32"/>
          <w:lang w:val="en-US" w:eastAsia="zh-CN"/>
        </w:rPr>
        <w:t>741.61</w:t>
      </w:r>
      <w:r>
        <w:rPr>
          <w:rFonts w:hint="eastAsia" w:ascii="仿宋" w:hAnsi="仿宋" w:eastAsia="仿宋" w:cs="仿宋"/>
          <w:sz w:val="32"/>
          <w:szCs w:val="32"/>
          <w:lang w:eastAsia="zh-CN"/>
        </w:rPr>
        <w:t>万元，完成年初预算的</w:t>
      </w:r>
      <w:r>
        <w:rPr>
          <w:rFonts w:hint="eastAsia" w:ascii="仿宋" w:hAnsi="仿宋" w:eastAsia="仿宋" w:cs="仿宋"/>
          <w:sz w:val="32"/>
          <w:szCs w:val="32"/>
          <w:lang w:val="en-US" w:eastAsia="zh-CN"/>
        </w:rPr>
        <w:t>108.31</w:t>
      </w:r>
      <w:r>
        <w:rPr>
          <w:rFonts w:hint="eastAsia" w:ascii="仿宋" w:hAnsi="仿宋" w:eastAsia="仿宋" w:cs="仿宋"/>
          <w:sz w:val="32"/>
          <w:szCs w:val="32"/>
          <w:lang w:eastAsia="zh-CN"/>
        </w:rPr>
        <w:t>%，决算数大于年初预算数的主要原因是：人员增加工资增加，保险基数增加。</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2、一般公共服务支出（类）人大事务（款）一般行政管理事务（项）。</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w:t>
      </w:r>
      <w:r>
        <w:rPr>
          <w:rFonts w:hint="eastAsia" w:ascii="仿宋" w:hAnsi="仿宋" w:eastAsia="仿宋" w:cs="仿宋"/>
          <w:sz w:val="32"/>
          <w:szCs w:val="32"/>
          <w:lang w:val="en-US" w:eastAsia="zh-CN"/>
        </w:rPr>
        <w:t>32.40</w:t>
      </w:r>
      <w:r>
        <w:rPr>
          <w:rFonts w:hint="eastAsia" w:ascii="仿宋" w:hAnsi="仿宋" w:eastAsia="仿宋" w:cs="仿宋"/>
          <w:sz w:val="32"/>
          <w:szCs w:val="32"/>
          <w:lang w:eastAsia="zh-CN"/>
        </w:rPr>
        <w:t>万元，支出决算为</w:t>
      </w:r>
      <w:r>
        <w:rPr>
          <w:rFonts w:hint="eastAsia" w:ascii="仿宋" w:hAnsi="仿宋" w:eastAsia="仿宋" w:cs="仿宋"/>
          <w:sz w:val="32"/>
          <w:szCs w:val="32"/>
          <w:lang w:val="en-US" w:eastAsia="zh-CN"/>
        </w:rPr>
        <w:t>35.02</w:t>
      </w:r>
      <w:r>
        <w:rPr>
          <w:rFonts w:hint="eastAsia" w:ascii="仿宋" w:hAnsi="仿宋" w:eastAsia="仿宋" w:cs="仿宋"/>
          <w:sz w:val="32"/>
          <w:szCs w:val="32"/>
          <w:lang w:eastAsia="zh-CN"/>
        </w:rPr>
        <w:t>万元，完成年初预算的</w:t>
      </w:r>
      <w:r>
        <w:rPr>
          <w:rFonts w:hint="eastAsia" w:ascii="仿宋" w:hAnsi="仿宋" w:eastAsia="仿宋" w:cs="仿宋"/>
          <w:sz w:val="32"/>
          <w:szCs w:val="32"/>
          <w:lang w:val="en-US" w:eastAsia="zh-CN"/>
        </w:rPr>
        <w:t>108.09</w:t>
      </w:r>
      <w:r>
        <w:rPr>
          <w:rFonts w:hint="eastAsia" w:ascii="仿宋" w:hAnsi="仿宋" w:eastAsia="仿宋" w:cs="仿宋"/>
          <w:sz w:val="32"/>
          <w:szCs w:val="32"/>
          <w:lang w:eastAsia="zh-CN"/>
        </w:rPr>
        <w:t>%，决算数大小于年初预算数的主要原因是：项目增加，项目经费增加。</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、一般公共服务支出（类）人大事务（款）代表工作（项）。</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万元，支出决算为</w:t>
      </w:r>
      <w:r>
        <w:rPr>
          <w:rFonts w:hint="eastAsia" w:ascii="仿宋" w:hAnsi="仿宋" w:eastAsia="仿宋" w:cs="仿宋"/>
          <w:sz w:val="32"/>
          <w:szCs w:val="32"/>
          <w:lang w:val="en-US" w:eastAsia="zh-CN"/>
        </w:rPr>
        <w:t>66.13</w:t>
      </w:r>
      <w:r>
        <w:rPr>
          <w:rFonts w:hint="eastAsia" w:ascii="仿宋" w:hAnsi="仿宋" w:eastAsia="仿宋" w:cs="仿宋"/>
          <w:sz w:val="32"/>
          <w:szCs w:val="32"/>
          <w:lang w:eastAsia="zh-CN"/>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%，决算数大于年初预算数的主要原因是：追加项目，项目经费增加。</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、一般公共服务支出（类）人大事务（款）其他人大事务支出（项）。</w:t>
      </w:r>
    </w:p>
    <w:p>
      <w:pPr>
        <w:pStyle w:val="17"/>
        <w:ind w:firstLine="640" w:firstLineChars="200"/>
        <w:rPr>
          <w:rFonts w:hint="eastAsia" w:asciiTheme="minorEastAsia" w:hAnsiTheme="minorEastAsia" w:eastAsiaTheme="minorEastAsia"/>
          <w:sz w:val="32"/>
          <w:szCs w:val="32"/>
          <w:lang w:eastAsia="zh-CN"/>
        </w:rPr>
      </w:pPr>
      <w:r>
        <w:rPr>
          <w:rFonts w:hint="eastAsia" w:ascii="仿宋" w:hAnsi="仿宋" w:eastAsia="仿宋" w:cs="仿宋"/>
          <w:sz w:val="32"/>
          <w:szCs w:val="32"/>
          <w:lang w:eastAsia="zh-CN"/>
        </w:rPr>
        <w:t>年初预算为</w:t>
      </w:r>
      <w:r>
        <w:rPr>
          <w:rFonts w:hint="eastAsia" w:ascii="仿宋" w:hAnsi="仿宋" w:eastAsia="仿宋" w:cs="仿宋"/>
          <w:sz w:val="32"/>
          <w:szCs w:val="32"/>
          <w:lang w:val="en-US" w:eastAsia="zh-CN"/>
        </w:rPr>
        <w:t>56.10</w:t>
      </w:r>
      <w:r>
        <w:rPr>
          <w:rFonts w:hint="eastAsia" w:ascii="仿宋" w:hAnsi="仿宋" w:eastAsia="仿宋" w:cs="仿宋"/>
          <w:sz w:val="32"/>
          <w:szCs w:val="32"/>
          <w:lang w:eastAsia="zh-CN"/>
        </w:rPr>
        <w:t>万元，支出决算为</w:t>
      </w:r>
      <w:r>
        <w:rPr>
          <w:rFonts w:hint="eastAsia" w:ascii="仿宋" w:hAnsi="仿宋" w:eastAsia="仿宋" w:cs="仿宋"/>
          <w:sz w:val="32"/>
          <w:szCs w:val="32"/>
          <w:lang w:val="en-US" w:eastAsia="zh-CN"/>
        </w:rPr>
        <w:t>65.41</w:t>
      </w:r>
      <w:r>
        <w:rPr>
          <w:rFonts w:hint="eastAsia" w:ascii="仿宋" w:hAnsi="仿宋" w:eastAsia="仿宋" w:cs="仿宋"/>
          <w:sz w:val="32"/>
          <w:szCs w:val="32"/>
          <w:lang w:eastAsia="zh-CN"/>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%，决算数大于年初预算数的主要原因是：项目增加，经费增加</w:t>
      </w:r>
      <w:r>
        <w:rPr>
          <w:rFonts w:hint="eastAsia" w:asciiTheme="minorEastAsia" w:hAnsiTheme="minorEastAsia" w:eastAsiaTheme="minorEastAsia"/>
          <w:sz w:val="32"/>
          <w:szCs w:val="32"/>
          <w:lang w:eastAsia="zh-CN"/>
        </w:rPr>
        <w:t>。</w:t>
      </w:r>
    </w:p>
    <w:p>
      <w:pPr>
        <w:pStyle w:val="17"/>
        <w:numPr>
          <w:ilvl w:val="0"/>
          <w:numId w:val="3"/>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一般公共服务支出（类）其他一般公共服务支出（款）其他一般公共服务支出（项）</w:t>
      </w:r>
    </w:p>
    <w:p>
      <w:pPr>
        <w:pStyle w:val="17"/>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年初预算为0万元，支出决算为13.00万元，完成年初预算的100%，决算数大于年初预算数的主要原因是：项目增加，经费增加。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pPr>
        <w:pStyle w:val="17"/>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年度财政拨款基本支出</w:t>
      </w:r>
      <w:r>
        <w:rPr>
          <w:rFonts w:hint="eastAsia" w:ascii="仿宋" w:hAnsi="仿宋" w:eastAsia="仿宋" w:cs="仿宋"/>
          <w:sz w:val="32"/>
          <w:szCs w:val="32"/>
          <w:lang w:val="en-US" w:eastAsia="zh-CN"/>
        </w:rPr>
        <w:t>777.79</w:t>
      </w:r>
      <w:r>
        <w:rPr>
          <w:rFonts w:hint="eastAsia" w:ascii="仿宋" w:hAnsi="仿宋" w:eastAsia="仿宋" w:cs="仿宋"/>
          <w:sz w:val="32"/>
          <w:szCs w:val="32"/>
          <w:lang w:eastAsia="zh-CN"/>
        </w:rPr>
        <w:t>万元，其中：人员经费</w:t>
      </w:r>
      <w:r>
        <w:rPr>
          <w:rFonts w:hint="eastAsia" w:ascii="仿宋" w:hAnsi="仿宋" w:eastAsia="仿宋" w:cs="仿宋"/>
          <w:sz w:val="32"/>
          <w:szCs w:val="32"/>
          <w:lang w:val="en-US" w:eastAsia="zh-CN"/>
        </w:rPr>
        <w:t>718.65</w:t>
      </w:r>
      <w:r>
        <w:rPr>
          <w:rFonts w:hint="eastAsia" w:ascii="仿宋" w:hAnsi="仿宋" w:eastAsia="仿宋" w:cs="仿宋"/>
          <w:sz w:val="32"/>
          <w:szCs w:val="32"/>
          <w:lang w:eastAsia="zh-CN"/>
        </w:rPr>
        <w:t>万元，占基本支出的</w:t>
      </w:r>
      <w:r>
        <w:rPr>
          <w:rFonts w:hint="eastAsia" w:ascii="仿宋" w:hAnsi="仿宋" w:eastAsia="仿宋" w:cs="仿宋"/>
          <w:sz w:val="32"/>
          <w:szCs w:val="32"/>
          <w:lang w:val="en-US" w:eastAsia="zh-CN"/>
        </w:rPr>
        <w:t>92.40</w:t>
      </w:r>
      <w:r>
        <w:rPr>
          <w:rFonts w:hint="eastAsia" w:ascii="仿宋" w:hAnsi="仿宋" w:eastAsia="仿宋" w:cs="仿宋"/>
          <w:sz w:val="32"/>
          <w:szCs w:val="32"/>
          <w:lang w:eastAsia="zh-CN"/>
        </w:rPr>
        <w:t>%,主要包括基本工资、津贴补贴、奖金、伙食补助费、机关事业单位基本养老保险缴费、职工基本医疗保险缴费、公务员医疗补助缴费、住房公积金等；公用经费</w:t>
      </w:r>
      <w:r>
        <w:rPr>
          <w:rFonts w:hint="eastAsia" w:ascii="仿宋" w:hAnsi="仿宋" w:eastAsia="仿宋" w:cs="仿宋"/>
          <w:sz w:val="32"/>
          <w:szCs w:val="32"/>
          <w:lang w:val="en-US" w:eastAsia="zh-CN"/>
        </w:rPr>
        <w:t>59.14</w:t>
      </w:r>
      <w:r>
        <w:rPr>
          <w:rFonts w:hint="eastAsia" w:ascii="仿宋" w:hAnsi="仿宋" w:eastAsia="仿宋" w:cs="仿宋"/>
          <w:sz w:val="32"/>
          <w:szCs w:val="32"/>
          <w:lang w:eastAsia="zh-CN"/>
        </w:rPr>
        <w:t>万元，占基本支出的</w:t>
      </w:r>
      <w:r>
        <w:rPr>
          <w:rFonts w:hint="eastAsia" w:ascii="仿宋" w:hAnsi="仿宋" w:eastAsia="仿宋" w:cs="仿宋"/>
          <w:sz w:val="32"/>
          <w:szCs w:val="32"/>
          <w:lang w:val="en-US" w:eastAsia="zh-CN"/>
        </w:rPr>
        <w:t>7.60</w:t>
      </w:r>
      <w:r>
        <w:rPr>
          <w:rFonts w:hint="eastAsia" w:ascii="仿宋" w:hAnsi="仿宋" w:eastAsia="仿宋" w:cs="仿宋"/>
          <w:sz w:val="32"/>
          <w:szCs w:val="32"/>
          <w:lang w:eastAsia="zh-CN"/>
        </w:rPr>
        <w:t>%，主要包括办公费、印刷费、差旅费、专用材料费、办公设备购置费等。</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万元，决算数等于预算数,其中：</w:t>
      </w:r>
    </w:p>
    <w:p>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7"/>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w:t>
      </w:r>
    </w:p>
    <w:p>
      <w:pPr>
        <w:pStyle w:val="17"/>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7"/>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万元。其中：</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7"/>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辆。公务用车运行维护费x</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pPr>
        <w:pStyle w:val="17"/>
        <w:ind w:firstLine="800" w:firstLineChars="25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2023年度政府性基金预算财政拨款收入0万元；年初结转和结余0万元；支出0万元，其中基本支出0万元，项目支出0万元；年末结转和结余0万元。</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pPr>
        <w:pStyle w:val="8"/>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本部门2023年度机关运行经费支出59.14万元，比上年决算数增加0.43万元，增长0.73%。主要原因是：人员增加，人员保险费增加。</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pPr>
        <w:pStyle w:val="17"/>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2023年本部门开支会议费0.55万元，用于召开日常会议，人数20人，内容为人大办公会议；开支培训费1.93万元，人数40人，内容为主题党日教育培训。</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pPr>
        <w:pStyle w:val="17"/>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本部门2023年度政府采购支出总额0万元，其中：政府采购货物支出0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pPr>
        <w:pStyle w:val="17"/>
        <w:ind w:firstLine="640" w:firstLineChars="200"/>
        <w:rPr>
          <w:rFonts w:asciiTheme="minorEastAsia" w:hAnsiTheme="minorEastAsia" w:eastAsiaTheme="minorEastAsia"/>
          <w:sz w:val="32"/>
          <w:szCs w:val="32"/>
        </w:rPr>
      </w:pPr>
      <w:r>
        <w:rPr>
          <w:rFonts w:hint="eastAsia" w:ascii="仿宋" w:hAnsi="仿宋" w:eastAsia="仿宋" w:cs="黑体"/>
          <w:color w:val="000000"/>
          <w:kern w:val="0"/>
          <w:sz w:val="32"/>
          <w:szCs w:val="32"/>
          <w:lang w:val="en-US" w:eastAsia="zh-CN" w:bidi="ar-SA"/>
        </w:rPr>
        <w:t>截止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pPr>
        <w:pStyle w:val="8"/>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根据预算绩效管理要求，我部门组织对2023年度一般公共预算项目支出全面开展绩效自评，其中，一级项目4个，二级项目0个，共涉及资金</w:t>
      </w:r>
      <w:r>
        <w:rPr>
          <w:rFonts w:hint="eastAsia" w:ascii="仿宋" w:hAnsi="仿宋" w:eastAsia="仿宋" w:cs="仿宋"/>
          <w:sz w:val="32"/>
          <w:szCs w:val="32"/>
          <w:lang w:val="en-US" w:eastAsia="zh-CN"/>
        </w:rPr>
        <w:t>143.38</w:t>
      </w:r>
      <w:r>
        <w:rPr>
          <w:rFonts w:hint="eastAsia" w:ascii="仿宋" w:hAnsi="仿宋" w:eastAsia="仿宋" w:cs="黑体"/>
          <w:color w:val="000000"/>
          <w:kern w:val="0"/>
          <w:sz w:val="32"/>
          <w:szCs w:val="32"/>
          <w:lang w:val="en-US" w:eastAsia="zh-CN" w:bidi="ar-SA"/>
        </w:rPr>
        <w:t>万元，占一般公共预算项目支出总额的100%。组织对2023年度0个政府性基金预算项目支出开展绩效自评，共涉及资金0万元，占政府性基金预算项目支出总额的0%。组织对2022年度0个国有资本经营预算项目支出开展绩效自评，共涉及资金0万元，占国有资本经营预算项目支出总额的0%。</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人大代表活动经费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56.10</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6.74</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59.80万元，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79.13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30.03</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人大代表活动经费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79.13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仿宋_GB2312"/>
          <w:sz w:val="32"/>
          <w:szCs w:val="32"/>
          <w:lang w:eastAsia="zh-CN"/>
        </w:rPr>
        <w:t>开展“代表进社区”活动，组织代表参加视察、调查、执法检查、工作评议，各团每年组织代表活动不少于4次，为代表履职创造条件，促进区域经济社会发展；通过代表进社区活动，了解社情民意和企业诉求，促进政府部门优化营商环境，推动经济发展。</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预算联网监督软件运营维护经费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30.00万元，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24.23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5.77</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预算联网监督软件运营维护经费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项目支出</w:t>
      </w:r>
      <w:r>
        <w:rPr>
          <w:rFonts w:hint="eastAsia" w:ascii="Times New Roman" w:hAnsi="Times New Roman" w:eastAsia="仿宋_GB2312" w:cs="Times New Roman"/>
          <w:color w:val="auto"/>
          <w:sz w:val="32"/>
          <w:szCs w:val="32"/>
          <w:lang w:val="en-US" w:eastAsia="zh-CN"/>
        </w:rPr>
        <w:t>24.23</w:t>
      </w:r>
      <w:r>
        <w:rPr>
          <w:rFonts w:hint="default"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eastAsia="zh-CN"/>
        </w:rPr>
        <w:t>主要用于开展人大预算联网监督工作，需要建设好预算联网监督系统。通过预算联网监督系统，人大开展预算监督工作的任务是按照党中央关于加强对政府全口径审查，实现对预算执行的全过程监督。</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32.68万元，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35.02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33.66</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35.02</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仿宋_GB2312"/>
          <w:sz w:val="32"/>
          <w:szCs w:val="32"/>
          <w:lang w:eastAsia="zh-CN"/>
        </w:rPr>
        <w:t>按</w:t>
      </w:r>
      <w:r>
        <w:rPr>
          <w:rFonts w:hint="eastAsia" w:ascii="Times New Roman" w:hAnsi="Times New Roman" w:eastAsia="仿宋_GB2312" w:cs="仿宋_GB2312"/>
          <w:sz w:val="32"/>
          <w:szCs w:val="32"/>
        </w:rPr>
        <w:t>法律要求召开好人民代表大会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依法审议和批准“一府两院”、财政、计划报告，补选区人大常委会相关组成人员</w:t>
      </w:r>
      <w:r>
        <w:rPr>
          <w:rFonts w:hint="eastAsia" w:ascii="Times New Roman" w:hAnsi="Times New Roman" w:eastAsia="仿宋_GB2312" w:cs="仿宋_GB2312"/>
          <w:sz w:val="32"/>
          <w:szCs w:val="32"/>
          <w:lang w:eastAsia="zh-CN"/>
        </w:rPr>
        <w:t>；按规定期限批准相关报告，完成补选</w:t>
      </w:r>
      <w:r>
        <w:rPr>
          <w:rFonts w:hint="eastAsia" w:ascii="Times New Roman" w:hAnsi="Times New Roman" w:eastAsia="仿宋_GB2312" w:cs="仿宋_GB2312"/>
          <w:sz w:val="32"/>
          <w:szCs w:val="32"/>
          <w:lang w:val="en-US" w:eastAsia="zh-CN"/>
        </w:rPr>
        <w:t>；监督政府及其组成部门完成各项经济指标</w:t>
      </w:r>
      <w:r>
        <w:rPr>
          <w:rFonts w:hint="eastAsia" w:ascii="Times New Roman" w:hAnsi="Times New Roman" w:eastAsia="仿宋_GB2312" w:cs="仿宋_GB2312"/>
          <w:sz w:val="32"/>
          <w:szCs w:val="32"/>
          <w:lang w:eastAsia="zh-CN"/>
        </w:rPr>
        <w:t>。积极为区域发展建言献策，监督法律在本区域范围内的实施，对政府</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个部门的工作进行评议，确保政府工作高效、务实、为民运行，全年至少召开</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次人大常委会会议，根据区域发展实际安排并配合省、市人大开展联动执法检查，对政府相关工作进行专项评议。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人大代表联网监督视察平台</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人大代表联网监督视察平台</w:t>
      </w:r>
      <w:r>
        <w:rPr>
          <w:rFonts w:hint="default" w:ascii="Times New Roman" w:hAnsi="Times New Roman" w:eastAsia="仿宋_GB2312" w:cs="Times New Roman"/>
          <w:color w:val="auto"/>
          <w:sz w:val="32"/>
          <w:szCs w:val="32"/>
        </w:rPr>
        <w:t>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实现预算审查监督信息化和网络化，对于推动预算编制的科学性和民主性，增强预算执行的严肃性和规范性，提高财政预算管理水平；对提升人大预算审查监督内容的详实性和实效性，增强预算审查监督的针对性有有效性，更好依法履行预算审查监督职责。</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本单位没有独立网站，因此只在株洲市石峰区政府门户网财政预决算和三公经费公开专栏中公开。</w:t>
      </w: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7"/>
        <w:jc w:val="center"/>
        <w:rPr>
          <w:rFonts w:ascii="Times New Roman" w:hAnsi="Times New Roman" w:eastAsia="方正小标宋简体" w:cs="Times New Roman"/>
          <w:sz w:val="76"/>
          <w:szCs w:val="76"/>
        </w:rPr>
      </w:pPr>
    </w:p>
    <w:p>
      <w:pPr>
        <w:pStyle w:val="17"/>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7"/>
        <w:jc w:val="both"/>
        <w:rPr>
          <w:rFonts w:hint="eastAsia" w:ascii="Times New Roman" w:hAnsi="Times New Roman" w:cs="Times New Roman"/>
          <w:sz w:val="72"/>
          <w:szCs w:val="72"/>
        </w:rPr>
      </w:pPr>
    </w:p>
    <w:p>
      <w:pPr>
        <w:pStyle w:val="17"/>
        <w:jc w:val="both"/>
        <w:rPr>
          <w:rFonts w:ascii="Times New Roman" w:hAnsi="Times New Roman" w:cs="Times New Roman"/>
          <w:sz w:val="84"/>
          <w:szCs w:val="84"/>
        </w:rPr>
      </w:pPr>
    </w:p>
    <w:p>
      <w:pPr>
        <w:pStyle w:val="17"/>
        <w:jc w:val="both"/>
        <w:rPr>
          <w:rFonts w:ascii="Times New Roman" w:hAnsi="Times New Roman" w:cs="Times New Roman"/>
          <w:sz w:val="84"/>
          <w:szCs w:val="84"/>
        </w:rPr>
      </w:pPr>
      <w:bookmarkStart w:id="0" w:name="_GoBack"/>
      <w:bookmarkEnd w:id="0"/>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7"/>
        <w:jc w:val="center"/>
        <w:rPr>
          <w:rFonts w:ascii="Times New Roman" w:hAnsi="Times New Roman" w:eastAsia="方正小标宋简体" w:cs="Times New Roman"/>
          <w:sz w:val="56"/>
          <w:szCs w:val="56"/>
        </w:rPr>
      </w:pPr>
    </w:p>
    <w:p>
      <w:pPr>
        <w:pStyle w:val="17"/>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7"/>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7"/>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7"/>
        <w:spacing w:line="596" w:lineRule="exact"/>
        <w:jc w:val="center"/>
        <w:rPr>
          <w:rFonts w:hint="eastAsia" w:ascii="Times New Roman" w:hAnsi="Times New Roman" w:eastAsia="方正小标宋简体" w:cs="Times New Roman"/>
          <w:sz w:val="32"/>
          <w:szCs w:val="32"/>
          <w:lang w:eastAsia="zh-CN"/>
        </w:rPr>
      </w:pPr>
    </w:p>
    <w:p>
      <w:pPr>
        <w:pStyle w:val="17"/>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968FD26"/>
    <w:multiLevelType w:val="singleLevel"/>
    <w:tmpl w:val="5968FD26"/>
    <w:lvl w:ilvl="0" w:tentative="0">
      <w:start w:val="1"/>
      <w:numFmt w:val="chineseCounting"/>
      <w:suff w:val="nothing"/>
      <w:lvlText w:val="%1、"/>
      <w:lvlJc w:val="left"/>
      <w:rPr>
        <w:rFonts w:hint="eastAsia"/>
      </w:rPr>
    </w:lvl>
  </w:abstractNum>
  <w:abstractNum w:abstractNumId="2">
    <w:nsid w:val="7B65DF12"/>
    <w:multiLevelType w:val="singleLevel"/>
    <w:tmpl w:val="7B65DF12"/>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YTA1OGZhYzAxNDA4Y2I0YjRkMmRmYjY1YWI4YTQ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023A6A"/>
    <w:rsid w:val="028C1D30"/>
    <w:rsid w:val="039C0F5D"/>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D30575C"/>
    <w:rsid w:val="1E532BCB"/>
    <w:rsid w:val="1EBE63A2"/>
    <w:rsid w:val="1F041D62"/>
    <w:rsid w:val="1F6317DE"/>
    <w:rsid w:val="1F745786"/>
    <w:rsid w:val="21B1218A"/>
    <w:rsid w:val="238B2E7B"/>
    <w:rsid w:val="2AD95BF4"/>
    <w:rsid w:val="2EF90B81"/>
    <w:rsid w:val="2F101369"/>
    <w:rsid w:val="321612FC"/>
    <w:rsid w:val="32B56379"/>
    <w:rsid w:val="35FEB6AB"/>
    <w:rsid w:val="38090922"/>
    <w:rsid w:val="38D75D21"/>
    <w:rsid w:val="395219B1"/>
    <w:rsid w:val="3F64E7DC"/>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7145589"/>
    <w:rsid w:val="693A5422"/>
    <w:rsid w:val="6A484E25"/>
    <w:rsid w:val="6E0F6D2F"/>
    <w:rsid w:val="6EAE4254"/>
    <w:rsid w:val="6FAFD61E"/>
    <w:rsid w:val="6FD5C1C4"/>
    <w:rsid w:val="74205B29"/>
    <w:rsid w:val="75F714AD"/>
    <w:rsid w:val="75F91FF3"/>
    <w:rsid w:val="78081C98"/>
    <w:rsid w:val="782055D5"/>
    <w:rsid w:val="7CF59824"/>
    <w:rsid w:val="7DC2177C"/>
    <w:rsid w:val="7EAA7C1A"/>
    <w:rsid w:val="7FFF0CF3"/>
    <w:rsid w:val="B7BF424E"/>
    <w:rsid w:val="DF8B6AFC"/>
    <w:rsid w:val="E19D307D"/>
    <w:rsid w:val="E77C76F3"/>
    <w:rsid w:val="E9CFC69A"/>
    <w:rsid w:val="F17784A8"/>
    <w:rsid w:val="F3AD0B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before="100" w:beforeAutospacing="1" w:after="120"/>
    </w:pPr>
  </w:style>
  <w:style w:type="paragraph" w:styleId="3">
    <w:name w:val="annotation text"/>
    <w:basedOn w:val="1"/>
    <w:link w:val="12"/>
    <w:semiHidden/>
    <w:qFormat/>
    <w:uiPriority w:val="99"/>
    <w:pPr>
      <w:jc w:val="left"/>
    </w:pPr>
  </w:style>
  <w:style w:type="paragraph" w:styleId="4">
    <w:name w:val="Body Text"/>
    <w:basedOn w:val="1"/>
    <w:link w:val="13"/>
    <w:qFormat/>
    <w:uiPriority w:val="99"/>
    <w:pPr>
      <w:spacing w:before="100" w:beforeAutospacing="1" w:after="120"/>
    </w:pPr>
    <w:rPr>
      <w:rFonts w:ascii="Times New Roman" w:hAnsi="Times New Roman" w:cs="Times New Roman"/>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character" w:styleId="11">
    <w:name w:val="annotation reference"/>
    <w:basedOn w:val="10"/>
    <w:semiHidden/>
    <w:qFormat/>
    <w:uiPriority w:val="99"/>
    <w:rPr>
      <w:sz w:val="21"/>
      <w:szCs w:val="21"/>
    </w:rPr>
  </w:style>
  <w:style w:type="character" w:customStyle="1" w:styleId="12">
    <w:name w:val="批注文字 Char"/>
    <w:basedOn w:val="10"/>
    <w:link w:val="3"/>
    <w:semiHidden/>
    <w:qFormat/>
    <w:locked/>
    <w:uiPriority w:val="99"/>
    <w:rPr>
      <w:rFonts w:ascii="Calibri" w:hAnsi="Calibri" w:cs="Calibri"/>
      <w:sz w:val="21"/>
      <w:szCs w:val="21"/>
    </w:rPr>
  </w:style>
  <w:style w:type="character" w:customStyle="1" w:styleId="13">
    <w:name w:val="正文文本 Char"/>
    <w:basedOn w:val="10"/>
    <w:link w:val="4"/>
    <w:qFormat/>
    <w:locked/>
    <w:uiPriority w:val="99"/>
    <w:rPr>
      <w:rFonts w:eastAsia="宋体"/>
      <w:kern w:val="2"/>
      <w:sz w:val="21"/>
      <w:szCs w:val="21"/>
      <w:lang w:val="en-US" w:eastAsia="zh-CN"/>
    </w:rPr>
  </w:style>
  <w:style w:type="character" w:customStyle="1" w:styleId="14">
    <w:name w:val="批注框文本 Char"/>
    <w:basedOn w:val="10"/>
    <w:link w:val="5"/>
    <w:semiHidden/>
    <w:qFormat/>
    <w:locked/>
    <w:uiPriority w:val="99"/>
    <w:rPr>
      <w:sz w:val="18"/>
      <w:szCs w:val="18"/>
    </w:rPr>
  </w:style>
  <w:style w:type="character" w:customStyle="1" w:styleId="15">
    <w:name w:val="页脚 Char"/>
    <w:basedOn w:val="10"/>
    <w:link w:val="6"/>
    <w:qFormat/>
    <w:locked/>
    <w:uiPriority w:val="99"/>
    <w:rPr>
      <w:sz w:val="18"/>
      <w:szCs w:val="18"/>
    </w:rPr>
  </w:style>
  <w:style w:type="character" w:customStyle="1" w:styleId="16">
    <w:name w:val="页眉 Char"/>
    <w:basedOn w:val="10"/>
    <w:link w:val="7"/>
    <w:qFormat/>
    <w:locked/>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5497</Words>
  <Characters>5881</Characters>
  <Lines>56</Lines>
  <Paragraphs>15</Paragraphs>
  <TotalTime>35</TotalTime>
  <ScaleCrop>false</ScaleCrop>
  <LinksUpToDate>false</LinksUpToDate>
  <CharactersWithSpaces>5902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lenovo</cp:lastModifiedBy>
  <cp:lastPrinted>2024-10-24T15:36:00Z</cp:lastPrinted>
  <dcterms:modified xsi:type="dcterms:W3CDTF">2024-11-13T07:51:29Z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