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A86" w:rsidRDefault="00E83241">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6F4A86" w:rsidRDefault="006F4A86">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6F4A86" w:rsidRDefault="006F4A86">
      <w:pPr>
        <w:tabs>
          <w:tab w:val="left" w:pos="7560"/>
        </w:tabs>
        <w:adjustRightInd w:val="0"/>
        <w:snapToGrid w:val="0"/>
        <w:spacing w:line="560" w:lineRule="exact"/>
        <w:rPr>
          <w:rFonts w:ascii="Times New Roman" w:eastAsia="方正小标宋简体" w:hAnsi="Times New Roman" w:cs="Times New Roman"/>
          <w:sz w:val="44"/>
          <w:szCs w:val="32"/>
        </w:rPr>
      </w:pPr>
    </w:p>
    <w:p w:rsidR="006F4A86" w:rsidRDefault="00E83241">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年度部门整体支出绩效自评报告</w:t>
      </w: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E83241">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sz w:val="36"/>
          <w:szCs w:val="44"/>
        </w:rPr>
        <w:t>单位名称（盖章）</w:t>
      </w: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60" w:lineRule="exact"/>
        <w:jc w:val="left"/>
        <w:rPr>
          <w:rFonts w:ascii="Times New Roman" w:eastAsia="仿宋_GB2312" w:hAnsi="Times New Roman" w:cs="Times New Roman"/>
          <w:sz w:val="32"/>
          <w:szCs w:val="32"/>
        </w:rPr>
      </w:pPr>
    </w:p>
    <w:p w:rsidR="006F4A86" w:rsidRDefault="006F4A86">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6F4A86">
          <w:footerReference w:type="default" r:id="rId8"/>
          <w:pgSz w:w="11906" w:h="16838"/>
          <w:pgMar w:top="1984" w:right="1531" w:bottom="1701" w:left="1531" w:header="851" w:footer="992" w:gutter="0"/>
          <w:cols w:space="425"/>
          <w:docGrid w:type="linesAndChars" w:linePitch="312"/>
        </w:sectPr>
      </w:pPr>
    </w:p>
    <w:p w:rsidR="006F4A86" w:rsidRDefault="00E8324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6F4A86" w:rsidRDefault="00E83241">
      <w:pPr>
        <w:tabs>
          <w:tab w:val="left" w:pos="1736"/>
          <w:tab w:val="left" w:pos="7560"/>
        </w:tabs>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株洲市石峰区科技和工业信息化局主要职能：</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（一）负责监督检查科技、工业和信息化领域相关法律法规和政策的执行情况。</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shd w:val="clear" w:color="auto" w:fill="FFFFFF"/>
        </w:rPr>
        <w:t>（二）</w:t>
      </w:r>
      <w:r>
        <w:rPr>
          <w:rFonts w:ascii="Times New Roman" w:eastAsia="仿宋" w:hAnsi="仿宋" w:cs="Times New Roman"/>
          <w:sz w:val="32"/>
          <w:szCs w:val="32"/>
        </w:rPr>
        <w:t>负责全区科学技术进步工作。组织拟订全区科学技术发展规划和措施办法并组织实施；研究全区科技促进经济与社会发展的重大问题；负责国家级、省级、市级各类科技计划项目的申报、推荐工作；负责组织实施区级科技项目；参与对经济社会发展有重大影响的跨部门综合性项目的论证与决策；会同有关部门制定增加科技投入的措施并组织实施</w:t>
      </w:r>
      <w:r>
        <w:rPr>
          <w:rFonts w:ascii="Times New Roman" w:eastAsia="仿宋" w:hAnsi="Times New Roman" w:cs="Times New Roman"/>
          <w:sz w:val="32"/>
          <w:szCs w:val="32"/>
        </w:rPr>
        <w:t>;</w:t>
      </w:r>
      <w:r>
        <w:rPr>
          <w:rFonts w:ascii="Times New Roman" w:eastAsia="仿宋" w:hAnsi="仿宋" w:cs="Times New Roman"/>
          <w:sz w:val="32"/>
          <w:szCs w:val="32"/>
        </w:rPr>
        <w:t>归口管理全区科技成果、科技奖励、科技保密和高新技术管理等工作；指导行业技术创新和技术进步，推进产学研结合和科研成果产业化；负责全区科学技术普及、科技信息、科技统计工作；组织指导科技服务体系建设；指导创新创业</w:t>
      </w:r>
      <w:r>
        <w:rPr>
          <w:rFonts w:ascii="Times New Roman" w:eastAsia="仿宋" w:hAnsi="仿宋" w:cs="Times New Roman"/>
          <w:sz w:val="32"/>
          <w:szCs w:val="32"/>
        </w:rPr>
        <w:t>服务平台建设，加强新业态、新模式、新产品培育。</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三）根据本区国民经济和社会发展总体规划，拟订全区工业和信息化领域的发展规划、年度计划及相关政策并组织实施；提出优化工业和信息化产业布局、结构的政策建议；研究和规划全区工业产业投资布局；提出工业和信息化固定资产投资规模和方向（含利用外资和境外投资）的建议；组织实施相关行业的准入管理。</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（四）监测、分析全区</w:t>
      </w:r>
      <w:r>
        <w:rPr>
          <w:rFonts w:ascii="Times New Roman" w:eastAsia="仿宋" w:hAnsi="仿宋" w:cs="Times New Roman"/>
          <w:sz w:val="32"/>
          <w:szCs w:val="32"/>
          <w:shd w:val="clear" w:color="auto" w:fill="FFFFFF"/>
        </w:rPr>
        <w:t>工业和信息化领域的</w:t>
      </w:r>
      <w:r>
        <w:rPr>
          <w:rFonts w:ascii="Times New Roman" w:eastAsia="仿宋" w:hAnsi="仿宋" w:cs="Times New Roman"/>
          <w:sz w:val="32"/>
          <w:szCs w:val="32"/>
        </w:rPr>
        <w:t>经济运行态势，进行预测预警和信息引导；协调解决经济运行中的突出矛盾和问题并提出政策建议；负责规模工业企业统计工作；负责全区工业</w:t>
      </w:r>
      <w:r>
        <w:rPr>
          <w:rFonts w:ascii="Times New Roman" w:eastAsia="仿宋" w:hAnsi="仿宋" w:cs="Times New Roman"/>
          <w:sz w:val="32"/>
          <w:szCs w:val="32"/>
        </w:rPr>
        <w:lastRenderedPageBreak/>
        <w:t>项目的申报、管</w:t>
      </w:r>
      <w:r>
        <w:rPr>
          <w:rFonts w:ascii="Times New Roman" w:eastAsia="仿宋" w:hAnsi="仿宋" w:cs="Times New Roman"/>
          <w:sz w:val="32"/>
          <w:szCs w:val="32"/>
        </w:rPr>
        <w:t>理和服务工作；承担归口企业安全生产管理工作；</w:t>
      </w:r>
      <w:r>
        <w:rPr>
          <w:rFonts w:ascii="Times New Roman" w:eastAsia="仿宋" w:hAnsi="仿宋" w:cs="Times New Roman"/>
          <w:sz w:val="32"/>
          <w:szCs w:val="32"/>
          <w:shd w:val="clear" w:color="auto" w:fill="FFFFFF"/>
        </w:rPr>
        <w:t>协调减轻工业企业负担工作。</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shd w:val="clear" w:color="auto" w:fill="FFFFFF"/>
        </w:rPr>
        <w:t>（五）负责开展新型工业化及工业企业成长</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十百千</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工程的推进工作；会同有关部门综合管理全区工业经济，指导、协调和服务工业企业，建立服务工作体系；承担区加速推进新型工业化领导小组的日常工作。</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shd w:val="clear" w:color="auto" w:fill="FFFFFF"/>
        </w:rPr>
        <w:t>（六）</w:t>
      </w:r>
      <w:r>
        <w:rPr>
          <w:rFonts w:ascii="Times New Roman" w:eastAsia="仿宋" w:hAnsi="仿宋" w:cs="Times New Roman"/>
          <w:sz w:val="32"/>
          <w:szCs w:val="32"/>
        </w:rPr>
        <w:t>研究提出促进全区中小企业和非公经济发展的政策措施，协调解决有关重大问题；</w:t>
      </w:r>
      <w:r>
        <w:rPr>
          <w:rFonts w:ascii="Times New Roman" w:eastAsia="仿宋" w:hAnsi="仿宋" w:cs="Times New Roman"/>
          <w:sz w:val="32"/>
          <w:szCs w:val="32"/>
          <w:shd w:val="clear" w:color="auto" w:fill="FFFFFF"/>
        </w:rPr>
        <w:t>指导、促进民营经济和中小企业发展，</w:t>
      </w:r>
      <w:r>
        <w:rPr>
          <w:rFonts w:ascii="Times New Roman" w:eastAsia="仿宋" w:hAnsi="仿宋" w:cs="Times New Roman"/>
          <w:sz w:val="32"/>
          <w:szCs w:val="32"/>
        </w:rPr>
        <w:t>推进和完善民营经济和中小企业发展服务体系建设；负责中小企业融资和融资担保的服务与协调工作。</w:t>
      </w:r>
    </w:p>
    <w:p w:rsidR="006F4A86" w:rsidRDefault="00E83241">
      <w:pPr>
        <w:tabs>
          <w:tab w:val="left" w:pos="1736"/>
        </w:tabs>
        <w:spacing w:line="560" w:lineRule="exact"/>
        <w:ind w:firstLineChars="200" w:firstLine="640"/>
        <w:rPr>
          <w:rFonts w:ascii="Times New Roman" w:eastAsia="仿宋" w:hAnsi="Times New Roman" w:cs="Times New Roman"/>
          <w:sz w:val="32"/>
          <w:szCs w:val="32"/>
          <w:shd w:val="clear" w:color="auto" w:fill="FFFFFF"/>
        </w:rPr>
      </w:pPr>
      <w:r>
        <w:rPr>
          <w:rFonts w:ascii="Times New Roman" w:eastAsia="仿宋" w:hAnsi="仿宋" w:cs="Times New Roman"/>
          <w:sz w:val="32"/>
          <w:szCs w:val="32"/>
          <w:shd w:val="clear" w:color="auto" w:fill="FFFFFF"/>
        </w:rPr>
        <w:t>（七）</w:t>
      </w:r>
      <w:r>
        <w:rPr>
          <w:rFonts w:ascii="Times New Roman" w:eastAsia="仿宋" w:hAnsi="仿宋" w:cs="Times New Roman"/>
          <w:sz w:val="32"/>
          <w:szCs w:val="32"/>
        </w:rPr>
        <w:t>参与拟订工业能源节能和资源综合利用规划；会同有关部门组织实施节能行动方案和资源综合利用工作；组织推进工业企业清洁生产工作；承办工业和信息化领域新产品、新技术、新设备、新材料的推广应用；</w:t>
      </w:r>
      <w:r>
        <w:rPr>
          <w:rFonts w:ascii="Times New Roman" w:eastAsia="仿宋" w:hAnsi="仿宋" w:cs="Times New Roman"/>
          <w:sz w:val="32"/>
          <w:szCs w:val="32"/>
          <w:shd w:val="clear" w:color="auto" w:fill="FFFFFF"/>
        </w:rPr>
        <w:t>综合协调节能减排和循环化改造等相关工作。</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shd w:val="clear" w:color="auto" w:fill="FFFFFF"/>
        </w:rPr>
        <w:t>（八）</w:t>
      </w:r>
      <w:r>
        <w:rPr>
          <w:rFonts w:ascii="Times New Roman" w:eastAsia="仿宋" w:hAnsi="仿宋" w:cs="Times New Roman"/>
          <w:sz w:val="32"/>
          <w:szCs w:val="32"/>
        </w:rPr>
        <w:t>综合协调工业经济运行中与铁路、公路、水运、管道运输以及通信、邮政有关的重大问题；负责经济运行保障要素的综合协调工作；指导生产企业物流外包，促进企业内部物流社会化。</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（九）</w:t>
      </w:r>
      <w:r>
        <w:rPr>
          <w:rFonts w:ascii="Times New Roman" w:eastAsia="仿宋" w:hAnsi="仿宋" w:cs="Times New Roman"/>
          <w:sz w:val="32"/>
          <w:szCs w:val="32"/>
          <w:shd w:val="clear" w:color="auto" w:fill="FFFFFF"/>
        </w:rPr>
        <w:t>负责工业信息化工作。参与拟定信息化与工业化融合的发展规划并组织实施，推动工业数字化、网络化、智能化发展；承担利</w:t>
      </w:r>
      <w:r>
        <w:rPr>
          <w:rFonts w:ascii="Times New Roman" w:eastAsia="仿宋" w:hAnsi="仿宋" w:cs="Times New Roman"/>
          <w:sz w:val="32"/>
          <w:szCs w:val="32"/>
          <w:shd w:val="clear" w:color="auto" w:fill="FFFFFF"/>
        </w:rPr>
        <w:t>用信息技术改造提升传统产业、推进工业企业信息化的工作；</w:t>
      </w:r>
      <w:r>
        <w:rPr>
          <w:rFonts w:ascii="Times New Roman" w:eastAsia="仿宋" w:hAnsi="仿宋" w:cs="Times New Roman"/>
          <w:sz w:val="32"/>
          <w:szCs w:val="32"/>
        </w:rPr>
        <w:t>负责工业和信息化领域的国防动员有关工作。</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（十）</w:t>
      </w:r>
      <w:r>
        <w:rPr>
          <w:rFonts w:ascii="Times New Roman" w:eastAsia="仿宋" w:hAnsi="仿宋" w:cs="Times New Roman"/>
          <w:sz w:val="32"/>
          <w:szCs w:val="32"/>
          <w:shd w:val="clear" w:color="auto" w:fill="FFFFFF"/>
        </w:rPr>
        <w:t>协调推进人工智能和数字产业发展工作</w:t>
      </w:r>
      <w:r>
        <w:rPr>
          <w:rFonts w:ascii="Times New Roman" w:eastAsia="仿宋" w:hAnsi="Times New Roman" w:cs="Times New Roman"/>
          <w:sz w:val="32"/>
          <w:szCs w:val="32"/>
          <w:shd w:val="clear" w:color="auto" w:fill="FFFFFF"/>
        </w:rPr>
        <w:t>;</w:t>
      </w:r>
      <w:r>
        <w:rPr>
          <w:rFonts w:ascii="Times New Roman" w:eastAsia="仿宋" w:hAnsi="仿宋" w:cs="Times New Roman"/>
          <w:kern w:val="0"/>
          <w:sz w:val="32"/>
          <w:szCs w:val="32"/>
        </w:rPr>
        <w:t>负责指导企</w:t>
      </w:r>
      <w:r>
        <w:rPr>
          <w:rFonts w:ascii="Times New Roman" w:eastAsia="仿宋" w:hAnsi="仿宋" w:cs="Times New Roman"/>
          <w:kern w:val="0"/>
          <w:sz w:val="32"/>
          <w:szCs w:val="32"/>
        </w:rPr>
        <w:lastRenderedPageBreak/>
        <w:t>业智能化技术改造、推进全区智能装备产业发展；负责工业互联网、大数据、人工智能与传统产业的融合发展；</w:t>
      </w:r>
      <w:r>
        <w:rPr>
          <w:rFonts w:ascii="Times New Roman" w:eastAsia="仿宋" w:hAnsi="仿宋" w:cs="Times New Roman"/>
          <w:sz w:val="32"/>
          <w:szCs w:val="32"/>
          <w:shd w:val="clear" w:color="auto" w:fill="FFFFFF"/>
        </w:rPr>
        <w:t>组织推进人工智能和数字产业重大项目和应用推广</w:t>
      </w:r>
      <w:r>
        <w:rPr>
          <w:rFonts w:ascii="Times New Roman" w:eastAsia="仿宋" w:hAnsi="Times New Roman" w:cs="Times New Roman"/>
          <w:sz w:val="32"/>
          <w:szCs w:val="32"/>
          <w:shd w:val="clear" w:color="auto" w:fill="FFFFFF"/>
        </w:rPr>
        <w:t>,</w:t>
      </w:r>
      <w:r>
        <w:rPr>
          <w:rFonts w:ascii="Times New Roman" w:eastAsia="仿宋" w:hAnsi="仿宋" w:cs="Times New Roman"/>
          <w:sz w:val="32"/>
          <w:szCs w:val="32"/>
          <w:shd w:val="clear" w:color="auto" w:fill="FFFFFF"/>
        </w:rPr>
        <w:t>推动人工智能和数字产业与经济社会发展深度融合。</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shd w:val="clear" w:color="auto" w:fill="FFFFFF"/>
        </w:rPr>
        <w:t>（十一）负责协调推进军民融合发展工作；贯彻落实中央、省、市军民融合发展的有关方针政策、决策部署；协调推进国家、省、市军民融合发展重大项目（专项工程）和重大事项。</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（十二）拟订全区重点引进外国专家总体规划、计划并组织实施，建立外国顶尖科学家、团队吸引集聚机制和重点外国专家联系服务机制，承担重点外国专家服务工作。</w:t>
      </w:r>
    </w:p>
    <w:p w:rsidR="006F4A86" w:rsidRDefault="00E83241">
      <w:pPr>
        <w:tabs>
          <w:tab w:val="left" w:pos="1736"/>
        </w:tabs>
        <w:spacing w:line="560" w:lineRule="exact"/>
        <w:ind w:firstLineChars="200" w:firstLine="640"/>
        <w:rPr>
          <w:rFonts w:ascii="Times New Roman" w:eastAsia="仿宋" w:hAnsi="Times New Roman" w:cs="Times New Roman"/>
          <w:color w:val="000000"/>
          <w:sz w:val="32"/>
          <w:szCs w:val="32"/>
        </w:rPr>
      </w:pPr>
      <w:r>
        <w:rPr>
          <w:rFonts w:ascii="Times New Roman" w:eastAsia="仿宋" w:hAnsi="仿宋" w:cs="Times New Roman"/>
          <w:color w:val="000000"/>
          <w:sz w:val="32"/>
          <w:szCs w:val="32"/>
        </w:rPr>
        <w:t>（十三）会同有关部门拟订科技人才队伍建设规划和实施意见，建立健全科技人才评价和激励机制，组织实施科技人才计划，推动高端科技创新人才队伍建设。</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（十四）负责指导归口企业的改革改制工作，配合做好辖区内中央、省、市企业的改革改制和稳定工作。</w:t>
      </w:r>
    </w:p>
    <w:p w:rsidR="006F4A86" w:rsidRDefault="00E83241">
      <w:pPr>
        <w:tabs>
          <w:tab w:val="left" w:pos="1736"/>
        </w:tabs>
        <w:spacing w:line="56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（十五）完成区委、区政府交办的其他任务。</w:t>
      </w:r>
    </w:p>
    <w:p w:rsidR="006F4A86" w:rsidRDefault="00E83241">
      <w:pPr>
        <w:tabs>
          <w:tab w:val="left" w:pos="1736"/>
          <w:tab w:val="left" w:pos="7560"/>
        </w:tabs>
        <w:adjustRightInd w:val="0"/>
        <w:snapToGrid w:val="0"/>
        <w:spacing w:line="560" w:lineRule="exact"/>
        <w:ind w:firstLineChars="200" w:firstLine="640"/>
        <w:jc w:val="left"/>
        <w:rPr>
          <w:rFonts w:ascii="Times New Roman" w:eastAsia="仿宋" w:hAnsi="Times New Roman" w:cs="Times New Roman"/>
          <w:sz w:val="32"/>
          <w:szCs w:val="32"/>
        </w:rPr>
      </w:pPr>
      <w:r>
        <w:rPr>
          <w:rFonts w:ascii="Times New Roman" w:eastAsia="仿宋_GB2312" w:hAnsi="Times New Roman" w:cs="Times New Roman"/>
          <w:bCs/>
          <w:color w:val="000000"/>
          <w:sz w:val="32"/>
          <w:szCs w:val="32"/>
        </w:rPr>
        <w:t> </w:t>
      </w:r>
      <w:r>
        <w:rPr>
          <w:rFonts w:ascii="Times New Roman" w:eastAsia="仿宋_GB2312" w:hAnsi="Times New Roman" w:cs="Times New Roman"/>
          <w:color w:val="000000"/>
          <w:sz w:val="32"/>
          <w:szCs w:val="32"/>
        </w:rPr>
        <w:t>本部门共有</w:t>
      </w:r>
      <w:r>
        <w:rPr>
          <w:rFonts w:ascii="Times New Roman" w:eastAsia="仿宋" w:hAnsi="仿宋" w:cs="Times New Roman"/>
          <w:sz w:val="32"/>
          <w:szCs w:val="32"/>
          <w:shd w:val="clear" w:color="auto" w:fill="FFFFFF"/>
        </w:rPr>
        <w:t>行政编制</w:t>
      </w:r>
      <w:r>
        <w:rPr>
          <w:rFonts w:ascii="Times New Roman" w:eastAsia="仿宋" w:hAnsi="Times New Roman" w:cs="Times New Roman"/>
          <w:sz w:val="32"/>
          <w:szCs w:val="32"/>
          <w:shd w:val="clear" w:color="auto" w:fill="FFFFFF"/>
        </w:rPr>
        <w:t>15</w:t>
      </w:r>
      <w:r>
        <w:rPr>
          <w:rFonts w:ascii="Times New Roman" w:eastAsia="仿宋" w:hAnsi="仿宋" w:cs="Times New Roman"/>
          <w:sz w:val="32"/>
          <w:szCs w:val="32"/>
          <w:shd w:val="clear" w:color="auto" w:fill="FFFFFF"/>
        </w:rPr>
        <w:t>名、事业编</w:t>
      </w:r>
      <w:r>
        <w:rPr>
          <w:rFonts w:ascii="Times New Roman" w:eastAsia="仿宋" w:hAnsi="Times New Roman" w:cs="Times New Roman"/>
          <w:sz w:val="32"/>
          <w:szCs w:val="32"/>
          <w:shd w:val="clear" w:color="auto" w:fill="FFFFFF"/>
        </w:rPr>
        <w:t>3</w:t>
      </w:r>
      <w:r>
        <w:rPr>
          <w:rFonts w:ascii="Times New Roman" w:eastAsia="仿宋" w:hAnsi="仿宋" w:cs="Times New Roman"/>
          <w:sz w:val="32"/>
          <w:szCs w:val="32"/>
          <w:shd w:val="clear" w:color="auto" w:fill="FFFFFF"/>
        </w:rPr>
        <w:t>名、机关工勤人员编制</w:t>
      </w:r>
      <w:r>
        <w:rPr>
          <w:rFonts w:ascii="Times New Roman" w:eastAsia="仿宋" w:hAnsi="Times New Roman" w:cs="Times New Roman"/>
          <w:sz w:val="32"/>
          <w:szCs w:val="32"/>
          <w:shd w:val="clear" w:color="auto" w:fill="FFFFFF"/>
        </w:rPr>
        <w:t>2</w:t>
      </w:r>
      <w:r>
        <w:rPr>
          <w:rFonts w:ascii="Times New Roman" w:eastAsia="仿宋" w:hAnsi="仿宋" w:cs="Times New Roman"/>
          <w:sz w:val="32"/>
          <w:szCs w:val="32"/>
          <w:shd w:val="clear" w:color="auto" w:fill="FFFFFF"/>
        </w:rPr>
        <w:t>名。</w:t>
      </w:r>
      <w:r>
        <w:rPr>
          <w:rFonts w:ascii="Times New Roman" w:eastAsia="仿宋_GB2312" w:hAnsi="Times New Roman" w:cs="Times New Roman"/>
          <w:color w:val="000000"/>
          <w:sz w:val="32"/>
          <w:szCs w:val="32"/>
        </w:rPr>
        <w:t>实有人数</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人。内设科室</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个，分别为：</w:t>
      </w:r>
      <w:r>
        <w:rPr>
          <w:rFonts w:ascii="Times New Roman" w:eastAsia="仿宋" w:hAnsi="仿宋" w:cs="Times New Roman"/>
          <w:sz w:val="32"/>
          <w:szCs w:val="32"/>
        </w:rPr>
        <w:t>办公室、综合业务股、企业管理服务股。</w:t>
      </w:r>
    </w:p>
    <w:p w:rsidR="006F4A86" w:rsidRDefault="00E8324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6F4A86" w:rsidRDefault="00E8324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年预算收入</w:t>
      </w:r>
      <w:r>
        <w:rPr>
          <w:rFonts w:ascii="Times New Roman" w:eastAsia="仿宋_GB2312" w:hAnsi="Times New Roman" w:cs="Times New Roman" w:hint="eastAsia"/>
          <w:sz w:val="32"/>
          <w:szCs w:val="32"/>
        </w:rPr>
        <w:t>2502.91</w:t>
      </w:r>
      <w:r>
        <w:rPr>
          <w:rFonts w:ascii="Times New Roman" w:eastAsia="仿宋_GB2312" w:hAnsi="Times New Roman" w:cs="Times New Roman"/>
          <w:sz w:val="32"/>
          <w:szCs w:val="32"/>
        </w:rPr>
        <w:t>万元，其中年初预算</w:t>
      </w:r>
      <w:r>
        <w:rPr>
          <w:rFonts w:ascii="Times New Roman" w:eastAsia="仿宋_GB2312" w:hAnsi="Times New Roman" w:cs="Times New Roman" w:hint="eastAsia"/>
          <w:sz w:val="32"/>
          <w:szCs w:val="32"/>
        </w:rPr>
        <w:t>368.9</w:t>
      </w:r>
      <w:r>
        <w:rPr>
          <w:rFonts w:ascii="Times New Roman" w:eastAsia="仿宋_GB2312" w:hAnsi="Times New Roman" w:cs="Times New Roman"/>
          <w:sz w:val="32"/>
          <w:szCs w:val="32"/>
        </w:rPr>
        <w:t>万元，调整追加</w:t>
      </w:r>
      <w:r>
        <w:rPr>
          <w:rFonts w:ascii="Times New Roman" w:eastAsia="仿宋_GB2312" w:hAnsi="Times New Roman" w:cs="Times New Roman" w:hint="eastAsia"/>
          <w:sz w:val="32"/>
          <w:szCs w:val="32"/>
        </w:rPr>
        <w:t>2134.01</w:t>
      </w:r>
      <w:r>
        <w:rPr>
          <w:rFonts w:ascii="Times New Roman" w:eastAsia="仿宋_GB2312" w:hAnsi="Times New Roman" w:cs="Times New Roman"/>
          <w:sz w:val="32"/>
          <w:szCs w:val="32"/>
        </w:rPr>
        <w:t>万元。其他资金来源</w:t>
      </w:r>
      <w:r>
        <w:rPr>
          <w:rFonts w:ascii="Times New Roman" w:eastAsia="仿宋_GB2312" w:hAnsi="Times New Roman" w:cs="Times New Roman" w:hint="eastAsia"/>
          <w:sz w:val="32"/>
          <w:szCs w:val="32"/>
        </w:rPr>
        <w:t>12.78</w:t>
      </w:r>
      <w:r>
        <w:rPr>
          <w:rFonts w:ascii="Times New Roman" w:eastAsia="仿宋_GB2312" w:hAnsi="Times New Roman" w:cs="Times New Roman"/>
          <w:sz w:val="32"/>
          <w:szCs w:val="32"/>
        </w:rPr>
        <w:t>万元。</w:t>
      </w:r>
    </w:p>
    <w:p w:rsidR="006F4A86" w:rsidRDefault="00E8324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年支出</w:t>
      </w:r>
      <w:r>
        <w:rPr>
          <w:rFonts w:ascii="Times New Roman" w:eastAsia="仿宋_GB2312" w:hAnsi="Times New Roman" w:cs="Times New Roman" w:hint="eastAsia"/>
          <w:sz w:val="32"/>
          <w:szCs w:val="32"/>
        </w:rPr>
        <w:t>2502.91</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379.79</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2123.12</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6F4A86" w:rsidRDefault="00E8324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三、资金使用及绩效情况（包含单位管理的公共专项）</w:t>
      </w:r>
    </w:p>
    <w:p w:rsidR="006F4A86" w:rsidRDefault="00E83241" w:rsidP="00A15BB1">
      <w:pPr>
        <w:tabs>
          <w:tab w:val="left" w:pos="7560"/>
        </w:tabs>
        <w:adjustRightInd w:val="0"/>
        <w:snapToGrid w:val="0"/>
        <w:spacing w:line="540" w:lineRule="exact"/>
        <w:ind w:firstLineChars="200" w:firstLine="643"/>
        <w:jc w:val="left"/>
        <w:rPr>
          <w:rFonts w:ascii="Times New Roman" w:eastAsia="楷体_GB2312" w:hAnsi="Times New Roman" w:cs="Times New Roman" w:hint="eastAsia"/>
          <w:b/>
          <w:bCs/>
          <w:sz w:val="32"/>
          <w:szCs w:val="32"/>
        </w:rPr>
      </w:pPr>
      <w:r>
        <w:rPr>
          <w:rFonts w:ascii="Times New Roman" w:eastAsia="楷体_GB2312" w:hAnsi="Times New Roman" w:cs="Times New Roman"/>
          <w:b/>
          <w:bCs/>
          <w:sz w:val="32"/>
          <w:szCs w:val="32"/>
        </w:rPr>
        <w:t>（一）整体支出绩效情况</w:t>
      </w:r>
    </w:p>
    <w:p w:rsidR="00A15BB1" w:rsidRDefault="00A15BB1" w:rsidP="00A15BB1">
      <w:pPr>
        <w:spacing w:line="560" w:lineRule="exac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稳运行稳投资，工业经济稳中有进。</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年，完成规模业增加值</w:t>
      </w:r>
      <w:r>
        <w:rPr>
          <w:rFonts w:ascii="Times New Roman" w:eastAsia="仿宋_GB2312" w:hAnsi="Times New Roman" w:cs="Times New Roman"/>
          <w:sz w:val="32"/>
          <w:szCs w:val="32"/>
        </w:rPr>
        <w:t>136.06</w:t>
      </w:r>
      <w:r>
        <w:rPr>
          <w:rFonts w:ascii="Times New Roman" w:eastAsia="仿宋_GB2312" w:hAnsi="Times New Roman" w:cs="Times New Roman"/>
          <w:sz w:val="32"/>
          <w:szCs w:val="32"/>
        </w:rPr>
        <w:t>亿元，同比增长</w:t>
      </w:r>
      <w:r>
        <w:rPr>
          <w:rFonts w:ascii="Times New Roman" w:eastAsia="仿宋_GB2312" w:hAnsi="Times New Roman" w:cs="Times New Roman"/>
          <w:sz w:val="32"/>
          <w:szCs w:val="32"/>
        </w:rPr>
        <w:t>11.3%</w:t>
      </w:r>
      <w:r>
        <w:rPr>
          <w:rFonts w:ascii="Times New Roman" w:eastAsia="仿宋_GB2312" w:hAnsi="Times New Roman" w:cs="Times New Roman"/>
          <w:sz w:val="32"/>
          <w:szCs w:val="32"/>
        </w:rPr>
        <w:t>，全市排名第一；完成工业投资</w:t>
      </w:r>
      <w:r>
        <w:rPr>
          <w:rFonts w:ascii="Times New Roman" w:eastAsia="仿宋_GB2312" w:hAnsi="Times New Roman" w:cs="Times New Roman"/>
          <w:sz w:val="32"/>
          <w:szCs w:val="32"/>
        </w:rPr>
        <w:t>67.18</w:t>
      </w:r>
      <w:r>
        <w:rPr>
          <w:rFonts w:ascii="Times New Roman" w:eastAsia="仿宋_GB2312" w:hAnsi="Times New Roman" w:cs="Times New Roman"/>
          <w:sz w:val="32"/>
          <w:szCs w:val="32"/>
        </w:rPr>
        <w:t>亿元，同比增长</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；工业税收同比增长</w:t>
      </w:r>
      <w:r>
        <w:rPr>
          <w:rFonts w:ascii="Times New Roman" w:eastAsia="仿宋_GB2312" w:hAnsi="Times New Roman" w:cs="Times New Roman"/>
          <w:sz w:val="32"/>
          <w:szCs w:val="32"/>
        </w:rPr>
        <w:t>145.4%</w:t>
      </w:r>
      <w:r>
        <w:rPr>
          <w:rFonts w:ascii="Times New Roman" w:eastAsia="仿宋_GB2312" w:hAnsi="Times New Roman" w:cs="Times New Roman"/>
          <w:sz w:val="32"/>
          <w:szCs w:val="32"/>
        </w:rPr>
        <w:t>、工业企业开票收入增长</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。其中，轨道交通产业产值增长</w:t>
      </w:r>
      <w:r>
        <w:rPr>
          <w:rFonts w:ascii="Times New Roman" w:eastAsia="仿宋_GB2312" w:hAnsi="Times New Roman" w:cs="Times New Roman"/>
          <w:sz w:val="32"/>
          <w:szCs w:val="32"/>
        </w:rPr>
        <w:t>5.43%</w:t>
      </w:r>
      <w:r>
        <w:rPr>
          <w:rFonts w:ascii="Times New Roman" w:eastAsia="仿宋_GB2312" w:hAnsi="Times New Roman" w:cs="Times New Roman"/>
          <w:sz w:val="32"/>
          <w:szCs w:val="32"/>
        </w:rPr>
        <w:t>，半导体、工业变流及新能源装备等新兴产业产值增长</w:t>
      </w:r>
      <w:r>
        <w:rPr>
          <w:rFonts w:ascii="Times New Roman" w:eastAsia="仿宋_GB2312" w:hAnsi="Times New Roman" w:cs="Times New Roman"/>
          <w:sz w:val="32"/>
          <w:szCs w:val="32"/>
        </w:rPr>
        <w:t>63.5%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一主多元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产业格局加快构建；三一硅能</w:t>
      </w:r>
      <w:r>
        <w:rPr>
          <w:rFonts w:ascii="Times New Roman" w:eastAsia="仿宋_GB2312" w:hAnsi="Times New Roman" w:cs="Times New Roman"/>
          <w:sz w:val="32"/>
          <w:szCs w:val="32"/>
        </w:rPr>
        <w:t>5GW</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152</w:t>
      </w:r>
      <w:r>
        <w:rPr>
          <w:rFonts w:ascii="Times New Roman" w:eastAsia="仿宋_GB2312" w:hAnsi="Times New Roman" w:cs="Times New Roman"/>
          <w:sz w:val="32"/>
          <w:szCs w:val="32"/>
        </w:rPr>
        <w:t>天高效落地投产，时代电气创新实验平台成功封顶，中车双碳产业园开工，</w:t>
      </w:r>
      <w:r>
        <w:rPr>
          <w:rFonts w:ascii="Times New Roman" w:eastAsia="仿宋_GB2312" w:hAnsi="Times New Roman" w:cs="Times New Roman"/>
          <w:sz w:val="32"/>
          <w:szCs w:val="32"/>
        </w:rPr>
        <w:t>IGBT</w:t>
      </w:r>
      <w:r>
        <w:rPr>
          <w:rFonts w:ascii="Times New Roman" w:eastAsia="仿宋_GB2312" w:hAnsi="Times New Roman" w:cs="Times New Roman"/>
          <w:sz w:val="32"/>
          <w:szCs w:val="32"/>
        </w:rPr>
        <w:t>三期等一批省、市重点项目加快建设。</w:t>
      </w:r>
    </w:p>
    <w:p w:rsidR="00A15BB1" w:rsidRDefault="00A15BB1" w:rsidP="00A15BB1">
      <w:pPr>
        <w:spacing w:line="560" w:lineRule="exac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育集群聚项目，推动发展加速提质。</w:t>
      </w:r>
      <w:r>
        <w:rPr>
          <w:rFonts w:ascii="Times New Roman" w:eastAsia="仿宋_GB2312" w:hAnsi="Times New Roman" w:cs="Times New Roman"/>
          <w:sz w:val="32"/>
          <w:szCs w:val="32"/>
          <w:shd w:val="clear" w:color="auto" w:fill="FFFFFF"/>
        </w:rPr>
        <w:t>积极</w:t>
      </w:r>
      <w:r>
        <w:rPr>
          <w:rFonts w:ascii="Times New Roman" w:eastAsia="仿宋_GB2312" w:hAnsi="Times New Roman" w:cs="Times New Roman"/>
          <w:sz w:val="32"/>
          <w:szCs w:val="32"/>
        </w:rPr>
        <w:t>筹备株洲先进电力电子器件及应用产业集群参加省级先进制造业产业集群决赛各项事宜，坚持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一周一碰头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，组织多轮专家评审、模拟演练，高质量完成决赛答辩，株洲</w:t>
      </w:r>
      <w:r>
        <w:rPr>
          <w:rFonts w:ascii="Times New Roman" w:eastAsia="仿宋_GB2312" w:hAnsi="Times New Roman" w:cs="Times New Roman"/>
          <w:sz w:val="32"/>
          <w:szCs w:val="32"/>
          <w:shd w:val="clear" w:color="auto" w:fill="FFFFFF"/>
        </w:rPr>
        <w:t>先进电力电子器件及应用产业集群成功获批湖南省先进制造业产业集群。精心参与、承办</w:t>
      </w:r>
      <w:r>
        <w:rPr>
          <w:rFonts w:ascii="Times New Roman" w:eastAsia="仿宋_GB2312" w:hAnsi="Times New Roman" w:cs="Times New Roman"/>
          <w:sz w:val="32"/>
          <w:szCs w:val="32"/>
          <w:shd w:val="clear" w:color="auto" w:fill="FFFFFF"/>
        </w:rPr>
        <w:t>2023</w:t>
      </w:r>
      <w:r>
        <w:rPr>
          <w:rFonts w:ascii="Times New Roman" w:eastAsia="仿宋_GB2312" w:hAnsi="Times New Roman" w:cs="Times New Roman"/>
          <w:sz w:val="32"/>
          <w:szCs w:val="32"/>
          <w:shd w:val="clear" w:color="auto" w:fill="FFFFFF"/>
        </w:rPr>
        <w:t>轨博会、第二届北斗规模应用国际峰会和</w:t>
      </w:r>
      <w:r>
        <w:rPr>
          <w:rFonts w:ascii="Times New Roman" w:eastAsia="仿宋_GB2312" w:hAnsi="Times New Roman" w:cs="Times New Roman"/>
          <w:sz w:val="32"/>
          <w:szCs w:val="32"/>
        </w:rPr>
        <w:t>湖南省功率半导体产业对接会</w:t>
      </w:r>
      <w:r>
        <w:rPr>
          <w:rFonts w:ascii="Times New Roman" w:eastAsia="仿宋_GB2312" w:hAnsi="Times New Roman" w:cs="Times New Roman"/>
          <w:sz w:val="32"/>
          <w:szCs w:val="32"/>
          <w:shd w:val="clear" w:color="auto" w:fill="FFFFFF"/>
        </w:rPr>
        <w:t>等活动，产业要素聚集</w:t>
      </w:r>
      <w:r>
        <w:rPr>
          <w:rFonts w:ascii="Times New Roman" w:eastAsia="仿宋_GB2312" w:hAnsi="Times New Roman" w:cs="Times New Roman"/>
          <w:spacing w:val="23"/>
          <w:kern w:val="0"/>
          <w:sz w:val="32"/>
          <w:szCs w:val="32"/>
        </w:rPr>
        <w:t>力、品牌效应力、国际影响力持续提升。</w:t>
      </w:r>
      <w:r>
        <w:rPr>
          <w:rFonts w:ascii="Times New Roman" w:eastAsia="仿宋_GB2312" w:hAnsi="Times New Roman" w:cs="Times New Roman"/>
          <w:sz w:val="32"/>
          <w:szCs w:val="32"/>
        </w:rPr>
        <w:t>聘请链主企业高管担任招商顾问，举办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央地联动，双碳赋能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清水塘新能源装备产业新城招商推介会等活动，政企联动靶向招引，签约引进亿元以上项目</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三类</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w:t>
      </w:r>
    </w:p>
    <w:p w:rsidR="00A15BB1" w:rsidRDefault="00A15BB1" w:rsidP="00A15BB1">
      <w:pPr>
        <w:spacing w:line="560" w:lineRule="exac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3</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育主体促升级，企业培育富有成效。</w:t>
      </w:r>
      <w:r>
        <w:rPr>
          <w:rFonts w:ascii="Times New Roman" w:eastAsia="仿宋_GB2312" w:hAnsi="Times New Roman" w:cs="Times New Roman"/>
          <w:sz w:val="32"/>
          <w:szCs w:val="32"/>
        </w:rPr>
        <w:t>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裂变、新苗、尖峰、立柱</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计划，建立培育库，精准引导，靶向服务。新增规模工业企业</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家，新增规模工业企业户均营收超</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亿元，联诚</w:t>
      </w:r>
      <w:r>
        <w:rPr>
          <w:rFonts w:ascii="Times New Roman" w:eastAsia="仿宋_GB2312" w:hAnsi="Times New Roman" w:cs="Times New Roman"/>
          <w:sz w:val="32"/>
          <w:szCs w:val="32"/>
        </w:rPr>
        <w:lastRenderedPageBreak/>
        <w:t>轨道、三一能源装备、中车机电科技成功迈上</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亿元台阶，中车时代电驱、三一硅能营收快速增长。新增国家级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小巨人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家、省级专精特新中小企业</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家、省级创新型中小企业</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家、省级制造业单项冠军产品</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个，时代电气入选全国首批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创建世界一流专精特新示范企业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，九方装备正式挂牌新三板。</w:t>
      </w:r>
    </w:p>
    <w:p w:rsidR="00A15BB1" w:rsidRDefault="00A15BB1" w:rsidP="00A15BB1">
      <w:pPr>
        <w:spacing w:line="560" w:lineRule="exac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4</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抓转型促融合，发展活力持续激发</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深入推进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智赋千企</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行动，举办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工业互联网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现场观摩、企业数字化转型政策宣贯、企业高质量发展政策培训和网络安全培训等专场活动，助力企业数字化转型。完成企业上平台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家，建成智能工位</w:t>
      </w:r>
      <w:r>
        <w:rPr>
          <w:rFonts w:ascii="Times New Roman" w:eastAsia="仿宋_GB2312" w:hAnsi="Times New Roman" w:cs="Times New Roman"/>
          <w:sz w:val="32"/>
          <w:szCs w:val="32"/>
        </w:rPr>
        <w:t>146</w:t>
      </w:r>
      <w:r>
        <w:rPr>
          <w:rFonts w:ascii="Times New Roman" w:eastAsia="仿宋_GB2312" w:hAnsi="Times New Roman" w:cs="Times New Roman"/>
          <w:sz w:val="32"/>
          <w:szCs w:val="32"/>
        </w:rPr>
        <w:t>个、智能生产线（车间）</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个、智能制造企业</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个。新增国家级智能制造示范工厂揭榜单位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个，国省级数字化转型试点、示范、场景等项目</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个。中车株所入围国家智能制造标准应用试点，国创中心上榜国家智能制造系统解决方案揭榜挂帅项目。</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家企业列入国家绿色制造名单，火炬工业炉入选全国工业产品绿色设计示范企业。</w:t>
      </w:r>
    </w:p>
    <w:p w:rsidR="00A15BB1" w:rsidRDefault="00A15BB1" w:rsidP="00A15BB1">
      <w:pPr>
        <w:spacing w:line="560" w:lineRule="exac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5</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聚平台促攻关，科技创新迈出坚实步伐。</w:t>
      </w:r>
      <w:r>
        <w:rPr>
          <w:rFonts w:ascii="Times New Roman" w:eastAsia="仿宋_GB2312" w:hAnsi="Times New Roman" w:cs="Times New Roman"/>
          <w:sz w:val="32"/>
          <w:szCs w:val="32"/>
        </w:rPr>
        <w:t>新增国省级平台</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家、市级平台</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家，其中，天桥起重成功获批国家企业技术中心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联诚轨道认定为国家级工业设计中心。</w:t>
      </w:r>
      <w:r>
        <w:rPr>
          <w:rFonts w:ascii="Times New Roman" w:eastAsia="仿宋_GB2312" w:hAnsi="Times New Roman" w:cs="Times New Roman"/>
          <w:bCs/>
          <w:sz w:val="32"/>
          <w:szCs w:val="32"/>
        </w:rPr>
        <w:t>与湖南工业大学、株洲</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所职业院校签订校地合作框架协议，</w:t>
      </w:r>
      <w:r>
        <w:rPr>
          <w:rFonts w:ascii="Times New Roman" w:eastAsia="仿宋_GB2312" w:hAnsi="Times New Roman" w:cs="Times New Roman"/>
          <w:sz w:val="32"/>
          <w:szCs w:val="32"/>
        </w:rPr>
        <w:t>推动中车株机等</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家企业与铁科院签订产学研合作协议，校地企合作加快推进。推进规模工业企业研发活动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全覆盖</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年研发投入总额</w:t>
      </w:r>
      <w:r>
        <w:rPr>
          <w:rFonts w:ascii="Times New Roman" w:eastAsia="仿宋_GB2312" w:hAnsi="Times New Roman" w:cs="Times New Roman"/>
          <w:sz w:val="32"/>
          <w:szCs w:val="32"/>
        </w:rPr>
        <w:t>42.9</w:t>
      </w:r>
      <w:r>
        <w:rPr>
          <w:rFonts w:ascii="Times New Roman" w:eastAsia="仿宋_GB2312" w:hAnsi="Times New Roman" w:cs="Times New Roman"/>
          <w:sz w:val="32"/>
          <w:szCs w:val="32"/>
        </w:rPr>
        <w:t>亿元，强度</w:t>
      </w:r>
      <w:r>
        <w:rPr>
          <w:rFonts w:ascii="Times New Roman" w:eastAsia="仿宋_GB2312" w:hAnsi="Times New Roman" w:cs="Times New Roman"/>
          <w:sz w:val="32"/>
          <w:szCs w:val="32"/>
        </w:rPr>
        <w:t>10.1%</w:t>
      </w:r>
      <w:r>
        <w:rPr>
          <w:rFonts w:ascii="Times New Roman" w:eastAsia="仿宋_GB2312" w:hAnsi="Times New Roman" w:cs="Times New Roman"/>
          <w:sz w:val="32"/>
          <w:szCs w:val="32"/>
        </w:rPr>
        <w:t>，分别高于全省、全市</w:t>
      </w:r>
      <w:r>
        <w:rPr>
          <w:rFonts w:ascii="Times New Roman" w:eastAsia="仿宋_GB2312" w:hAnsi="Times New Roman" w:cs="Times New Roman"/>
          <w:sz w:val="32"/>
          <w:szCs w:val="32"/>
        </w:rPr>
        <w:t>7.69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6.8</w:t>
      </w:r>
      <w:r>
        <w:rPr>
          <w:rFonts w:ascii="Times New Roman" w:eastAsia="仿宋_GB2312" w:hAnsi="Times New Roman" w:cs="Times New Roman"/>
          <w:sz w:val="32"/>
          <w:szCs w:val="32"/>
        </w:rPr>
        <w:t>个百分点，居全市第一、全省前茅</w:t>
      </w:r>
      <w:r>
        <w:rPr>
          <w:rFonts w:ascii="Times New Roman" w:eastAsia="仿宋" w:hAnsi="Times New Roman" w:cs="Times New Roman"/>
          <w:bCs/>
          <w:sz w:val="32"/>
          <w:szCs w:val="32"/>
        </w:rPr>
        <w:t>，</w:t>
      </w:r>
      <w:r>
        <w:rPr>
          <w:rFonts w:ascii="Times New Roman" w:eastAsia="仿宋_GB2312" w:hAnsi="Times New Roman" w:cs="Times New Roman"/>
          <w:sz w:val="32"/>
          <w:szCs w:val="32"/>
        </w:rPr>
        <w:t>有力撬动创新活力。首台大功率纯电新能源调车机车、首列氢能源智轨等多个全球、全国首创产品下线。</w:t>
      </w:r>
      <w:r>
        <w:rPr>
          <w:rFonts w:ascii="Times New Roman" w:eastAsia="仿宋_GB2312" w:hAnsi="Times New Roman" w:cs="Times New Roman"/>
          <w:sz w:val="32"/>
          <w:szCs w:val="32"/>
        </w:rPr>
        <w:lastRenderedPageBreak/>
        <w:t>石峰区成功获批省级创新型县（市、区）建设区。</w:t>
      </w:r>
    </w:p>
    <w:p w:rsidR="00A15BB1" w:rsidRDefault="00A15BB1" w:rsidP="00A15BB1">
      <w:pPr>
        <w:spacing w:line="560" w:lineRule="exac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6</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解难题优服务，产业发展生态更优。</w:t>
      </w:r>
      <w:r>
        <w:rPr>
          <w:rFonts w:ascii="Times New Roman" w:eastAsia="仿宋_GB2312" w:hAnsi="Times New Roman" w:cs="Times New Roman"/>
          <w:sz w:val="32"/>
          <w:szCs w:val="32"/>
        </w:rPr>
        <w:t>深入开展百名干部联百企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送政策解难题优服务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让企业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无话不说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问题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有求必应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，持续为企业通堵点、补断点。全面推进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一降一升</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行动，举办政</w:t>
      </w:r>
      <w:r>
        <w:rPr>
          <w:rFonts w:ascii="Times New Roman" w:eastAsia="仿宋_GB2312" w:hAnsi="Times New Roman" w:cs="Times New Roman" w:hint="eastAsia"/>
          <w:sz w:val="32"/>
          <w:szCs w:val="32"/>
        </w:rPr>
        <w:t>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早餐会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企业办事不求人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宣传季活动，解决企业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急难愁盼</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w:t>
      </w:r>
      <w:r>
        <w:rPr>
          <w:rFonts w:ascii="Times New Roman" w:eastAsia="仿宋_GB2312" w:hAnsi="Times New Roman" w:cs="Times New Roman"/>
          <w:sz w:val="32"/>
          <w:szCs w:val="32"/>
        </w:rPr>
        <w:t>315</w:t>
      </w:r>
      <w:r>
        <w:rPr>
          <w:rFonts w:ascii="Times New Roman" w:eastAsia="仿宋_GB2312" w:hAnsi="Times New Roman" w:cs="Times New Roman"/>
          <w:sz w:val="32"/>
          <w:szCs w:val="32"/>
        </w:rPr>
        <w:t>个，帮助</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家企业申请获得</w:t>
      </w:r>
      <w:r>
        <w:rPr>
          <w:rFonts w:ascii="Times New Roman" w:eastAsia="仿宋_GB2312" w:hAnsi="Times New Roman" w:cs="Times New Roman"/>
          <w:sz w:val="32"/>
          <w:szCs w:val="32"/>
        </w:rPr>
        <w:t>5360</w:t>
      </w:r>
      <w:r>
        <w:rPr>
          <w:rFonts w:ascii="Times New Roman" w:eastAsia="仿宋_GB2312" w:hAnsi="Times New Roman" w:cs="Times New Roman"/>
          <w:sz w:val="32"/>
          <w:szCs w:val="32"/>
        </w:rPr>
        <w:t>万元知识价值信用贷款，持续擦亮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企业办事不求人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品牌。石峰区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三送三解三优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实现政企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双向奔赴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的经验做法获中国网刊登推介。</w:t>
      </w:r>
      <w:r>
        <w:rPr>
          <w:rFonts w:ascii="Times New Roman" w:eastAsia="仿宋_GB2312" w:hAnsi="Times New Roman" w:cs="Times New Roman"/>
          <w:sz w:val="32"/>
          <w:szCs w:val="32"/>
        </w:rPr>
        <w:t xml:space="preserve"> </w:t>
      </w:r>
    </w:p>
    <w:p w:rsidR="006F4A86" w:rsidRDefault="00E83241" w:rsidP="00A15BB1">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二）项目支出绩效情况</w:t>
      </w:r>
    </w:p>
    <w:p w:rsidR="006F4A86" w:rsidRDefault="00E8324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年初预算项目</w:t>
      </w:r>
      <w:r>
        <w:rPr>
          <w:rFonts w:ascii="Times New Roman" w:eastAsia="仿宋_GB2312" w:hAnsi="Times New Roman" w:cs="Times New Roman" w:hint="eastAsia"/>
          <w:sz w:val="32"/>
          <w:szCs w:val="32"/>
        </w:rPr>
        <w:t>业务性专项</w:t>
      </w:r>
      <w:r>
        <w:rPr>
          <w:rFonts w:ascii="Times New Roman" w:eastAsia="仿宋_GB2312" w:hAnsi="Times New Roman" w:cs="Times New Roman"/>
          <w:sz w:val="32"/>
          <w:szCs w:val="32"/>
        </w:rPr>
        <w:t>金额</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6F4A86" w:rsidRDefault="00E8324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业务性专项</w:t>
      </w:r>
      <w:r>
        <w:rPr>
          <w:rFonts w:ascii="Times New Roman" w:eastAsia="仿宋_GB2312" w:hAnsi="Times New Roman" w:cs="Times New Roman"/>
          <w:sz w:val="32"/>
          <w:szCs w:val="32"/>
        </w:rPr>
        <w:t>项目</w:t>
      </w:r>
    </w:p>
    <w:p w:rsidR="00A15BB1" w:rsidRDefault="00A15BB1" w:rsidP="00A15BB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项目支出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万元，主要用于工业经济运行、科技创新、企业培育、企业服务等方面。</w:t>
      </w:r>
      <w:r>
        <w:rPr>
          <w:rFonts w:ascii="Times New Roman" w:eastAsia="仿宋" w:hAnsi="Times New Roman" w:cs="Times New Roman"/>
          <w:sz w:val="32"/>
          <w:szCs w:val="32"/>
        </w:rPr>
        <w:t>石峰区锚定</w:t>
      </w:r>
      <w:r>
        <w:rPr>
          <w:rFonts w:ascii="Times New Roman" w:eastAsia="仿宋" w:hAnsi="Times New Roman" w:cs="Times New Roman"/>
          <w:sz w:val="32"/>
          <w:szCs w:val="32"/>
        </w:rPr>
        <w:t>“</w:t>
      </w:r>
      <w:r>
        <w:rPr>
          <w:rFonts w:ascii="Times New Roman" w:eastAsia="仿宋" w:hAnsi="Times New Roman" w:cs="Times New Roman"/>
          <w:sz w:val="32"/>
          <w:szCs w:val="32"/>
        </w:rPr>
        <w:t>三高四新</w:t>
      </w:r>
      <w:r>
        <w:rPr>
          <w:rFonts w:ascii="Times New Roman" w:eastAsia="仿宋" w:hAnsi="Times New Roman" w:cs="Times New Roman"/>
          <w:sz w:val="32"/>
          <w:szCs w:val="32"/>
        </w:rPr>
        <w:t>”</w:t>
      </w:r>
      <w:r>
        <w:rPr>
          <w:rFonts w:ascii="Times New Roman" w:eastAsia="仿宋" w:hAnsi="Times New Roman" w:cs="Times New Roman"/>
          <w:sz w:val="32"/>
          <w:szCs w:val="32"/>
        </w:rPr>
        <w:t>美好蓝图，紧扣打造</w:t>
      </w:r>
      <w:r>
        <w:rPr>
          <w:rFonts w:ascii="Times New Roman" w:eastAsia="仿宋" w:hAnsi="Times New Roman" w:cs="Times New Roman"/>
          <w:sz w:val="32"/>
          <w:szCs w:val="32"/>
        </w:rPr>
        <w:t>“</w:t>
      </w:r>
      <w:r>
        <w:rPr>
          <w:rFonts w:ascii="Times New Roman" w:eastAsia="仿宋" w:hAnsi="Times New Roman" w:cs="Times New Roman"/>
          <w:sz w:val="32"/>
          <w:szCs w:val="32"/>
        </w:rPr>
        <w:t>三个高地</w:t>
      </w:r>
      <w:r>
        <w:rPr>
          <w:rFonts w:ascii="Times New Roman" w:eastAsia="仿宋" w:hAnsi="Times New Roman" w:cs="Times New Roman"/>
          <w:sz w:val="32"/>
          <w:szCs w:val="32"/>
        </w:rPr>
        <w:t>”</w:t>
      </w:r>
      <w:r>
        <w:rPr>
          <w:rFonts w:ascii="Times New Roman" w:eastAsia="仿宋" w:hAnsi="Times New Roman" w:cs="Times New Roman"/>
          <w:sz w:val="32"/>
          <w:szCs w:val="32"/>
        </w:rPr>
        <w:t>工作主题，积极应对压力挑战，主动作为，扎实推进</w:t>
      </w:r>
      <w:r>
        <w:rPr>
          <w:rFonts w:ascii="Times New Roman" w:eastAsia="仿宋" w:hAnsi="Times New Roman" w:cs="Times New Roman"/>
          <w:sz w:val="32"/>
          <w:szCs w:val="32"/>
        </w:rPr>
        <w:t>“</w:t>
      </w:r>
      <w:r>
        <w:rPr>
          <w:rFonts w:ascii="Times New Roman" w:eastAsia="仿宋" w:hAnsi="Times New Roman" w:cs="Times New Roman"/>
          <w:sz w:val="32"/>
          <w:szCs w:val="32"/>
        </w:rPr>
        <w:t>制造强区</w:t>
      </w:r>
      <w:r>
        <w:rPr>
          <w:rFonts w:ascii="Times New Roman" w:eastAsia="仿宋" w:hAnsi="Times New Roman" w:cs="Times New Roman"/>
          <w:sz w:val="32"/>
          <w:szCs w:val="32"/>
        </w:rPr>
        <w:t>”</w:t>
      </w:r>
      <w:r>
        <w:rPr>
          <w:rFonts w:ascii="Times New Roman" w:eastAsia="仿宋" w:hAnsi="Times New Roman" w:cs="Times New Roman"/>
          <w:sz w:val="32"/>
          <w:szCs w:val="32"/>
        </w:rPr>
        <w:t>建设，促进工业高质量发展，</w:t>
      </w:r>
      <w:r>
        <w:rPr>
          <w:rFonts w:ascii="Times New Roman" w:eastAsia="仿宋" w:hAnsi="Times New Roman" w:cs="Times New Roman"/>
          <w:sz w:val="32"/>
          <w:szCs w:val="32"/>
        </w:rPr>
        <w:t>2023</w:t>
      </w:r>
      <w:r>
        <w:rPr>
          <w:rFonts w:ascii="Times New Roman" w:eastAsia="仿宋" w:hAnsi="Times New Roman" w:cs="Times New Roman"/>
          <w:sz w:val="32"/>
          <w:szCs w:val="32"/>
        </w:rPr>
        <w:t>年工作取得较好成效。</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年，完成规模业增加值</w:t>
      </w:r>
      <w:r>
        <w:rPr>
          <w:rFonts w:ascii="Times New Roman" w:eastAsia="仿宋_GB2312" w:hAnsi="Times New Roman" w:cs="Times New Roman"/>
          <w:sz w:val="32"/>
          <w:szCs w:val="32"/>
        </w:rPr>
        <w:t>136.06</w:t>
      </w:r>
      <w:r>
        <w:rPr>
          <w:rFonts w:ascii="Times New Roman" w:eastAsia="仿宋_GB2312" w:hAnsi="Times New Roman" w:cs="Times New Roman"/>
          <w:sz w:val="32"/>
          <w:szCs w:val="32"/>
        </w:rPr>
        <w:t>亿元，同比增长</w:t>
      </w:r>
      <w:r>
        <w:rPr>
          <w:rFonts w:ascii="Times New Roman" w:eastAsia="仿宋_GB2312" w:hAnsi="Times New Roman" w:cs="Times New Roman"/>
          <w:sz w:val="32"/>
          <w:szCs w:val="32"/>
        </w:rPr>
        <w:t>11.3%</w:t>
      </w:r>
      <w:r>
        <w:rPr>
          <w:rFonts w:ascii="Times New Roman" w:eastAsia="仿宋_GB2312" w:hAnsi="Times New Roman" w:cs="Times New Roman"/>
          <w:sz w:val="32"/>
          <w:szCs w:val="32"/>
        </w:rPr>
        <w:t>，全市排名第一；完成工业投资</w:t>
      </w:r>
      <w:r>
        <w:rPr>
          <w:rFonts w:ascii="Times New Roman" w:eastAsia="仿宋_GB2312" w:hAnsi="Times New Roman" w:cs="Times New Roman"/>
          <w:sz w:val="32"/>
          <w:szCs w:val="32"/>
        </w:rPr>
        <w:t>67.18</w:t>
      </w:r>
      <w:r>
        <w:rPr>
          <w:rFonts w:ascii="Times New Roman" w:eastAsia="仿宋_GB2312" w:hAnsi="Times New Roman" w:cs="Times New Roman"/>
          <w:sz w:val="32"/>
          <w:szCs w:val="32"/>
        </w:rPr>
        <w:t>亿元，同比增长</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；工业税收同比增长</w:t>
      </w:r>
      <w:r>
        <w:rPr>
          <w:rFonts w:ascii="Times New Roman" w:eastAsia="仿宋_GB2312" w:hAnsi="Times New Roman" w:cs="Times New Roman"/>
          <w:sz w:val="32"/>
          <w:szCs w:val="32"/>
        </w:rPr>
        <w:t>145.4%</w:t>
      </w:r>
      <w:r>
        <w:rPr>
          <w:rFonts w:ascii="Times New Roman" w:eastAsia="仿宋_GB2312" w:hAnsi="Times New Roman" w:cs="Times New Roman"/>
          <w:sz w:val="32"/>
          <w:szCs w:val="32"/>
        </w:rPr>
        <w:t>、工业企业开票收入增长</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。其中，轨道交通产业产值增长</w:t>
      </w:r>
      <w:r>
        <w:rPr>
          <w:rFonts w:ascii="Times New Roman" w:eastAsia="仿宋_GB2312" w:hAnsi="Times New Roman" w:cs="Times New Roman"/>
          <w:sz w:val="32"/>
          <w:szCs w:val="32"/>
        </w:rPr>
        <w:t>5.43%</w:t>
      </w:r>
      <w:r>
        <w:rPr>
          <w:rFonts w:ascii="Times New Roman" w:eastAsia="仿宋_GB2312" w:hAnsi="Times New Roman" w:cs="Times New Roman"/>
          <w:sz w:val="32"/>
          <w:szCs w:val="32"/>
        </w:rPr>
        <w:t>，半导体、工业变流及新能源装备等新兴产业产值增长</w:t>
      </w:r>
      <w:r>
        <w:rPr>
          <w:rFonts w:ascii="Times New Roman" w:eastAsia="仿宋_GB2312" w:hAnsi="Times New Roman" w:cs="Times New Roman"/>
          <w:sz w:val="32"/>
          <w:szCs w:val="32"/>
        </w:rPr>
        <w:t>63.5</w:t>
      </w:r>
      <w:r w:rsidR="00046636">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rsidR="006F4A86" w:rsidRDefault="00E8324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年中追加</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科技人才资金</w:t>
      </w:r>
      <w:r>
        <w:rPr>
          <w:rFonts w:ascii="Times New Roman" w:eastAsia="仿宋_GB2312" w:hAnsi="Times New Roman" w:cs="Times New Roman" w:hint="eastAsia"/>
          <w:sz w:val="32"/>
          <w:szCs w:val="32"/>
        </w:rPr>
        <w:t>464.07</w:t>
      </w:r>
      <w:r>
        <w:rPr>
          <w:rFonts w:ascii="Times New Roman" w:eastAsia="仿宋_GB2312" w:hAnsi="Times New Roman" w:cs="Times New Roman" w:hint="eastAsia"/>
          <w:sz w:val="32"/>
          <w:szCs w:val="32"/>
        </w:rPr>
        <w:t>万元，实际支出</w:t>
      </w:r>
      <w:r>
        <w:rPr>
          <w:rFonts w:ascii="Times New Roman" w:eastAsia="仿宋_GB2312" w:hAnsi="Times New Roman" w:cs="Times New Roman" w:hint="eastAsia"/>
          <w:sz w:val="32"/>
          <w:szCs w:val="32"/>
        </w:rPr>
        <w:t>464.07</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万元；创新型省份专项资金</w:t>
      </w:r>
      <w:r>
        <w:rPr>
          <w:rFonts w:ascii="Times New Roman" w:eastAsia="仿宋_GB2312" w:hAnsi="Times New Roman" w:cs="Times New Roman" w:hint="eastAsia"/>
          <w:sz w:val="32"/>
          <w:szCs w:val="32"/>
        </w:rPr>
        <w:t>948.16</w:t>
      </w:r>
      <w:r>
        <w:rPr>
          <w:rFonts w:ascii="Times New Roman" w:eastAsia="仿宋_GB2312" w:hAnsi="Times New Roman" w:cs="Times New Roman" w:hint="eastAsia"/>
          <w:sz w:val="32"/>
          <w:szCs w:val="32"/>
        </w:rPr>
        <w:t>万元，实</w:t>
      </w:r>
      <w:r>
        <w:rPr>
          <w:rFonts w:ascii="Times New Roman" w:eastAsia="仿宋_GB2312" w:hAnsi="Times New Roman" w:cs="Times New Roman" w:hint="eastAsia"/>
          <w:sz w:val="32"/>
          <w:szCs w:val="32"/>
        </w:rPr>
        <w:lastRenderedPageBreak/>
        <w:t>际支出</w:t>
      </w:r>
      <w:r>
        <w:rPr>
          <w:rFonts w:ascii="Times New Roman" w:eastAsia="仿宋_GB2312" w:hAnsi="Times New Roman" w:cs="Times New Roman" w:hint="eastAsia"/>
          <w:sz w:val="32"/>
          <w:szCs w:val="32"/>
        </w:rPr>
        <w:t>948.16</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万元；重点人才项目经费</w:t>
      </w:r>
      <w:r>
        <w:rPr>
          <w:rFonts w:ascii="Times New Roman" w:eastAsia="仿宋_GB2312" w:hAnsi="Times New Roman" w:cs="Times New Roman" w:hint="eastAsia"/>
          <w:sz w:val="32"/>
          <w:szCs w:val="32"/>
        </w:rPr>
        <w:t>707.89</w:t>
      </w:r>
      <w:r>
        <w:rPr>
          <w:rFonts w:ascii="Times New Roman" w:eastAsia="仿宋_GB2312" w:hAnsi="Times New Roman" w:cs="Times New Roman" w:hint="eastAsia"/>
          <w:sz w:val="32"/>
          <w:szCs w:val="32"/>
        </w:rPr>
        <w:t>万元，实际支出</w:t>
      </w:r>
      <w:r>
        <w:rPr>
          <w:rFonts w:ascii="Times New Roman" w:eastAsia="仿宋_GB2312" w:hAnsi="Times New Roman" w:cs="Times New Roman" w:hint="eastAsia"/>
          <w:sz w:val="32"/>
          <w:szCs w:val="32"/>
        </w:rPr>
        <w:t>707.89</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项目实施及绩效情况如下：</w:t>
      </w:r>
    </w:p>
    <w:p w:rsidR="00046636" w:rsidRDefault="00E83241" w:rsidP="000466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科技人才奖励资金</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464.07</w:t>
      </w:r>
      <w:r>
        <w:rPr>
          <w:rFonts w:ascii="Times New Roman" w:eastAsia="仿宋_GB2312" w:hAnsi="Times New Roman" w:cs="Times New Roman"/>
          <w:sz w:val="32"/>
          <w:szCs w:val="32"/>
        </w:rPr>
        <w:t>万元，</w:t>
      </w:r>
      <w:r w:rsidR="00046636">
        <w:rPr>
          <w:rFonts w:ascii="Times New Roman" w:eastAsia="仿宋_GB2312" w:hAnsi="Times New Roman" w:cs="Times New Roman"/>
          <w:sz w:val="32"/>
          <w:szCs w:val="32"/>
        </w:rPr>
        <w:t>主要用于聚焦产业集群、先进计算与人工智能、北斗规模应用、生命健康、公共服务等领域，注重项目落地、成果转化和实际贡献，大力支持具有较强科研和技术创新能力、拥有省级以上科研成果，业绩贡献明显，具备领军潜力的创新创业精英人才和企业创新团队。</w:t>
      </w:r>
    </w:p>
    <w:p w:rsidR="00046636" w:rsidRDefault="00E83241" w:rsidP="00046636">
      <w:pPr>
        <w:tabs>
          <w:tab w:val="left" w:pos="1736"/>
          <w:tab w:val="left" w:pos="7560"/>
        </w:tabs>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创新型省份</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948.16</w:t>
      </w:r>
      <w:r>
        <w:rPr>
          <w:rFonts w:ascii="Times New Roman" w:eastAsia="仿宋_GB2312" w:hAnsi="Times New Roman" w:cs="Times New Roman"/>
          <w:sz w:val="32"/>
          <w:szCs w:val="32"/>
        </w:rPr>
        <w:t>万元，</w:t>
      </w:r>
      <w:r w:rsidR="00046636">
        <w:rPr>
          <w:rFonts w:ascii="Times New Roman" w:eastAsia="仿宋_GB2312" w:hAnsi="Times New Roman" w:cs="Times New Roman"/>
          <w:sz w:val="32"/>
          <w:szCs w:val="32"/>
        </w:rPr>
        <w:t>主要用于支持基于国内或世界前沿的先进技术及团队重大创新项目；支持新注册的小微企业、新引进的高端人才团队开展科技成果、专利产业化；支持市级创新平台建设；支持社会发展及农业科技成果转化专项</w:t>
      </w:r>
      <w:r w:rsidR="00046636">
        <w:rPr>
          <w:rFonts w:ascii="Times New Roman" w:eastAsia="仿宋_GB2312" w:hAnsi="Times New Roman" w:cs="Times New Roman" w:hint="eastAsia"/>
          <w:sz w:val="32"/>
          <w:szCs w:val="32"/>
        </w:rPr>
        <w:t>；</w:t>
      </w:r>
      <w:r w:rsidR="00046636">
        <w:rPr>
          <w:rFonts w:ascii="Times New Roman" w:eastAsia="仿宋_GB2312" w:hAnsi="Times New Roman" w:cs="Times New Roman"/>
          <w:sz w:val="32"/>
          <w:szCs w:val="32"/>
        </w:rPr>
        <w:t>用于支持建立以企业为主体、市场为导向、产学研深度融合的技术创新体系下的新型研发机构，支持新型研发机构提升原始创新能力、聚集高端创新资源、开展产业技术研发和成果转化。</w:t>
      </w:r>
    </w:p>
    <w:p w:rsidR="006F4A86" w:rsidRDefault="00E8324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重点人才</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707.89</w:t>
      </w:r>
      <w:r>
        <w:rPr>
          <w:rFonts w:ascii="Times New Roman" w:eastAsia="仿宋_GB2312" w:hAnsi="Times New Roman" w:cs="Times New Roman"/>
          <w:sz w:val="32"/>
          <w:szCs w:val="32"/>
        </w:rPr>
        <w:t>万元，主要用于</w:t>
      </w:r>
      <w:r w:rsidR="00046636">
        <w:rPr>
          <w:rFonts w:ascii="Times New Roman" w:eastAsia="仿宋_GB2312" w:hAnsi="Times New Roman" w:cs="Times New Roman" w:hint="eastAsia"/>
          <w:sz w:val="32"/>
          <w:szCs w:val="32"/>
        </w:rPr>
        <w:t>2022</w:t>
      </w:r>
      <w:r w:rsidR="00046636">
        <w:rPr>
          <w:rFonts w:ascii="Times New Roman" w:eastAsia="仿宋_GB2312" w:hAnsi="Times New Roman" w:cs="Times New Roman" w:hint="eastAsia"/>
          <w:sz w:val="32"/>
          <w:szCs w:val="32"/>
        </w:rPr>
        <w:t>年度株洲市重点产业人才奖励，</w:t>
      </w:r>
      <w:r w:rsidR="00046636">
        <w:rPr>
          <w:rFonts w:ascii="Times New Roman" w:eastAsia="仿宋_GB2312" w:hAnsi="Times New Roman" w:cs="Times New Roman"/>
          <w:sz w:val="32"/>
          <w:szCs w:val="32"/>
        </w:rPr>
        <w:t>强化服务意识，提升服务水平，企业</w:t>
      </w:r>
      <w:r w:rsidR="00046636">
        <w:rPr>
          <w:rFonts w:ascii="Times New Roman" w:eastAsia="仿宋_GB2312" w:hAnsi="Times New Roman" w:cs="Times New Roman" w:hint="eastAsia"/>
          <w:sz w:val="32"/>
          <w:szCs w:val="32"/>
        </w:rPr>
        <w:t>和产业人才</w:t>
      </w:r>
      <w:r w:rsidR="00046636">
        <w:rPr>
          <w:rFonts w:ascii="Times New Roman" w:eastAsia="仿宋_GB2312" w:hAnsi="Times New Roman" w:cs="Times New Roman"/>
          <w:sz w:val="32"/>
          <w:szCs w:val="32"/>
        </w:rPr>
        <w:t>的温暖感和获得感明显增强，不断推动工业经济高质量发展。</w:t>
      </w:r>
    </w:p>
    <w:p w:rsidR="006F4A86" w:rsidRDefault="00E8324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6F4A86" w:rsidRDefault="00E83241">
      <w:pPr>
        <w:tabs>
          <w:tab w:val="left" w:pos="1736"/>
        </w:tabs>
        <w:spacing w:line="560" w:lineRule="exact"/>
        <w:ind w:firstLineChars="200" w:firstLine="640"/>
        <w:rPr>
          <w:rFonts w:eastAsia="仿宋_GB2312" w:cs="仿宋_GB2312"/>
          <w:sz w:val="32"/>
          <w:szCs w:val="32"/>
        </w:rPr>
      </w:pPr>
      <w:r>
        <w:rPr>
          <w:rFonts w:eastAsia="仿宋_GB2312" w:cs="仿宋_GB2312" w:hint="eastAsia"/>
          <w:sz w:val="32"/>
          <w:szCs w:val="32"/>
        </w:rPr>
        <w:t>对照会计基础工作规范化规定的要求，我局绩效管理也还存在一定差距，如预算编制工作有待细化、预算的合理性和执行力度还需加强等。在今后的工作中，将着力加强预算编制管理，科学规划预算编制工作，进一步提高预算编制的科学性、合理性、严谨性和可控性。</w:t>
      </w:r>
    </w:p>
    <w:p w:rsidR="006F4A86" w:rsidRDefault="00E83241">
      <w:pPr>
        <w:numPr>
          <w:ilvl w:val="0"/>
          <w:numId w:val="1"/>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其他需要说明的情况</w:t>
      </w:r>
    </w:p>
    <w:p w:rsidR="006F4A86" w:rsidRDefault="00E83241">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sz w:val="32"/>
          <w:szCs w:val="32"/>
        </w:rPr>
        <w:t>无其他需要说明的情况</w:t>
      </w:r>
      <w:bookmarkStart w:id="0" w:name="_GoBack"/>
      <w:bookmarkEnd w:id="0"/>
      <w:r>
        <w:rPr>
          <w:rFonts w:ascii="Times New Roman" w:eastAsia="仿宋_GB2312" w:hAnsi="Times New Roman" w:cs="Times New Roman"/>
          <w:sz w:val="32"/>
          <w:szCs w:val="32"/>
        </w:rPr>
        <w:t>。</w:t>
      </w:r>
    </w:p>
    <w:p w:rsidR="006F4A86" w:rsidRDefault="006F4A8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p>
    <w:p w:rsidR="006F4A86" w:rsidRDefault="006F4A86"/>
    <w:sectPr w:rsidR="006F4A86" w:rsidSect="006F4A86">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241" w:rsidRDefault="00E83241" w:rsidP="006F4A86">
      <w:r>
        <w:separator/>
      </w:r>
    </w:p>
  </w:endnote>
  <w:endnote w:type="continuationSeparator" w:id="1">
    <w:p w:rsidR="00E83241" w:rsidRDefault="00E83241" w:rsidP="006F4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A86" w:rsidRDefault="006F4A86">
    <w:pPr>
      <w:pStyle w:val="a5"/>
      <w:ind w:right="360" w:firstLine="360"/>
      <w:rPr>
        <w:rFonts w:cs="Times New Roman"/>
      </w:rPr>
    </w:pPr>
    <w:r w:rsidRPr="006F4A86">
      <w:pict>
        <v:shapetype id="_x0000_t202" coordsize="21600,21600" o:spt="202" path="m,l,21600r21600,l21600,xe">
          <v:stroke joinstyle="miter"/>
          <v:path gradientshapeok="t" o:connecttype="rect"/>
        </v:shapetype>
        <v:shape id="_x0000_s4100" type="#_x0000_t202" style="position:absolute;left:0;text-align:left;margin-left:104pt;margin-top:0;width:2in;height:2in;z-index:1;mso-wrap-style:none;mso-position-horizontal:outside;mso-position-horizontal-relative:margin" filled="f" stroked="f">
          <v:textbox style="mso-fit-shape-to-text:t" inset="0,0,0,0">
            <w:txbxContent>
              <w:p w:rsidR="006F4A86" w:rsidRPr="00E83241" w:rsidRDefault="00E83241">
                <w:pPr>
                  <w:pStyle w:val="a5"/>
                  <w:rPr>
                    <w:rFonts w:ascii="宋体" w:hAnsi="宋体" w:cs="宋体"/>
                    <w:sz w:val="28"/>
                    <w:szCs w:val="28"/>
                  </w:rPr>
                </w:pPr>
                <w:r w:rsidRPr="00E83241">
                  <w:rPr>
                    <w:rFonts w:ascii="宋体" w:hAnsi="宋体" w:cs="宋体" w:hint="eastAsia"/>
                    <w:sz w:val="28"/>
                    <w:szCs w:val="28"/>
                  </w:rPr>
                  <w:t>—</w:t>
                </w:r>
                <w:r w:rsidRPr="00E83241">
                  <w:rPr>
                    <w:rFonts w:ascii="宋体" w:hAnsi="宋体" w:cs="宋体" w:hint="eastAsia"/>
                    <w:sz w:val="28"/>
                    <w:szCs w:val="28"/>
                  </w:rPr>
                  <w:t xml:space="preserve"> </w:t>
                </w:r>
                <w:r w:rsidR="006F4A86" w:rsidRPr="00E83241">
                  <w:rPr>
                    <w:rFonts w:ascii="宋体" w:hAnsi="宋体" w:cs="宋体" w:hint="eastAsia"/>
                    <w:sz w:val="28"/>
                    <w:szCs w:val="28"/>
                  </w:rPr>
                  <w:fldChar w:fldCharType="begin"/>
                </w:r>
                <w:r w:rsidRPr="00E83241">
                  <w:rPr>
                    <w:rFonts w:ascii="宋体" w:hAnsi="宋体" w:cs="宋体" w:hint="eastAsia"/>
                    <w:sz w:val="28"/>
                    <w:szCs w:val="28"/>
                  </w:rPr>
                  <w:instrText xml:space="preserve"> PAGE  \* MERGEFORMAT </w:instrText>
                </w:r>
                <w:r w:rsidR="006F4A86" w:rsidRPr="00E83241">
                  <w:rPr>
                    <w:rFonts w:ascii="宋体" w:hAnsi="宋体" w:cs="宋体" w:hint="eastAsia"/>
                    <w:sz w:val="28"/>
                    <w:szCs w:val="28"/>
                  </w:rPr>
                  <w:fldChar w:fldCharType="separate"/>
                </w:r>
                <w:r w:rsidR="00046636" w:rsidRPr="00E83241">
                  <w:rPr>
                    <w:rFonts w:ascii="宋体" w:hAnsi="宋体" w:cs="宋体"/>
                    <w:noProof/>
                    <w:sz w:val="28"/>
                    <w:szCs w:val="28"/>
                  </w:rPr>
                  <w:t>1</w:t>
                </w:r>
                <w:r w:rsidR="006F4A86" w:rsidRPr="00E83241">
                  <w:rPr>
                    <w:rFonts w:ascii="宋体" w:hAnsi="宋体" w:cs="宋体" w:hint="eastAsia"/>
                    <w:sz w:val="28"/>
                    <w:szCs w:val="28"/>
                  </w:rPr>
                  <w:fldChar w:fldCharType="end"/>
                </w:r>
                <w:r w:rsidRPr="00E83241">
                  <w:rPr>
                    <w:rFonts w:ascii="宋体" w:hAnsi="宋体" w:cs="宋体" w:hint="eastAsia"/>
                    <w:sz w:val="28"/>
                    <w:szCs w:val="28"/>
                  </w:rPr>
                  <w:t xml:space="preserve"> </w:t>
                </w:r>
                <w:r w:rsidRPr="00E83241">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A86" w:rsidRDefault="006F4A86">
    <w:pPr>
      <w:pStyle w:val="a5"/>
      <w:ind w:right="360" w:firstLine="360"/>
      <w:rPr>
        <w:rFonts w:cs="Times New Roman"/>
      </w:rPr>
    </w:pPr>
    <w:r w:rsidRPr="006F4A86">
      <w:pict>
        <v:shapetype id="_x0000_t202" coordsize="21600,21600" o:spt="202" path="m,l,21600r21600,l21600,xe">
          <v:stroke joinstyle="miter"/>
          <v:path gradientshapeok="t" o:connecttype="rect"/>
        </v:shapetype>
        <v:shape id="_x0000_s4099" type="#_x0000_t202" style="position:absolute;left:0;text-align:left;margin-left:104pt;margin-top:0;width:2in;height:2in;z-index:2;mso-wrap-style:none;mso-position-horizontal:outside;mso-position-horizontal-relative:margin" filled="f" stroked="f">
          <v:textbox style="mso-fit-shape-to-text:t" inset="0,0,0,0">
            <w:txbxContent>
              <w:p w:rsidR="006F4A86" w:rsidRPr="00E83241" w:rsidRDefault="00E83241">
                <w:pPr>
                  <w:pStyle w:val="a5"/>
                  <w:rPr>
                    <w:rFonts w:ascii="宋体" w:hAnsi="宋体" w:cs="宋体"/>
                    <w:sz w:val="28"/>
                    <w:szCs w:val="28"/>
                  </w:rPr>
                </w:pPr>
                <w:r w:rsidRPr="00E83241">
                  <w:rPr>
                    <w:rFonts w:ascii="宋体" w:hAnsi="宋体" w:cs="宋体" w:hint="eastAsia"/>
                    <w:sz w:val="28"/>
                    <w:szCs w:val="28"/>
                  </w:rPr>
                  <w:t>—</w:t>
                </w:r>
                <w:r w:rsidRPr="00E83241">
                  <w:rPr>
                    <w:rFonts w:ascii="宋体" w:hAnsi="宋体" w:cs="宋体" w:hint="eastAsia"/>
                    <w:sz w:val="28"/>
                    <w:szCs w:val="28"/>
                  </w:rPr>
                  <w:t xml:space="preserve"> </w:t>
                </w:r>
                <w:r w:rsidR="006F4A86" w:rsidRPr="00E83241">
                  <w:rPr>
                    <w:rFonts w:ascii="宋体" w:hAnsi="宋体" w:cs="宋体" w:hint="eastAsia"/>
                    <w:sz w:val="28"/>
                    <w:szCs w:val="28"/>
                  </w:rPr>
                  <w:fldChar w:fldCharType="begin"/>
                </w:r>
                <w:r w:rsidRPr="00E83241">
                  <w:rPr>
                    <w:rFonts w:ascii="宋体" w:hAnsi="宋体" w:cs="宋体" w:hint="eastAsia"/>
                    <w:sz w:val="28"/>
                    <w:szCs w:val="28"/>
                  </w:rPr>
                  <w:instrText xml:space="preserve"> PAGE  \* MERGEFORMAT </w:instrText>
                </w:r>
                <w:r w:rsidR="006F4A86" w:rsidRPr="00E83241">
                  <w:rPr>
                    <w:rFonts w:ascii="宋体" w:hAnsi="宋体" w:cs="宋体" w:hint="eastAsia"/>
                    <w:sz w:val="28"/>
                    <w:szCs w:val="28"/>
                  </w:rPr>
                  <w:fldChar w:fldCharType="separate"/>
                </w:r>
                <w:r w:rsidR="00046636" w:rsidRPr="00E83241">
                  <w:rPr>
                    <w:rFonts w:ascii="宋体" w:hAnsi="宋体" w:cs="宋体"/>
                    <w:noProof/>
                    <w:sz w:val="28"/>
                    <w:szCs w:val="28"/>
                  </w:rPr>
                  <w:t>2</w:t>
                </w:r>
                <w:r w:rsidR="006F4A86" w:rsidRPr="00E83241">
                  <w:rPr>
                    <w:rFonts w:ascii="宋体" w:hAnsi="宋体" w:cs="宋体" w:hint="eastAsia"/>
                    <w:sz w:val="28"/>
                    <w:szCs w:val="28"/>
                  </w:rPr>
                  <w:fldChar w:fldCharType="end"/>
                </w:r>
                <w:r w:rsidRPr="00E83241">
                  <w:rPr>
                    <w:rFonts w:ascii="宋体" w:hAnsi="宋体" w:cs="宋体" w:hint="eastAsia"/>
                    <w:sz w:val="28"/>
                    <w:szCs w:val="28"/>
                  </w:rPr>
                  <w:t xml:space="preserve"> </w:t>
                </w:r>
                <w:r w:rsidRPr="00E83241">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241" w:rsidRDefault="00E83241" w:rsidP="006F4A86">
      <w:r>
        <w:separator/>
      </w:r>
    </w:p>
  </w:footnote>
  <w:footnote w:type="continuationSeparator" w:id="1">
    <w:p w:rsidR="00E83241" w:rsidRDefault="00E83241" w:rsidP="006F4A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kyMDA4NGMyY2E4MDNhYzk0Yjc1MDE2NGE5MTQ5MzMifQ=="/>
  </w:docVars>
  <w:rsids>
    <w:rsidRoot w:val="008E6491"/>
    <w:rsid w:val="000248EA"/>
    <w:rsid w:val="00046636"/>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6F4A86"/>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15BB1"/>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83241"/>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2B78FB"/>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5C75AD"/>
    <w:rsid w:val="12CB3584"/>
    <w:rsid w:val="132C7419"/>
    <w:rsid w:val="13461F88"/>
    <w:rsid w:val="14777C70"/>
    <w:rsid w:val="151B4301"/>
    <w:rsid w:val="15647297"/>
    <w:rsid w:val="1565539D"/>
    <w:rsid w:val="15B41D83"/>
    <w:rsid w:val="163F33FE"/>
    <w:rsid w:val="16525605"/>
    <w:rsid w:val="1663351B"/>
    <w:rsid w:val="174E4C23"/>
    <w:rsid w:val="1750216C"/>
    <w:rsid w:val="179D57AB"/>
    <w:rsid w:val="17A13C65"/>
    <w:rsid w:val="18B17961"/>
    <w:rsid w:val="192B318F"/>
    <w:rsid w:val="19A417B7"/>
    <w:rsid w:val="1A1E487B"/>
    <w:rsid w:val="1A3B2435"/>
    <w:rsid w:val="1A5E2762"/>
    <w:rsid w:val="1A6B02C6"/>
    <w:rsid w:val="1A7954E3"/>
    <w:rsid w:val="1AEC4F67"/>
    <w:rsid w:val="1B070EDC"/>
    <w:rsid w:val="1BB54765"/>
    <w:rsid w:val="1BEF0709"/>
    <w:rsid w:val="1C6E2FB7"/>
    <w:rsid w:val="1D4101A2"/>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99A0558"/>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F4A86"/>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rsid w:val="006F4A86"/>
    <w:rPr>
      <w:rFonts w:ascii="Times New Roman" w:hAnsi="Times New Roman" w:cs="Times New Roman"/>
    </w:rPr>
  </w:style>
  <w:style w:type="paragraph" w:styleId="a4">
    <w:name w:val="Date"/>
    <w:basedOn w:val="a"/>
    <w:next w:val="a"/>
    <w:link w:val="Char"/>
    <w:autoRedefine/>
    <w:uiPriority w:val="99"/>
    <w:semiHidden/>
    <w:qFormat/>
    <w:rsid w:val="006F4A86"/>
    <w:pPr>
      <w:ind w:leftChars="2500" w:left="100"/>
    </w:pPr>
  </w:style>
  <w:style w:type="paragraph" w:styleId="a5">
    <w:name w:val="footer"/>
    <w:basedOn w:val="a"/>
    <w:link w:val="Char0"/>
    <w:uiPriority w:val="99"/>
    <w:qFormat/>
    <w:rsid w:val="006F4A86"/>
    <w:pPr>
      <w:tabs>
        <w:tab w:val="center" w:pos="4153"/>
        <w:tab w:val="right" w:pos="8306"/>
      </w:tabs>
      <w:snapToGrid w:val="0"/>
      <w:jc w:val="left"/>
    </w:pPr>
    <w:rPr>
      <w:sz w:val="18"/>
      <w:szCs w:val="18"/>
    </w:rPr>
  </w:style>
  <w:style w:type="paragraph" w:styleId="a6">
    <w:name w:val="header"/>
    <w:basedOn w:val="a"/>
    <w:link w:val="Char1"/>
    <w:uiPriority w:val="99"/>
    <w:semiHidden/>
    <w:qFormat/>
    <w:rsid w:val="006F4A86"/>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qFormat/>
    <w:rsid w:val="006F4A86"/>
  </w:style>
  <w:style w:type="paragraph" w:customStyle="1" w:styleId="a8">
    <w:name w:val="正文文字"/>
    <w:basedOn w:val="a"/>
    <w:next w:val="a"/>
    <w:uiPriority w:val="99"/>
    <w:qFormat/>
    <w:rsid w:val="006F4A86"/>
    <w:pPr>
      <w:spacing w:after="120"/>
    </w:pPr>
  </w:style>
  <w:style w:type="character" w:customStyle="1" w:styleId="Char1">
    <w:name w:val="页眉 Char"/>
    <w:basedOn w:val="a1"/>
    <w:link w:val="a6"/>
    <w:uiPriority w:val="99"/>
    <w:semiHidden/>
    <w:qFormat/>
    <w:locked/>
    <w:rsid w:val="006F4A86"/>
    <w:rPr>
      <w:sz w:val="18"/>
      <w:szCs w:val="18"/>
    </w:rPr>
  </w:style>
  <w:style w:type="character" w:customStyle="1" w:styleId="Char0">
    <w:name w:val="页脚 Char"/>
    <w:basedOn w:val="a1"/>
    <w:link w:val="a5"/>
    <w:uiPriority w:val="99"/>
    <w:qFormat/>
    <w:locked/>
    <w:rsid w:val="006F4A86"/>
    <w:rPr>
      <w:sz w:val="18"/>
      <w:szCs w:val="18"/>
    </w:rPr>
  </w:style>
  <w:style w:type="character" w:customStyle="1" w:styleId="Char">
    <w:name w:val="日期 Char"/>
    <w:basedOn w:val="a1"/>
    <w:link w:val="a4"/>
    <w:uiPriority w:val="99"/>
    <w:semiHidden/>
    <w:qFormat/>
    <w:locked/>
    <w:rsid w:val="006F4A86"/>
  </w:style>
  <w:style w:type="character" w:customStyle="1" w:styleId="font41">
    <w:name w:val="font41"/>
    <w:basedOn w:val="a1"/>
    <w:uiPriority w:val="99"/>
    <w:qFormat/>
    <w:rsid w:val="006F4A86"/>
    <w:rPr>
      <w:rFonts w:ascii="宋体" w:eastAsia="宋体" w:hAnsi="宋体" w:cs="宋体"/>
      <w:b/>
      <w:bCs/>
      <w:color w:val="000000"/>
      <w:sz w:val="44"/>
      <w:szCs w:val="44"/>
      <w:u w:val="none"/>
    </w:rPr>
  </w:style>
  <w:style w:type="character" w:customStyle="1" w:styleId="font11">
    <w:name w:val="font11"/>
    <w:basedOn w:val="a1"/>
    <w:uiPriority w:val="99"/>
    <w:qFormat/>
    <w:rsid w:val="006F4A86"/>
    <w:rPr>
      <w:rFonts w:ascii="宋体" w:eastAsia="宋体" w:hAnsi="宋体" w:cs="宋体"/>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657</Words>
  <Characters>3746</Characters>
  <Application>Microsoft Office Word</Application>
  <DocSecurity>0</DocSecurity>
  <Lines>31</Lines>
  <Paragraphs>8</Paragraphs>
  <ScaleCrop>false</ScaleCrop>
  <Company>Microsoft</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31</cp:revision>
  <cp:lastPrinted>2023-08-28T07:21:00Z</cp:lastPrinted>
  <dcterms:created xsi:type="dcterms:W3CDTF">2019-01-15T03:17:00Z</dcterms:created>
  <dcterms:modified xsi:type="dcterms:W3CDTF">2024-06-26T03:38:00Z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D046AB22908C472C8AD60C17670F1370</vt:lpwstr>
  </property>
</Properties>
</file>