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01AC35">
      <w:pPr>
        <w:pStyle w:val="16"/>
        <w:jc w:val="both"/>
        <w:rPr>
          <w:rFonts w:ascii="Times New Roman" w:hAnsi="Times New Roman" w:cs="Times New Roman"/>
          <w:sz w:val="56"/>
          <w:szCs w:val="56"/>
        </w:rPr>
      </w:pPr>
    </w:p>
    <w:p w14:paraId="540413E1">
      <w:pPr>
        <w:pStyle w:val="16"/>
        <w:jc w:val="both"/>
        <w:rPr>
          <w:rFonts w:ascii="Times New Roman" w:hAnsi="Times New Roman" w:cs="Times New Roman"/>
          <w:sz w:val="56"/>
          <w:szCs w:val="56"/>
        </w:rPr>
      </w:pPr>
    </w:p>
    <w:p w14:paraId="42EDD767">
      <w:pPr>
        <w:pStyle w:val="16"/>
        <w:jc w:val="both"/>
        <w:rPr>
          <w:rFonts w:ascii="Times New Roman" w:hAnsi="Times New Roman" w:cs="Times New Roman"/>
          <w:sz w:val="84"/>
          <w:szCs w:val="84"/>
        </w:rPr>
      </w:pPr>
    </w:p>
    <w:p w14:paraId="467F69B9">
      <w:pPr>
        <w:pStyle w:val="16"/>
        <w:jc w:val="center"/>
        <w:rPr>
          <w:rFonts w:ascii="Times New Roman" w:hAnsi="Times New Roman" w:eastAsia="方正小标宋简体" w:cs="Times New Roman"/>
          <w:sz w:val="76"/>
          <w:szCs w:val="76"/>
        </w:rPr>
      </w:pPr>
    </w:p>
    <w:p w14:paraId="0824DB58">
      <w:pPr>
        <w:pStyle w:val="16"/>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2023年度</w:t>
      </w:r>
    </w:p>
    <w:p w14:paraId="2D74B161">
      <w:pPr>
        <w:pStyle w:val="16"/>
        <w:jc w:val="center"/>
        <w:rPr>
          <w:rFonts w:ascii="Times New Roman" w:hAnsi="Times New Roman" w:eastAsia="方正小标宋简体" w:cs="Times New Roman"/>
          <w:sz w:val="72"/>
          <w:szCs w:val="72"/>
        </w:rPr>
      </w:pPr>
      <w:bookmarkStart w:id="0" w:name="_GoBack"/>
      <w:r>
        <w:rPr>
          <w:rFonts w:hint="eastAsia" w:ascii="Times New Roman" w:hAnsi="Times New Roman" w:eastAsia="方正小标宋简体" w:cs="方正小标宋简体"/>
          <w:sz w:val="72"/>
          <w:szCs w:val="72"/>
        </w:rPr>
        <w:t>株洲市石峰区疾病预防控制中心</w:t>
      </w:r>
      <w:bookmarkEnd w:id="0"/>
      <w:r>
        <w:rPr>
          <w:rFonts w:ascii="Times New Roman" w:hAnsi="Times New Roman" w:eastAsia="方正小标宋简体" w:cs="Times New Roman"/>
          <w:sz w:val="72"/>
          <w:szCs w:val="72"/>
        </w:rPr>
        <w:t>部门决算</w:t>
      </w:r>
    </w:p>
    <w:p w14:paraId="4334BDD7">
      <w:pPr>
        <w:pStyle w:val="16"/>
        <w:jc w:val="both"/>
        <w:rPr>
          <w:rFonts w:ascii="Times New Roman" w:hAnsi="Times New Roman" w:cs="Times New Roman"/>
          <w:sz w:val="32"/>
          <w:szCs w:val="32"/>
        </w:rPr>
      </w:pPr>
    </w:p>
    <w:p w14:paraId="530B48E0">
      <w:pPr>
        <w:pStyle w:val="16"/>
        <w:spacing w:line="440" w:lineRule="exact"/>
        <w:ind w:firstLine="640" w:firstLineChars="200"/>
        <w:jc w:val="center"/>
        <w:rPr>
          <w:rFonts w:ascii="Times New Roman" w:hAnsi="Times New Roman" w:cs="Times New Roman"/>
          <w:sz w:val="32"/>
          <w:szCs w:val="32"/>
        </w:rPr>
      </w:pPr>
      <w:r>
        <w:rPr>
          <w:rFonts w:ascii="Times New Roman" w:hAnsi="Times New Roman" w:cs="Times New Roman"/>
          <w:sz w:val="32"/>
          <w:szCs w:val="32"/>
        </w:rPr>
        <w:br w:type="page"/>
      </w:r>
      <w:r>
        <w:rPr>
          <w:rFonts w:ascii="Times New Roman" w:hAnsi="Times New Roman" w:cs="Times New Roman"/>
          <w:sz w:val="32"/>
          <w:szCs w:val="32"/>
        </w:rPr>
        <w:t>目录</w:t>
      </w:r>
    </w:p>
    <w:p w14:paraId="15B2BD59">
      <w:pPr>
        <w:pStyle w:val="16"/>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 xml:space="preserve">第一部分  </w:t>
      </w:r>
      <w:r>
        <w:rPr>
          <w:rFonts w:hint="eastAsia" w:ascii="Times New Roman" w:hAnsi="Times New Roman" w:cs="Times New Roman"/>
          <w:sz w:val="32"/>
          <w:szCs w:val="32"/>
        </w:rPr>
        <w:t>株洲市石峰区疾病预防控制中心</w:t>
      </w:r>
      <w:r>
        <w:rPr>
          <w:rFonts w:ascii="Times New Roman" w:hAnsi="Times New Roman" w:cs="Times New Roman"/>
          <w:sz w:val="32"/>
          <w:szCs w:val="32"/>
        </w:rPr>
        <w:t>概况</w:t>
      </w:r>
    </w:p>
    <w:p w14:paraId="57FCA98F">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0580422C">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w:t>
      </w:r>
    </w:p>
    <w:p w14:paraId="6DC0161E">
      <w:pPr>
        <w:pStyle w:val="16"/>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第二部分  2023年度部门决算表</w:t>
      </w:r>
    </w:p>
    <w:p w14:paraId="7CF752A4">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26A496D6">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329EBA02">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757B1EA3">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5DD4FDBD">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2C965EDB">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3BF024B1">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七、一般公共预算财政拨款“三公”经费支出决算表</w:t>
      </w:r>
    </w:p>
    <w:p w14:paraId="2D5ECA8F">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八、政府性基金预算财政拨款收入支出决算表</w:t>
      </w:r>
    </w:p>
    <w:p w14:paraId="31B4F8E3">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九、国有资本经营预算财政拨款支出决算表</w:t>
      </w:r>
    </w:p>
    <w:p w14:paraId="6D397F13">
      <w:pPr>
        <w:pStyle w:val="16"/>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第三部分  2023年度部门决算情况说明</w:t>
      </w:r>
    </w:p>
    <w:p w14:paraId="672D247B">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0C59122E">
      <w:pPr>
        <w:spacing w:line="4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2FE15246">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572BA1D0">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544988C2">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699B36D3">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5C3FEBED">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七、一般公共预算财政拨款“三公”经费支出决算情况说明</w:t>
      </w:r>
    </w:p>
    <w:p w14:paraId="0A13E021">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243632A8">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九、国有资本经营预算支出决算情况</w:t>
      </w:r>
    </w:p>
    <w:p w14:paraId="4AC84A08">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十、机关运行经费支出说明</w:t>
      </w:r>
    </w:p>
    <w:p w14:paraId="3760592B">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十一、一般性支出情况说明</w:t>
      </w:r>
    </w:p>
    <w:p w14:paraId="1A26AD3D">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十二、政府采购支出说明</w:t>
      </w:r>
    </w:p>
    <w:p w14:paraId="04C595BD">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十三、国有资产占用情况说明</w:t>
      </w:r>
    </w:p>
    <w:p w14:paraId="14F381D3">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十四、重点项目预算的绩效评价结果等情况说明</w:t>
      </w:r>
    </w:p>
    <w:p w14:paraId="4A0850DF">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十五、其他重要事项说明</w:t>
      </w:r>
    </w:p>
    <w:p w14:paraId="0A773518">
      <w:pPr>
        <w:pStyle w:val="16"/>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第四部分  名词解释</w:t>
      </w:r>
    </w:p>
    <w:p w14:paraId="08C3E292">
      <w:pPr>
        <w:pStyle w:val="16"/>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第五部分  附件</w:t>
      </w:r>
    </w:p>
    <w:p w14:paraId="06A595CC">
      <w:pPr>
        <w:pStyle w:val="16"/>
        <w:spacing w:line="440" w:lineRule="exact"/>
        <w:jc w:val="both"/>
        <w:rPr>
          <w:rFonts w:ascii="Times New Roman" w:hAnsi="Times New Roman" w:cs="Times New Roman"/>
          <w:sz w:val="84"/>
          <w:szCs w:val="84"/>
        </w:rPr>
      </w:pPr>
      <w:r>
        <w:rPr>
          <w:rFonts w:ascii="Times New Roman" w:hAnsi="Times New Roman" w:cs="Times New Roman"/>
          <w:sz w:val="84"/>
          <w:szCs w:val="84"/>
        </w:rPr>
        <w:br w:type="page"/>
      </w:r>
    </w:p>
    <w:p w14:paraId="6C1F1651">
      <w:pPr>
        <w:pStyle w:val="16"/>
        <w:jc w:val="both"/>
        <w:rPr>
          <w:rFonts w:ascii="Times New Roman" w:hAnsi="Times New Roman" w:cs="Times New Roman"/>
          <w:sz w:val="84"/>
          <w:szCs w:val="84"/>
        </w:rPr>
      </w:pPr>
    </w:p>
    <w:p w14:paraId="7D06F401">
      <w:pPr>
        <w:pStyle w:val="16"/>
        <w:jc w:val="both"/>
        <w:rPr>
          <w:rFonts w:ascii="Times New Roman" w:hAnsi="Times New Roman" w:cs="Times New Roman"/>
          <w:sz w:val="84"/>
          <w:szCs w:val="84"/>
        </w:rPr>
      </w:pPr>
    </w:p>
    <w:p w14:paraId="7602BDE8">
      <w:pPr>
        <w:pStyle w:val="16"/>
        <w:jc w:val="center"/>
        <w:rPr>
          <w:rFonts w:ascii="Times New Roman" w:hAnsi="Times New Roman" w:eastAsia="方正小标宋简体" w:cs="Times New Roman"/>
          <w:w w:val="90"/>
          <w:sz w:val="76"/>
          <w:szCs w:val="76"/>
        </w:rPr>
      </w:pPr>
    </w:p>
    <w:p w14:paraId="11773AE7">
      <w:pPr>
        <w:pStyle w:val="16"/>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第一部分</w:t>
      </w:r>
    </w:p>
    <w:p w14:paraId="7F24B040">
      <w:pPr>
        <w:pStyle w:val="16"/>
        <w:jc w:val="center"/>
        <w:rPr>
          <w:rFonts w:ascii="Times New Roman" w:hAnsi="Times New Roman" w:eastAsia="方正小标宋简体" w:cs="Times New Roman"/>
          <w:sz w:val="76"/>
          <w:szCs w:val="76"/>
        </w:rPr>
      </w:pPr>
    </w:p>
    <w:p w14:paraId="3591B313">
      <w:pPr>
        <w:pStyle w:val="16"/>
        <w:jc w:val="center"/>
        <w:rPr>
          <w:rFonts w:ascii="Times New Roman" w:hAnsi="Times New Roman" w:eastAsia="方正小标宋简体" w:cs="Times New Roman"/>
          <w:sz w:val="76"/>
          <w:szCs w:val="76"/>
        </w:rPr>
      </w:pPr>
      <w:r>
        <w:rPr>
          <w:rFonts w:hint="eastAsia" w:ascii="Times New Roman" w:hAnsi="Times New Roman" w:eastAsia="方正小标宋简体" w:cs="Times New Roman"/>
          <w:sz w:val="72"/>
          <w:szCs w:val="72"/>
        </w:rPr>
        <w:t>株洲市石峰区疾病预防控制中心</w:t>
      </w:r>
      <w:r>
        <w:rPr>
          <w:rFonts w:ascii="Times New Roman" w:hAnsi="Times New Roman" w:eastAsia="方正小标宋简体" w:cs="Times New Roman"/>
          <w:sz w:val="76"/>
          <w:szCs w:val="76"/>
        </w:rPr>
        <w:t>单位概况</w:t>
      </w:r>
    </w:p>
    <w:p w14:paraId="275B27D2">
      <w:pPr>
        <w:pStyle w:val="17"/>
        <w:numPr>
          <w:ilvl w:val="0"/>
          <w:numId w:val="1"/>
        </w:numPr>
        <w:overflowPunct w:val="0"/>
        <w:spacing w:line="596" w:lineRule="exact"/>
        <w:ind w:firstLineChars="0"/>
        <w:rPr>
          <w:rFonts w:ascii="Times New Roman" w:hAnsi="Times New Roman" w:eastAsia="黑体" w:cs="Times New Roman"/>
          <w:sz w:val="32"/>
          <w:szCs w:val="32"/>
        </w:rPr>
      </w:pPr>
      <w:r>
        <w:rPr>
          <w:rFonts w:ascii="Times New Roman" w:hAnsi="Times New Roman" w:eastAsia="黑体" w:cs="Times New Roman"/>
          <w:sz w:val="32"/>
          <w:szCs w:val="32"/>
        </w:rPr>
        <w:br w:type="page"/>
      </w:r>
      <w:r>
        <w:rPr>
          <w:rFonts w:ascii="Times New Roman" w:hAnsi="Times New Roman" w:eastAsia="黑体" w:cs="Times New Roman"/>
          <w:sz w:val="32"/>
          <w:szCs w:val="32"/>
        </w:rPr>
        <w:t>部门职责</w:t>
      </w:r>
    </w:p>
    <w:p w14:paraId="7461B717">
      <w:pPr>
        <w:pStyle w:val="17"/>
        <w:overflowPunct w:val="0"/>
        <w:spacing w:line="596" w:lineRule="exact"/>
        <w:rPr>
          <w:rFonts w:hint="eastAsia" w:ascii="仿宋" w:hAnsi="仿宋" w:eastAsia="仿宋" w:cs="黑体"/>
          <w:color w:val="000000"/>
          <w:kern w:val="2"/>
          <w:sz w:val="32"/>
          <w:szCs w:val="32"/>
          <w:lang w:val="en-US" w:eastAsia="zh-CN" w:bidi="ar-SA"/>
        </w:rPr>
      </w:pPr>
      <w:r>
        <w:rPr>
          <w:rFonts w:hint="eastAsia" w:ascii="仿宋" w:hAnsi="仿宋" w:eastAsia="仿宋" w:cs="黑体"/>
          <w:color w:val="000000"/>
          <w:kern w:val="2"/>
          <w:sz w:val="32"/>
          <w:szCs w:val="32"/>
          <w:lang w:val="en-US" w:eastAsia="zh-CN" w:bidi="ar-SA"/>
        </w:rPr>
        <w:t>根据中共株洲市石峰区委办公室、株洲市石峰区人民政府办公室关于印发《株洲市石峰区卫生健康局职能配置、内设机构和人员编制规定》的通知，区疾病预防控制中心的主要职责是：拟订全区重大疾病防治规划、免疫规划、严重危害人民健康的公共卫生问题的干预措施并组织实施，承担传染病疫情管理，开展传染性疾病的检测检验；进行健康危害因素监测与干预，开展健康教育、健康促进工作；做好慢性非传染性疾病和重性精神病管理；组织开展学校卫生、地方病、饮用水、食品安全风险监测和交流；承担卫生应急演练的组织实施和指导工作，做好突发公共卫生事件和灾害疫情卫生应急处置；协调组织职业卫生、放射卫生相关政策、标准实施，开展重点职业病监测、专项调查、职业健康风险评估和职业人群健康管理工作；承担全区公共卫生、医疗卫生、职业卫生、计划生育综合监督、打击“两非”工作；组织开展生活饮用水二次供水卫生、学校卫生、传染病防治监督检查；会同有关部门对食品安全标准执行过程中的问题及时指导、解答和开展食品安全标准跟踪评价；规范执法行为，查处医疗服务市场违法行为，完善综合监督体系;负责重要来宾、重要会议与重大活动的卫生应急工作，完善疾病预防控制体系。</w:t>
      </w:r>
    </w:p>
    <w:p w14:paraId="40A2A749">
      <w:pPr>
        <w:numPr>
          <w:ilvl w:val="0"/>
          <w:numId w:val="1"/>
        </w:numPr>
        <w:overflowPunct w:val="0"/>
        <w:spacing w:line="596" w:lineRule="exact"/>
        <w:rPr>
          <w:rFonts w:ascii="Times New Roman" w:hAnsi="Times New Roman" w:eastAsia="黑体" w:cs="Times New Roman"/>
          <w:kern w:val="0"/>
          <w:sz w:val="32"/>
          <w:szCs w:val="32"/>
        </w:rPr>
      </w:pPr>
      <w:r>
        <w:rPr>
          <w:rFonts w:ascii="Times New Roman" w:hAnsi="Times New Roman" w:eastAsia="黑体" w:cs="Times New Roman"/>
          <w:kern w:val="0"/>
          <w:sz w:val="32"/>
          <w:szCs w:val="32"/>
        </w:rPr>
        <w:t>机构设置及决算单位构成</w:t>
      </w:r>
    </w:p>
    <w:p w14:paraId="64FE1497">
      <w:pPr>
        <w:overflowPunct w:val="0"/>
        <w:spacing w:line="596" w:lineRule="exact"/>
        <w:rPr>
          <w:rFonts w:hint="eastAsia" w:ascii="仿宋" w:hAnsi="仿宋" w:eastAsia="仿宋" w:cs="黑体"/>
          <w:color w:val="000000"/>
          <w:kern w:val="2"/>
          <w:sz w:val="32"/>
          <w:szCs w:val="32"/>
          <w:lang w:val="en-US" w:eastAsia="zh-CN" w:bidi="ar-SA"/>
        </w:rPr>
      </w:pPr>
      <w:r>
        <w:rPr>
          <w:rFonts w:hint="eastAsia" w:ascii="仿宋" w:hAnsi="仿宋" w:eastAsia="仿宋" w:cs="黑体"/>
          <w:color w:val="000000"/>
          <w:kern w:val="2"/>
          <w:sz w:val="32"/>
          <w:szCs w:val="32"/>
          <w:lang w:val="en-US" w:eastAsia="zh-CN" w:bidi="ar-SA"/>
        </w:rPr>
        <w:t>（一）内设机构设置。株洲市石峰区疾病预防控制中心单位无内设机构。</w:t>
      </w:r>
    </w:p>
    <w:p w14:paraId="65C05D34">
      <w:pPr>
        <w:overflowPunct w:val="0"/>
        <w:spacing w:line="596" w:lineRule="exact"/>
        <w:rPr>
          <w:rFonts w:hint="eastAsia" w:ascii="仿宋" w:hAnsi="仿宋" w:eastAsia="仿宋" w:cs="黑体"/>
          <w:color w:val="000000"/>
          <w:kern w:val="2"/>
          <w:sz w:val="32"/>
          <w:szCs w:val="32"/>
          <w:lang w:val="en-US" w:eastAsia="zh-CN" w:bidi="ar-SA"/>
        </w:rPr>
      </w:pPr>
      <w:r>
        <w:rPr>
          <w:rFonts w:hint="eastAsia" w:ascii="仿宋" w:hAnsi="仿宋" w:eastAsia="仿宋" w:cs="黑体"/>
          <w:color w:val="000000"/>
          <w:kern w:val="2"/>
          <w:sz w:val="32"/>
          <w:szCs w:val="32"/>
          <w:lang w:val="en-US" w:eastAsia="zh-CN" w:bidi="ar-SA"/>
        </w:rPr>
        <w:t>（二）决算单位构成。株洲市石峰区疾病预防控制中心2023年部门决算汇总公开单位构成包括：株洲市石峰区疾病预防控制中心本级。</w:t>
      </w:r>
    </w:p>
    <w:p w14:paraId="2F388111">
      <w:pPr>
        <w:pStyle w:val="16"/>
        <w:jc w:val="both"/>
        <w:rPr>
          <w:rFonts w:ascii="Times New Roman" w:hAnsi="Times New Roman" w:cs="Times New Roman"/>
          <w:sz w:val="84"/>
          <w:szCs w:val="84"/>
        </w:rPr>
      </w:pPr>
    </w:p>
    <w:p w14:paraId="44383647">
      <w:pPr>
        <w:pStyle w:val="16"/>
        <w:jc w:val="both"/>
        <w:rPr>
          <w:rFonts w:ascii="Times New Roman" w:hAnsi="Times New Roman" w:cs="Times New Roman"/>
          <w:sz w:val="84"/>
          <w:szCs w:val="84"/>
        </w:rPr>
      </w:pPr>
    </w:p>
    <w:p w14:paraId="2B18DA6E">
      <w:pPr>
        <w:pStyle w:val="16"/>
        <w:jc w:val="both"/>
        <w:rPr>
          <w:rFonts w:ascii="Times New Roman" w:hAnsi="Times New Roman" w:cs="Times New Roman"/>
          <w:sz w:val="84"/>
          <w:szCs w:val="84"/>
        </w:rPr>
      </w:pPr>
    </w:p>
    <w:p w14:paraId="0EE2A11A">
      <w:pPr>
        <w:pStyle w:val="16"/>
        <w:jc w:val="both"/>
        <w:rPr>
          <w:rFonts w:ascii="Times New Roman" w:hAnsi="Times New Roman" w:cs="Times New Roman"/>
          <w:sz w:val="84"/>
          <w:szCs w:val="84"/>
        </w:rPr>
      </w:pPr>
    </w:p>
    <w:p w14:paraId="461CA68B">
      <w:pPr>
        <w:pStyle w:val="16"/>
        <w:jc w:val="both"/>
        <w:rPr>
          <w:rFonts w:ascii="Times New Roman" w:hAnsi="Times New Roman" w:cs="Times New Roman"/>
          <w:sz w:val="84"/>
          <w:szCs w:val="84"/>
        </w:rPr>
      </w:pPr>
    </w:p>
    <w:p w14:paraId="404584B1">
      <w:pPr>
        <w:pStyle w:val="16"/>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第二部分</w:t>
      </w:r>
    </w:p>
    <w:p w14:paraId="510CC1B0">
      <w:pPr>
        <w:pStyle w:val="16"/>
        <w:jc w:val="center"/>
        <w:rPr>
          <w:rFonts w:ascii="Times New Roman" w:hAnsi="Times New Roman" w:eastAsia="方正小标宋简体" w:cs="Times New Roman"/>
          <w:sz w:val="76"/>
          <w:szCs w:val="76"/>
        </w:rPr>
      </w:pPr>
    </w:p>
    <w:p w14:paraId="55885D0B">
      <w:pPr>
        <w:pStyle w:val="16"/>
        <w:jc w:val="center"/>
        <w:rPr>
          <w:rFonts w:ascii="Times New Roman" w:hAnsi="Times New Roman" w:eastAsia="方正小标宋简体" w:cs="Times New Roman"/>
          <w:w w:val="90"/>
          <w:sz w:val="76"/>
          <w:szCs w:val="76"/>
        </w:rPr>
      </w:pPr>
      <w:r>
        <w:rPr>
          <w:rFonts w:ascii="Times New Roman" w:hAnsi="Times New Roman" w:eastAsia="方正小标宋简体" w:cs="Times New Roman"/>
          <w:sz w:val="76"/>
          <w:szCs w:val="76"/>
        </w:rPr>
        <w:t>部门决算表</w:t>
      </w:r>
    </w:p>
    <w:p w14:paraId="598FA05A">
      <w:pPr>
        <w:rPr>
          <w:rFonts w:ascii="Times New Roman" w:hAnsi="Times New Roman" w:eastAsia="仿宋_GB2312" w:cs="Times New Roman"/>
          <w:sz w:val="72"/>
          <w:szCs w:val="72"/>
        </w:rPr>
      </w:pPr>
    </w:p>
    <w:p w14:paraId="602A6B4B">
      <w:pPr>
        <w:jc w:val="center"/>
        <w:rPr>
          <w:rFonts w:hint="eastAsia" w:ascii="Times New Roman" w:hAnsi="Times New Roman" w:eastAsia="宋体" w:cs="Times New Roman"/>
          <w:sz w:val="32"/>
          <w:szCs w:val="32"/>
          <w:lang w:eastAsia="zh-CN"/>
        </w:rPr>
        <w:sectPr>
          <w:footerReference r:id="rId3" w:type="default"/>
          <w:pgSz w:w="11906" w:h="16838"/>
          <w:pgMar w:top="720" w:right="720" w:bottom="720" w:left="720" w:header="851" w:footer="992" w:gutter="0"/>
          <w:cols w:space="425" w:num="1"/>
          <w:docGrid w:type="lines" w:linePitch="312" w:charSpace="0"/>
        </w:sectPr>
      </w:pPr>
      <w:r>
        <w:rPr>
          <w:rFonts w:hint="eastAsia" w:ascii="Times New Roman" w:hAnsi="Times New Roman" w:cs="Times New Roman"/>
          <w:sz w:val="32"/>
          <w:szCs w:val="32"/>
          <w:lang w:eastAsia="zh-CN"/>
        </w:rPr>
        <w:t>（见附件</w:t>
      </w:r>
      <w:r>
        <w:rPr>
          <w:rFonts w:hint="eastAsia" w:ascii="Times New Roman" w:hAnsi="Times New Roman" w:cs="Times New Roman"/>
          <w:sz w:val="32"/>
          <w:szCs w:val="32"/>
          <w:lang w:val="en-US" w:eastAsia="zh-CN"/>
        </w:rPr>
        <w:t>1</w:t>
      </w:r>
      <w:r>
        <w:rPr>
          <w:rFonts w:hint="eastAsia" w:ascii="Times New Roman" w:hAnsi="Times New Roman" w:cs="Times New Roman"/>
          <w:sz w:val="32"/>
          <w:szCs w:val="32"/>
          <w:lang w:eastAsia="zh-CN"/>
        </w:rPr>
        <w:t>）</w:t>
      </w:r>
    </w:p>
    <w:p w14:paraId="30BD3F05">
      <w:pPr>
        <w:pStyle w:val="16"/>
        <w:jc w:val="both"/>
        <w:rPr>
          <w:rFonts w:ascii="Times New Roman" w:hAnsi="Times New Roman" w:cs="Times New Roman"/>
          <w:sz w:val="84"/>
          <w:szCs w:val="84"/>
        </w:rPr>
      </w:pPr>
    </w:p>
    <w:p w14:paraId="292F5C58">
      <w:pPr>
        <w:pStyle w:val="16"/>
        <w:jc w:val="both"/>
        <w:rPr>
          <w:rFonts w:ascii="Times New Roman" w:hAnsi="Times New Roman" w:cs="Times New Roman"/>
          <w:sz w:val="84"/>
          <w:szCs w:val="84"/>
        </w:rPr>
      </w:pPr>
    </w:p>
    <w:p w14:paraId="30F59EB0">
      <w:pPr>
        <w:pStyle w:val="16"/>
        <w:jc w:val="both"/>
        <w:rPr>
          <w:rFonts w:ascii="Times New Roman" w:hAnsi="Times New Roman" w:cs="Times New Roman"/>
          <w:sz w:val="84"/>
          <w:szCs w:val="84"/>
        </w:rPr>
      </w:pPr>
    </w:p>
    <w:p w14:paraId="0EAAF85B">
      <w:pPr>
        <w:pStyle w:val="16"/>
        <w:jc w:val="center"/>
        <w:rPr>
          <w:rFonts w:ascii="Times New Roman" w:hAnsi="Times New Roman" w:eastAsia="方正小标宋简体" w:cs="Times New Roman"/>
          <w:sz w:val="76"/>
          <w:szCs w:val="76"/>
        </w:rPr>
      </w:pPr>
      <w:r>
        <w:rPr>
          <w:rFonts w:ascii="Times New Roman" w:hAnsi="Times New Roman" w:eastAsia="方正小标宋简体" w:cs="Times New Roman"/>
          <w:sz w:val="72"/>
          <w:szCs w:val="72"/>
        </w:rPr>
        <w:t>第三部分</w:t>
      </w:r>
    </w:p>
    <w:p w14:paraId="79AC569C">
      <w:pPr>
        <w:pStyle w:val="16"/>
        <w:jc w:val="center"/>
        <w:rPr>
          <w:rFonts w:ascii="Times New Roman" w:hAnsi="Times New Roman" w:eastAsia="方正小标宋简体" w:cs="Times New Roman"/>
          <w:sz w:val="76"/>
          <w:szCs w:val="76"/>
        </w:rPr>
      </w:pPr>
    </w:p>
    <w:p w14:paraId="35ECB0D8">
      <w:pPr>
        <w:pStyle w:val="16"/>
        <w:jc w:val="center"/>
        <w:rPr>
          <w:rFonts w:ascii="Times New Roman" w:hAnsi="Times New Roman" w:eastAsia="仿宋_GB2312" w:cs="Times New Roman"/>
          <w:sz w:val="28"/>
          <w:szCs w:val="28"/>
        </w:rPr>
      </w:pPr>
      <w:r>
        <w:rPr>
          <w:rFonts w:ascii="Times New Roman" w:hAnsi="Times New Roman" w:eastAsia="方正小标宋简体" w:cs="Times New Roman"/>
          <w:sz w:val="72"/>
          <w:szCs w:val="72"/>
        </w:rPr>
        <w:t>2023年度部门决算情况说明</w:t>
      </w:r>
    </w:p>
    <w:p w14:paraId="085CB96B">
      <w:pPr>
        <w:pStyle w:val="16"/>
        <w:numPr>
          <w:ilvl w:val="0"/>
          <w:numId w:val="0"/>
        </w:numPr>
        <w:spacing w:line="570" w:lineRule="exact"/>
        <w:ind w:firstLine="640" w:firstLineChars="200"/>
        <w:jc w:val="both"/>
        <w:rPr>
          <w:rFonts w:hint="eastAsia" w:ascii="Times New Roman" w:hAnsi="Times New Roman" w:eastAsia="黑体" w:cs="Times New Roman"/>
          <w:color w:val="000000"/>
          <w:sz w:val="32"/>
          <w:szCs w:val="32"/>
          <w:lang w:val="en-US" w:eastAsia="zh-CN" w:bidi="ar-SA"/>
        </w:rPr>
      </w:pPr>
    </w:p>
    <w:p w14:paraId="00B9560F">
      <w:pPr>
        <w:pStyle w:val="16"/>
        <w:numPr>
          <w:ilvl w:val="0"/>
          <w:numId w:val="0"/>
        </w:numPr>
        <w:spacing w:line="570" w:lineRule="exact"/>
        <w:ind w:firstLine="640" w:firstLineChars="200"/>
        <w:jc w:val="both"/>
        <w:rPr>
          <w:rFonts w:hint="eastAsia" w:ascii="Times New Roman" w:hAnsi="Times New Roman" w:eastAsia="黑体" w:cs="Times New Roman"/>
          <w:color w:val="000000"/>
          <w:sz w:val="32"/>
          <w:szCs w:val="32"/>
          <w:lang w:val="en-US" w:eastAsia="zh-CN" w:bidi="ar-SA"/>
        </w:rPr>
      </w:pPr>
    </w:p>
    <w:p w14:paraId="6F2AD4B2">
      <w:pPr>
        <w:pStyle w:val="16"/>
        <w:numPr>
          <w:ilvl w:val="0"/>
          <w:numId w:val="0"/>
        </w:numPr>
        <w:spacing w:line="570" w:lineRule="exact"/>
        <w:ind w:firstLine="640" w:firstLineChars="200"/>
        <w:jc w:val="both"/>
        <w:rPr>
          <w:rFonts w:hint="eastAsia" w:ascii="Times New Roman" w:hAnsi="Times New Roman" w:eastAsia="黑体" w:cs="Times New Roman"/>
          <w:color w:val="000000"/>
          <w:sz w:val="32"/>
          <w:szCs w:val="32"/>
          <w:lang w:val="en-US" w:eastAsia="zh-CN" w:bidi="ar-SA"/>
        </w:rPr>
      </w:pPr>
    </w:p>
    <w:p w14:paraId="1FA2B42D">
      <w:pPr>
        <w:pStyle w:val="16"/>
        <w:numPr>
          <w:ilvl w:val="0"/>
          <w:numId w:val="0"/>
        </w:numPr>
        <w:spacing w:line="570" w:lineRule="exact"/>
        <w:ind w:firstLine="640" w:firstLineChars="200"/>
        <w:jc w:val="both"/>
        <w:rPr>
          <w:rFonts w:hint="eastAsia" w:ascii="Times New Roman" w:hAnsi="Times New Roman" w:eastAsia="黑体" w:cs="Times New Roman"/>
          <w:color w:val="000000"/>
          <w:sz w:val="32"/>
          <w:szCs w:val="32"/>
          <w:lang w:val="en-US" w:eastAsia="zh-CN" w:bidi="ar-SA"/>
        </w:rPr>
      </w:pPr>
    </w:p>
    <w:p w14:paraId="0D4901CC">
      <w:pPr>
        <w:pStyle w:val="16"/>
        <w:numPr>
          <w:ilvl w:val="0"/>
          <w:numId w:val="0"/>
        </w:numPr>
        <w:spacing w:line="570" w:lineRule="exact"/>
        <w:ind w:firstLine="640" w:firstLineChars="200"/>
        <w:jc w:val="both"/>
        <w:rPr>
          <w:rFonts w:hint="eastAsia" w:ascii="Times New Roman" w:hAnsi="Times New Roman" w:eastAsia="黑体" w:cs="Times New Roman"/>
          <w:color w:val="000000"/>
          <w:sz w:val="32"/>
          <w:szCs w:val="32"/>
          <w:lang w:val="en-US" w:eastAsia="zh-CN" w:bidi="ar-SA"/>
        </w:rPr>
      </w:pPr>
    </w:p>
    <w:p w14:paraId="59491C42">
      <w:pPr>
        <w:pStyle w:val="16"/>
        <w:numPr>
          <w:ilvl w:val="0"/>
          <w:numId w:val="0"/>
        </w:numPr>
        <w:spacing w:line="570" w:lineRule="exact"/>
        <w:ind w:firstLine="640" w:firstLineChars="200"/>
        <w:jc w:val="both"/>
        <w:rPr>
          <w:rFonts w:hint="eastAsia" w:ascii="Times New Roman" w:hAnsi="Times New Roman" w:eastAsia="黑体" w:cs="Times New Roman"/>
          <w:color w:val="000000"/>
          <w:sz w:val="32"/>
          <w:szCs w:val="32"/>
          <w:lang w:val="en-US" w:eastAsia="zh-CN" w:bidi="ar-SA"/>
        </w:rPr>
      </w:pPr>
    </w:p>
    <w:p w14:paraId="36B73944">
      <w:pPr>
        <w:pStyle w:val="16"/>
        <w:numPr>
          <w:ilvl w:val="0"/>
          <w:numId w:val="0"/>
        </w:numPr>
        <w:spacing w:line="570" w:lineRule="exact"/>
        <w:ind w:firstLine="640" w:firstLineChars="200"/>
        <w:jc w:val="both"/>
        <w:rPr>
          <w:rFonts w:hint="eastAsia" w:ascii="Times New Roman" w:hAnsi="Times New Roman" w:eastAsia="黑体" w:cs="Times New Roman"/>
          <w:color w:val="000000"/>
          <w:sz w:val="32"/>
          <w:szCs w:val="32"/>
          <w:lang w:val="en-US" w:eastAsia="zh-CN" w:bidi="ar-SA"/>
        </w:rPr>
      </w:pPr>
    </w:p>
    <w:p w14:paraId="20DB2F51">
      <w:pPr>
        <w:pStyle w:val="16"/>
        <w:numPr>
          <w:ilvl w:val="0"/>
          <w:numId w:val="0"/>
        </w:numPr>
        <w:spacing w:line="570" w:lineRule="exact"/>
        <w:ind w:firstLine="640" w:firstLineChars="200"/>
        <w:jc w:val="both"/>
        <w:rPr>
          <w:rFonts w:hint="eastAsia" w:ascii="Times New Roman" w:hAnsi="Times New Roman" w:eastAsia="黑体" w:cs="Times New Roman"/>
          <w:color w:val="000000"/>
          <w:sz w:val="32"/>
          <w:szCs w:val="32"/>
          <w:lang w:val="en-US" w:eastAsia="zh-CN" w:bidi="ar-SA"/>
        </w:rPr>
      </w:pPr>
    </w:p>
    <w:p w14:paraId="668AB1D0">
      <w:pPr>
        <w:pStyle w:val="16"/>
        <w:numPr>
          <w:ilvl w:val="0"/>
          <w:numId w:val="0"/>
        </w:numPr>
        <w:spacing w:line="570" w:lineRule="exact"/>
        <w:ind w:firstLine="640" w:firstLineChars="200"/>
        <w:jc w:val="both"/>
        <w:rPr>
          <w:rFonts w:hint="eastAsia" w:ascii="Times New Roman" w:hAnsi="Times New Roman" w:eastAsia="黑体" w:cs="Times New Roman"/>
          <w:color w:val="000000"/>
          <w:sz w:val="32"/>
          <w:szCs w:val="32"/>
          <w:lang w:val="en-US" w:eastAsia="zh-CN" w:bidi="ar-SA"/>
        </w:rPr>
      </w:pPr>
    </w:p>
    <w:p w14:paraId="7058E424">
      <w:pPr>
        <w:pStyle w:val="16"/>
        <w:numPr>
          <w:ilvl w:val="0"/>
          <w:numId w:val="0"/>
        </w:numPr>
        <w:spacing w:line="570" w:lineRule="exact"/>
        <w:ind w:firstLine="640" w:firstLineChars="200"/>
        <w:jc w:val="both"/>
        <w:rPr>
          <w:rFonts w:hint="eastAsia" w:ascii="Times New Roman" w:hAnsi="Times New Roman" w:eastAsia="黑体" w:cs="Times New Roman"/>
          <w:color w:val="000000"/>
          <w:sz w:val="32"/>
          <w:szCs w:val="32"/>
          <w:lang w:val="en-US" w:eastAsia="zh-CN" w:bidi="ar-SA"/>
        </w:rPr>
      </w:pPr>
    </w:p>
    <w:p w14:paraId="0424E261">
      <w:pPr>
        <w:pStyle w:val="16"/>
        <w:numPr>
          <w:ilvl w:val="0"/>
          <w:numId w:val="0"/>
        </w:numPr>
        <w:spacing w:line="570" w:lineRule="exact"/>
        <w:ind w:firstLine="640" w:firstLineChars="200"/>
        <w:jc w:val="both"/>
        <w:rPr>
          <w:rFonts w:ascii="Times New Roman" w:hAnsi="Times New Roman" w:cs="Times New Roman"/>
          <w:sz w:val="32"/>
          <w:szCs w:val="32"/>
        </w:rPr>
      </w:pPr>
      <w:r>
        <w:rPr>
          <w:rFonts w:hint="eastAsia" w:ascii="Times New Roman" w:hAnsi="Times New Roman" w:eastAsia="黑体" w:cs="Times New Roman"/>
          <w:color w:val="000000"/>
          <w:sz w:val="32"/>
          <w:szCs w:val="32"/>
          <w:lang w:val="en-US" w:eastAsia="zh-CN" w:bidi="ar-SA"/>
        </w:rPr>
        <w:t>一、</w:t>
      </w:r>
      <w:r>
        <w:rPr>
          <w:rFonts w:ascii="Times New Roman" w:hAnsi="Times New Roman" w:cs="Times New Roman"/>
          <w:sz w:val="32"/>
          <w:szCs w:val="32"/>
        </w:rPr>
        <w:t>收入支出决算总体情况说明</w:t>
      </w:r>
    </w:p>
    <w:p w14:paraId="71A0B069">
      <w:pPr>
        <w:pStyle w:val="16"/>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年度收、支总计</w:t>
      </w:r>
      <w:r>
        <w:rPr>
          <w:rFonts w:hint="eastAsia" w:ascii="仿宋" w:hAnsi="仿宋" w:eastAsia="仿宋"/>
          <w:color w:val="000000"/>
          <w:sz w:val="32"/>
          <w:szCs w:val="32"/>
          <w:lang w:val="en-US" w:eastAsia="zh-CN"/>
        </w:rPr>
        <w:t>8967.16</w:t>
      </w:r>
      <w:r>
        <w:rPr>
          <w:rFonts w:hint="eastAsia" w:ascii="仿宋" w:hAnsi="仿宋" w:eastAsia="仿宋"/>
          <w:color w:val="000000"/>
          <w:sz w:val="32"/>
          <w:szCs w:val="32"/>
        </w:rPr>
        <w:t>万元。与上年相比，增加</w:t>
      </w:r>
      <w:r>
        <w:rPr>
          <w:rFonts w:hint="eastAsia" w:ascii="仿宋" w:hAnsi="仿宋" w:eastAsia="仿宋"/>
          <w:color w:val="000000"/>
          <w:sz w:val="32"/>
          <w:szCs w:val="32"/>
          <w:lang w:val="en-US" w:eastAsia="zh-CN"/>
        </w:rPr>
        <w:t>2365.53</w:t>
      </w:r>
      <w:r>
        <w:rPr>
          <w:rFonts w:hint="eastAsia" w:ascii="仿宋" w:hAnsi="仿宋" w:eastAsia="仿宋"/>
          <w:color w:val="000000"/>
          <w:sz w:val="32"/>
          <w:szCs w:val="32"/>
        </w:rPr>
        <w:t>万元，增加</w:t>
      </w:r>
      <w:r>
        <w:rPr>
          <w:rFonts w:hint="eastAsia" w:ascii="仿宋" w:hAnsi="仿宋" w:eastAsia="仿宋"/>
          <w:color w:val="000000"/>
          <w:sz w:val="32"/>
          <w:szCs w:val="32"/>
          <w:lang w:val="en-US" w:eastAsia="zh-CN"/>
        </w:rPr>
        <w:t>35.8</w:t>
      </w:r>
      <w:r>
        <w:rPr>
          <w:rFonts w:hint="eastAsia" w:ascii="仿宋" w:hAnsi="仿宋" w:eastAsia="仿宋"/>
          <w:color w:val="000000"/>
          <w:sz w:val="32"/>
          <w:szCs w:val="32"/>
        </w:rPr>
        <w:t>%，主要是因为</w:t>
      </w:r>
      <w:r>
        <w:rPr>
          <w:rFonts w:hint="eastAsia" w:ascii="仿宋" w:hAnsi="仿宋" w:eastAsia="仿宋"/>
          <w:color w:val="000000"/>
          <w:sz w:val="32"/>
          <w:szCs w:val="32"/>
          <w:lang w:val="en-US" w:eastAsia="zh-CN"/>
        </w:rPr>
        <w:t>23年疾控中心和卫生综合监督执法局单位合并，卫生综合监督执法局预算经费全部划入疾控中心账户，且支付了以前年度的新冠欠款</w:t>
      </w:r>
      <w:r>
        <w:rPr>
          <w:rFonts w:hint="eastAsia" w:ascii="仿宋" w:hAnsi="仿宋" w:eastAsia="仿宋"/>
          <w:color w:val="000000"/>
          <w:sz w:val="32"/>
          <w:szCs w:val="32"/>
        </w:rPr>
        <w:t>。</w:t>
      </w:r>
    </w:p>
    <w:p w14:paraId="5604E162">
      <w:pPr>
        <w:pStyle w:val="16"/>
        <w:numPr>
          <w:ilvl w:val="0"/>
          <w:numId w:val="0"/>
        </w:numPr>
        <w:spacing w:line="570" w:lineRule="exact"/>
        <w:ind w:left="0" w:leftChars="0" w:firstLine="640" w:firstLineChars="200"/>
        <w:jc w:val="both"/>
        <w:rPr>
          <w:rFonts w:ascii="Times New Roman" w:hAnsi="Times New Roman" w:cs="Times New Roman"/>
          <w:sz w:val="32"/>
          <w:szCs w:val="32"/>
        </w:rPr>
      </w:pPr>
      <w:r>
        <w:rPr>
          <w:rFonts w:hint="eastAsia" w:ascii="Times New Roman" w:hAnsi="Times New Roman" w:eastAsia="黑体" w:cs="Times New Roman"/>
          <w:color w:val="000000"/>
          <w:sz w:val="32"/>
          <w:szCs w:val="32"/>
          <w:lang w:val="en-US" w:eastAsia="zh-CN" w:bidi="ar-SA"/>
        </w:rPr>
        <w:t>二、</w:t>
      </w:r>
      <w:r>
        <w:rPr>
          <w:rFonts w:ascii="Times New Roman" w:hAnsi="Times New Roman" w:cs="Times New Roman"/>
          <w:sz w:val="32"/>
          <w:szCs w:val="32"/>
        </w:rPr>
        <w:t>收入决算情况说明</w:t>
      </w:r>
    </w:p>
    <w:p w14:paraId="4EA70127">
      <w:pPr>
        <w:pStyle w:val="16"/>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年度收入合计</w:t>
      </w:r>
      <w:r>
        <w:rPr>
          <w:rFonts w:hint="eastAsia" w:ascii="仿宋" w:hAnsi="仿宋" w:eastAsia="仿宋"/>
          <w:color w:val="000000"/>
          <w:sz w:val="32"/>
          <w:szCs w:val="32"/>
          <w:lang w:val="en-US" w:eastAsia="zh-CN"/>
        </w:rPr>
        <w:t>4483.58</w:t>
      </w:r>
      <w:r>
        <w:rPr>
          <w:rFonts w:hint="eastAsia" w:ascii="仿宋" w:hAnsi="仿宋" w:eastAsia="仿宋"/>
          <w:color w:val="000000"/>
          <w:sz w:val="32"/>
          <w:szCs w:val="32"/>
        </w:rPr>
        <w:t>万元，其中：财政拨款收入</w:t>
      </w:r>
      <w:r>
        <w:rPr>
          <w:rFonts w:hint="eastAsia" w:ascii="仿宋" w:hAnsi="仿宋" w:eastAsia="仿宋"/>
          <w:color w:val="000000"/>
          <w:sz w:val="32"/>
          <w:szCs w:val="32"/>
          <w:lang w:val="en-US" w:eastAsia="zh-CN"/>
        </w:rPr>
        <w:t>4398.81</w:t>
      </w:r>
      <w:r>
        <w:rPr>
          <w:rFonts w:hint="eastAsia" w:ascii="仿宋" w:hAnsi="仿宋" w:eastAsia="仿宋"/>
          <w:color w:val="000000"/>
          <w:sz w:val="32"/>
          <w:szCs w:val="32"/>
        </w:rPr>
        <w:t>万元，占98.</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%；上级补助收入0万元，占0%；事业收入0万元，占0%；经营收入0万元，占0%；附属单位上缴收入0万元，占0%；其他收入</w:t>
      </w:r>
      <w:r>
        <w:rPr>
          <w:rFonts w:hint="eastAsia" w:ascii="仿宋" w:hAnsi="仿宋" w:eastAsia="仿宋"/>
          <w:color w:val="000000"/>
          <w:sz w:val="32"/>
          <w:szCs w:val="32"/>
          <w:lang w:val="en-US" w:eastAsia="zh-CN"/>
        </w:rPr>
        <w:t>84.77</w:t>
      </w:r>
      <w:r>
        <w:rPr>
          <w:rFonts w:hint="eastAsia" w:ascii="仿宋" w:hAnsi="仿宋" w:eastAsia="仿宋"/>
          <w:color w:val="000000"/>
          <w:sz w:val="32"/>
          <w:szCs w:val="32"/>
        </w:rPr>
        <w:t>万元，占1.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w:t>
      </w:r>
    </w:p>
    <w:p w14:paraId="0A23C266">
      <w:pPr>
        <w:pStyle w:val="16"/>
        <w:numPr>
          <w:ilvl w:val="0"/>
          <w:numId w:val="0"/>
        </w:numPr>
        <w:spacing w:line="570" w:lineRule="exact"/>
        <w:ind w:left="0" w:leftChars="0" w:firstLine="640" w:firstLineChars="200"/>
        <w:jc w:val="both"/>
        <w:rPr>
          <w:rFonts w:ascii="Times New Roman" w:hAnsi="Times New Roman" w:cs="Times New Roman"/>
          <w:sz w:val="32"/>
          <w:szCs w:val="32"/>
        </w:rPr>
      </w:pPr>
      <w:r>
        <w:rPr>
          <w:rFonts w:hint="eastAsia" w:ascii="Times New Roman" w:hAnsi="Times New Roman" w:eastAsia="黑体" w:cs="Times New Roman"/>
          <w:color w:val="000000"/>
          <w:sz w:val="32"/>
          <w:szCs w:val="32"/>
          <w:lang w:val="en-US" w:eastAsia="zh-CN" w:bidi="ar-SA"/>
        </w:rPr>
        <w:t>三、</w:t>
      </w:r>
      <w:r>
        <w:rPr>
          <w:rFonts w:ascii="Times New Roman" w:hAnsi="Times New Roman" w:cs="Times New Roman"/>
          <w:sz w:val="32"/>
          <w:szCs w:val="32"/>
        </w:rPr>
        <w:t>支出决算情况说明</w:t>
      </w:r>
    </w:p>
    <w:p w14:paraId="33133748">
      <w:pPr>
        <w:pStyle w:val="16"/>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年度支出合计</w:t>
      </w:r>
      <w:r>
        <w:rPr>
          <w:rFonts w:hint="eastAsia" w:ascii="仿宋" w:hAnsi="仿宋" w:eastAsia="仿宋"/>
          <w:color w:val="000000"/>
          <w:sz w:val="32"/>
          <w:szCs w:val="32"/>
          <w:lang w:val="en-US" w:eastAsia="zh-CN"/>
        </w:rPr>
        <w:t>4483.58</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523.08</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11.7</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3960.5</w:t>
      </w:r>
      <w:r>
        <w:rPr>
          <w:rFonts w:hint="eastAsia" w:ascii="仿宋" w:hAnsi="仿宋" w:eastAsia="仿宋"/>
          <w:color w:val="000000"/>
          <w:sz w:val="32"/>
          <w:szCs w:val="32"/>
        </w:rPr>
        <w:t>万元，占8</w:t>
      </w:r>
      <w:r>
        <w:rPr>
          <w:rFonts w:hint="eastAsia" w:ascii="仿宋" w:hAnsi="仿宋" w:eastAsia="仿宋"/>
          <w:color w:val="000000"/>
          <w:sz w:val="32"/>
          <w:szCs w:val="32"/>
          <w:lang w:val="en-US" w:eastAsia="zh-CN"/>
        </w:rPr>
        <w:t>8.3</w:t>
      </w:r>
      <w:r>
        <w:rPr>
          <w:rFonts w:hint="eastAsia" w:ascii="仿宋" w:hAnsi="仿宋" w:eastAsia="仿宋"/>
          <w:color w:val="000000"/>
          <w:sz w:val="32"/>
          <w:szCs w:val="32"/>
        </w:rPr>
        <w:t>%；上缴上级支出0万元，占0%；经营支出0万元，占0%；对附属单位补助支出0万元，占0%。</w:t>
      </w:r>
    </w:p>
    <w:p w14:paraId="6248B3BA">
      <w:pPr>
        <w:pStyle w:val="16"/>
        <w:numPr>
          <w:ilvl w:val="0"/>
          <w:numId w:val="0"/>
        </w:numPr>
        <w:spacing w:line="570" w:lineRule="exact"/>
        <w:ind w:left="0" w:leftChars="0" w:firstLine="640" w:firstLineChars="200"/>
        <w:jc w:val="both"/>
        <w:rPr>
          <w:rFonts w:ascii="Times New Roman" w:hAnsi="Times New Roman" w:cs="Times New Roman"/>
          <w:sz w:val="32"/>
          <w:szCs w:val="32"/>
        </w:rPr>
      </w:pPr>
      <w:r>
        <w:rPr>
          <w:rFonts w:hint="eastAsia" w:ascii="Times New Roman" w:hAnsi="Times New Roman" w:eastAsia="黑体" w:cs="Times New Roman"/>
          <w:color w:val="000000"/>
          <w:sz w:val="32"/>
          <w:szCs w:val="32"/>
          <w:lang w:val="en-US" w:eastAsia="zh-CN" w:bidi="ar-SA"/>
        </w:rPr>
        <w:t>四、</w:t>
      </w:r>
      <w:r>
        <w:rPr>
          <w:rFonts w:ascii="Times New Roman" w:hAnsi="Times New Roman" w:cs="Times New Roman"/>
          <w:sz w:val="32"/>
          <w:szCs w:val="32"/>
        </w:rPr>
        <w:t>财政拨款收入支出决算总体情况说明</w:t>
      </w:r>
    </w:p>
    <w:p w14:paraId="75C5BEFE">
      <w:pPr>
        <w:pStyle w:val="16"/>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年度财政拨款收、支总计</w:t>
      </w:r>
      <w:r>
        <w:rPr>
          <w:rFonts w:hint="eastAsia" w:ascii="仿宋" w:hAnsi="仿宋" w:eastAsia="仿宋"/>
          <w:color w:val="000000"/>
          <w:sz w:val="32"/>
          <w:szCs w:val="32"/>
          <w:lang w:val="en-US" w:eastAsia="zh-CN"/>
        </w:rPr>
        <w:t>8797.62</w:t>
      </w:r>
      <w:r>
        <w:rPr>
          <w:rFonts w:hint="eastAsia" w:ascii="仿宋" w:hAnsi="仿宋" w:eastAsia="仿宋"/>
          <w:color w:val="000000"/>
          <w:sz w:val="32"/>
          <w:szCs w:val="32"/>
        </w:rPr>
        <w:t>万元，与上年相比，增加</w:t>
      </w:r>
      <w:r>
        <w:rPr>
          <w:rFonts w:hint="eastAsia" w:ascii="仿宋" w:hAnsi="仿宋" w:eastAsia="仿宋"/>
          <w:color w:val="000000"/>
          <w:sz w:val="32"/>
          <w:szCs w:val="32"/>
          <w:lang w:val="en-US" w:eastAsia="zh-CN"/>
        </w:rPr>
        <w:t>2267.28</w:t>
      </w:r>
      <w:r>
        <w:rPr>
          <w:rFonts w:hint="eastAsia" w:ascii="仿宋" w:hAnsi="仿宋" w:eastAsia="仿宋"/>
          <w:color w:val="000000"/>
          <w:sz w:val="32"/>
          <w:szCs w:val="32"/>
        </w:rPr>
        <w:t>万元,增加</w:t>
      </w:r>
      <w:r>
        <w:rPr>
          <w:rFonts w:hint="eastAsia" w:ascii="仿宋" w:hAnsi="仿宋" w:eastAsia="仿宋"/>
          <w:color w:val="000000"/>
          <w:sz w:val="32"/>
          <w:szCs w:val="32"/>
          <w:lang w:val="en-US" w:eastAsia="zh-CN"/>
        </w:rPr>
        <w:t>34.7</w:t>
      </w:r>
      <w:r>
        <w:rPr>
          <w:rFonts w:hint="eastAsia" w:ascii="仿宋" w:hAnsi="仿宋" w:eastAsia="仿宋"/>
          <w:color w:val="000000"/>
          <w:sz w:val="32"/>
          <w:szCs w:val="32"/>
        </w:rPr>
        <w:t>%，主要是因为23年疾控中心和卫生综合监督执法局单位合并，卫生综合监督执法局预算经费全部划入疾控中心账户</w:t>
      </w:r>
      <w:r>
        <w:rPr>
          <w:rFonts w:hint="eastAsia" w:ascii="仿宋" w:hAnsi="仿宋" w:eastAsia="仿宋"/>
          <w:color w:val="000000"/>
          <w:sz w:val="32"/>
          <w:szCs w:val="32"/>
          <w:lang w:eastAsia="zh-CN"/>
        </w:rPr>
        <w:t>，</w:t>
      </w:r>
      <w:r>
        <w:rPr>
          <w:rFonts w:hint="eastAsia" w:ascii="仿宋" w:hAnsi="仿宋" w:eastAsia="仿宋"/>
          <w:color w:val="000000"/>
          <w:sz w:val="32"/>
          <w:szCs w:val="32"/>
        </w:rPr>
        <w:t>财政拨款增加。</w:t>
      </w:r>
    </w:p>
    <w:p w14:paraId="67840F21">
      <w:pPr>
        <w:pStyle w:val="7"/>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五、一般公共预算财政拨款支出决算情况说明</w:t>
      </w:r>
    </w:p>
    <w:p w14:paraId="6FB395D8">
      <w:pPr>
        <w:pStyle w:val="7"/>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（一）财政拨款支出决算总体情况</w:t>
      </w:r>
    </w:p>
    <w:p w14:paraId="53526834">
      <w:pPr>
        <w:pStyle w:val="7"/>
        <w:autoSpaceDE w:val="0"/>
        <w:autoSpaceDN w:val="0"/>
        <w:adjustRightInd w:val="0"/>
        <w:spacing w:line="570" w:lineRule="exact"/>
        <w:ind w:firstLine="640" w:firstLineChars="200"/>
        <w:rPr>
          <w:rFonts w:hint="eastAsia" w:ascii="仿宋" w:hAnsi="仿宋" w:eastAsia="仿宋" w:cs="黑体"/>
          <w:color w:val="000000"/>
          <w:sz w:val="32"/>
          <w:szCs w:val="32"/>
          <w:lang w:val="en-US" w:eastAsia="zh-CN" w:bidi="ar-SA"/>
        </w:rPr>
      </w:pPr>
      <w:r>
        <w:rPr>
          <w:rFonts w:hint="eastAsia" w:ascii="仿宋" w:hAnsi="仿宋" w:eastAsia="仿宋" w:cs="黑体"/>
          <w:color w:val="000000"/>
          <w:sz w:val="32"/>
          <w:szCs w:val="32"/>
          <w:lang w:val="en-US" w:eastAsia="zh-CN" w:bidi="ar-SA"/>
        </w:rPr>
        <w:t>2023年度财政拨款支出4398.81万元，占本年支出合计的98.1%，与上年相比，财政拨款支出增加1133.64万元，增加34.7%，主要是因为</w:t>
      </w:r>
      <w:r>
        <w:rPr>
          <w:rFonts w:hint="eastAsia" w:ascii="仿宋" w:hAnsi="仿宋" w:eastAsia="仿宋"/>
          <w:color w:val="000000"/>
          <w:sz w:val="32"/>
          <w:szCs w:val="32"/>
        </w:rPr>
        <w:t>23年疾控中心和卫生综合监督执法局单位合并，卫生综合监督执法局预算经费全部划入疾控中心账户</w:t>
      </w:r>
      <w:r>
        <w:rPr>
          <w:rFonts w:hint="eastAsia" w:ascii="仿宋" w:hAnsi="仿宋" w:eastAsia="仿宋" w:cs="黑体"/>
          <w:color w:val="000000"/>
          <w:sz w:val="32"/>
          <w:szCs w:val="32"/>
          <w:lang w:val="en-US" w:eastAsia="zh-CN" w:bidi="ar-SA"/>
        </w:rPr>
        <w:t>，财政拨款增加。</w:t>
      </w:r>
    </w:p>
    <w:p w14:paraId="124BF7FA">
      <w:pPr>
        <w:pStyle w:val="7"/>
        <w:numPr>
          <w:ilvl w:val="0"/>
          <w:numId w:val="2"/>
        </w:numPr>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财政拨款支出决算结构情况</w:t>
      </w:r>
    </w:p>
    <w:p w14:paraId="78594DD3">
      <w:pPr>
        <w:pStyle w:val="7"/>
        <w:autoSpaceDE w:val="0"/>
        <w:autoSpaceDN w:val="0"/>
        <w:adjustRightInd w:val="0"/>
        <w:spacing w:line="570" w:lineRule="exact"/>
        <w:ind w:firstLine="640" w:firstLineChars="200"/>
        <w:rPr>
          <w:rFonts w:hint="eastAsia" w:ascii="仿宋" w:hAnsi="仿宋" w:eastAsia="仿宋" w:cs="黑体"/>
          <w:color w:val="000000"/>
          <w:sz w:val="32"/>
          <w:szCs w:val="32"/>
          <w:lang w:val="en-US" w:eastAsia="zh-CN" w:bidi="ar-SA"/>
        </w:rPr>
      </w:pPr>
      <w:r>
        <w:rPr>
          <w:rFonts w:hint="eastAsia" w:ascii="仿宋" w:hAnsi="仿宋" w:eastAsia="仿宋" w:cs="黑体"/>
          <w:color w:val="000000"/>
          <w:sz w:val="32"/>
          <w:szCs w:val="32"/>
          <w:lang w:val="en-US" w:eastAsia="zh-CN" w:bidi="ar-SA"/>
        </w:rPr>
        <w:t>2023年度财政拨款支出4398.81万元，主要用于以下方面：卫生健康支出4398.81万元，占100%。</w:t>
      </w:r>
    </w:p>
    <w:p w14:paraId="71DCFC64">
      <w:pPr>
        <w:pStyle w:val="7"/>
        <w:numPr>
          <w:ilvl w:val="0"/>
          <w:numId w:val="2"/>
        </w:numPr>
        <w:autoSpaceDE w:val="0"/>
        <w:autoSpaceDN w:val="0"/>
        <w:adjustRightInd w:val="0"/>
        <w:spacing w:line="570" w:lineRule="exact"/>
        <w:ind w:left="0" w:leftChars="0"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财政拨款支出决算具体情况</w:t>
      </w:r>
    </w:p>
    <w:p w14:paraId="7559C2D1">
      <w:pPr>
        <w:pStyle w:val="7"/>
        <w:autoSpaceDE w:val="0"/>
        <w:autoSpaceDN w:val="0"/>
        <w:adjustRightInd w:val="0"/>
        <w:spacing w:line="570" w:lineRule="exact"/>
        <w:ind w:firstLine="640" w:firstLineChars="200"/>
        <w:rPr>
          <w:rFonts w:hint="eastAsia" w:ascii="仿宋" w:hAnsi="仿宋" w:eastAsia="仿宋" w:cs="黑体"/>
          <w:color w:val="000000"/>
          <w:sz w:val="32"/>
          <w:szCs w:val="32"/>
          <w:lang w:val="en-US" w:eastAsia="zh-CN" w:bidi="ar-SA"/>
        </w:rPr>
      </w:pPr>
      <w:r>
        <w:rPr>
          <w:rFonts w:hint="eastAsia" w:ascii="仿宋" w:hAnsi="仿宋" w:eastAsia="仿宋" w:cs="黑体"/>
          <w:color w:val="000000"/>
          <w:sz w:val="32"/>
          <w:szCs w:val="32"/>
          <w:lang w:val="en-US" w:eastAsia="zh-CN" w:bidi="ar-SA"/>
        </w:rPr>
        <w:t>2023年度财政拨款支出年初预算数为1152.5万元，支出决算数为4398.81万元，完成年初预算的381.7%，其中：</w:t>
      </w:r>
    </w:p>
    <w:p w14:paraId="39406EA4">
      <w:pPr>
        <w:pStyle w:val="7"/>
        <w:autoSpaceDE w:val="0"/>
        <w:autoSpaceDN w:val="0"/>
        <w:adjustRightInd w:val="0"/>
        <w:spacing w:line="570" w:lineRule="exact"/>
        <w:ind w:firstLine="640" w:firstLineChars="200"/>
        <w:rPr>
          <w:rFonts w:hint="eastAsia" w:ascii="仿宋" w:hAnsi="仿宋" w:eastAsia="仿宋" w:cs="黑体"/>
          <w:color w:val="000000"/>
          <w:sz w:val="32"/>
          <w:szCs w:val="32"/>
          <w:lang w:val="en-US" w:eastAsia="zh-CN" w:bidi="ar-SA"/>
        </w:rPr>
      </w:pPr>
      <w:r>
        <w:rPr>
          <w:rFonts w:hint="eastAsia" w:ascii="仿宋" w:hAnsi="仿宋" w:eastAsia="仿宋" w:cs="黑体"/>
          <w:color w:val="000000"/>
          <w:sz w:val="32"/>
          <w:szCs w:val="32"/>
          <w:lang w:val="en-US" w:eastAsia="zh-CN" w:bidi="ar-SA"/>
        </w:rPr>
        <w:t>1、卫生健康支出（类）卫生健康管理事务（款）行政运行（项）。</w:t>
      </w:r>
    </w:p>
    <w:p w14:paraId="30E408C1">
      <w:pPr>
        <w:pStyle w:val="7"/>
        <w:autoSpaceDE w:val="0"/>
        <w:autoSpaceDN w:val="0"/>
        <w:adjustRightInd w:val="0"/>
        <w:spacing w:line="570" w:lineRule="exact"/>
        <w:ind w:firstLine="640" w:firstLineChars="200"/>
        <w:rPr>
          <w:rFonts w:hint="eastAsia" w:ascii="仿宋" w:hAnsi="仿宋" w:eastAsia="仿宋" w:cs="黑体"/>
          <w:color w:val="000000"/>
          <w:sz w:val="32"/>
          <w:szCs w:val="32"/>
          <w:lang w:val="en-US" w:eastAsia="zh-CN" w:bidi="ar-SA"/>
        </w:rPr>
      </w:pPr>
      <w:r>
        <w:rPr>
          <w:rFonts w:hint="eastAsia" w:ascii="仿宋" w:hAnsi="仿宋" w:eastAsia="仿宋" w:cs="黑体"/>
          <w:color w:val="000000"/>
          <w:sz w:val="32"/>
          <w:szCs w:val="32"/>
          <w:lang w:val="en-US" w:eastAsia="zh-CN" w:bidi="ar-SA"/>
        </w:rPr>
        <w:t>年初预算为0万元，支出决算为157.41万元，决算数大于年初预算数的主要原因是：23年疾控中心和卫生综合监督执法局单位合并，卫生综合监督执法局预算经费全部划入疾控中心账户。</w:t>
      </w:r>
    </w:p>
    <w:p w14:paraId="20C04FDA">
      <w:pPr>
        <w:pStyle w:val="7"/>
        <w:autoSpaceDE w:val="0"/>
        <w:autoSpaceDN w:val="0"/>
        <w:adjustRightInd w:val="0"/>
        <w:spacing w:line="570" w:lineRule="exact"/>
        <w:ind w:firstLine="640" w:firstLineChars="200"/>
        <w:rPr>
          <w:rFonts w:hint="eastAsia" w:ascii="仿宋" w:hAnsi="仿宋" w:eastAsia="仿宋" w:cs="黑体"/>
          <w:color w:val="000000"/>
          <w:sz w:val="32"/>
          <w:szCs w:val="32"/>
          <w:lang w:val="en-US" w:eastAsia="zh-CN" w:bidi="ar-SA"/>
        </w:rPr>
      </w:pPr>
      <w:r>
        <w:rPr>
          <w:rFonts w:hint="eastAsia" w:ascii="仿宋" w:hAnsi="仿宋" w:eastAsia="仿宋" w:cs="黑体"/>
          <w:color w:val="000000"/>
          <w:sz w:val="32"/>
          <w:szCs w:val="32"/>
          <w:lang w:val="en-US" w:eastAsia="zh-CN" w:bidi="ar-SA"/>
        </w:rPr>
        <w:t>2、卫生健康支出（类）卫生健康管理事务（款）其他卫生健康管理事务支出（项）。</w:t>
      </w:r>
    </w:p>
    <w:p w14:paraId="34FD2921">
      <w:pPr>
        <w:pStyle w:val="7"/>
        <w:autoSpaceDE w:val="0"/>
        <w:autoSpaceDN w:val="0"/>
        <w:adjustRightInd w:val="0"/>
        <w:spacing w:line="570" w:lineRule="exact"/>
        <w:ind w:firstLine="640" w:firstLineChars="200"/>
        <w:rPr>
          <w:rFonts w:hint="eastAsia" w:ascii="仿宋" w:hAnsi="仿宋" w:eastAsia="仿宋" w:cs="黑体"/>
          <w:color w:val="000000"/>
          <w:sz w:val="32"/>
          <w:szCs w:val="32"/>
          <w:lang w:val="en-US" w:eastAsia="zh-CN" w:bidi="ar-SA"/>
        </w:rPr>
      </w:pPr>
      <w:r>
        <w:rPr>
          <w:rFonts w:hint="eastAsia" w:ascii="仿宋" w:hAnsi="仿宋" w:eastAsia="仿宋" w:cs="黑体"/>
          <w:color w:val="000000"/>
          <w:sz w:val="32"/>
          <w:szCs w:val="32"/>
          <w:lang w:val="en-US" w:eastAsia="zh-CN" w:bidi="ar-SA"/>
        </w:rPr>
        <w:t>年初预算为0万元，支出决算为13.08万元，决算数大于年初预算数的主要原因是：23年进行了单位合并，上级下拨了经费。</w:t>
      </w:r>
    </w:p>
    <w:p w14:paraId="15EE015D">
      <w:pPr>
        <w:pStyle w:val="7"/>
        <w:autoSpaceDE w:val="0"/>
        <w:autoSpaceDN w:val="0"/>
        <w:adjustRightInd w:val="0"/>
        <w:spacing w:line="570" w:lineRule="exact"/>
        <w:ind w:firstLine="640" w:firstLineChars="200"/>
        <w:rPr>
          <w:rFonts w:hint="eastAsia" w:ascii="仿宋" w:hAnsi="仿宋" w:eastAsia="仿宋" w:cs="黑体"/>
          <w:color w:val="000000"/>
          <w:sz w:val="32"/>
          <w:szCs w:val="32"/>
          <w:lang w:val="en-US" w:eastAsia="zh-CN" w:bidi="ar-SA"/>
        </w:rPr>
      </w:pPr>
      <w:r>
        <w:rPr>
          <w:rFonts w:hint="eastAsia" w:ascii="仿宋" w:hAnsi="仿宋" w:eastAsia="仿宋" w:cs="黑体"/>
          <w:color w:val="000000"/>
          <w:sz w:val="32"/>
          <w:szCs w:val="32"/>
          <w:lang w:val="en-US" w:eastAsia="zh-CN" w:bidi="ar-SA"/>
        </w:rPr>
        <w:t>3、卫生健康支出（类）公共卫生（款）疾病预防控制机构（项）。</w:t>
      </w:r>
    </w:p>
    <w:p w14:paraId="72CC7C51">
      <w:pPr>
        <w:pStyle w:val="7"/>
        <w:autoSpaceDE w:val="0"/>
        <w:autoSpaceDN w:val="0"/>
        <w:adjustRightInd w:val="0"/>
        <w:spacing w:line="570" w:lineRule="exact"/>
        <w:ind w:firstLine="640" w:firstLineChars="200"/>
        <w:rPr>
          <w:rFonts w:hint="eastAsia" w:ascii="仿宋" w:hAnsi="仿宋" w:eastAsia="仿宋" w:cs="黑体"/>
          <w:color w:val="000000"/>
          <w:sz w:val="32"/>
          <w:szCs w:val="32"/>
          <w:lang w:val="en-US" w:eastAsia="zh-CN" w:bidi="ar-SA"/>
        </w:rPr>
      </w:pPr>
      <w:r>
        <w:rPr>
          <w:rFonts w:hint="eastAsia" w:ascii="仿宋" w:hAnsi="仿宋" w:eastAsia="仿宋" w:cs="黑体"/>
          <w:color w:val="000000"/>
          <w:sz w:val="32"/>
          <w:szCs w:val="32"/>
          <w:lang w:val="en-US" w:eastAsia="zh-CN" w:bidi="ar-SA"/>
        </w:rPr>
        <w:t>年初预算为352.5万元，支出决算为3377.32万元，完成年初预算的958.1%，决算数大于年初预算数的主要原因是：上级下拨了经费。</w:t>
      </w:r>
    </w:p>
    <w:p w14:paraId="37C7E175">
      <w:pPr>
        <w:pStyle w:val="7"/>
        <w:autoSpaceDE w:val="0"/>
        <w:autoSpaceDN w:val="0"/>
        <w:adjustRightInd w:val="0"/>
        <w:spacing w:line="570" w:lineRule="exact"/>
        <w:ind w:firstLine="640" w:firstLineChars="200"/>
        <w:rPr>
          <w:rFonts w:hint="eastAsia" w:ascii="仿宋" w:hAnsi="仿宋" w:eastAsia="仿宋" w:cs="黑体"/>
          <w:color w:val="000000"/>
          <w:sz w:val="32"/>
          <w:szCs w:val="32"/>
          <w:lang w:val="en-US" w:eastAsia="zh-CN" w:bidi="ar-SA"/>
        </w:rPr>
      </w:pPr>
      <w:r>
        <w:rPr>
          <w:rFonts w:hint="eastAsia" w:ascii="仿宋" w:hAnsi="仿宋" w:eastAsia="仿宋" w:cs="黑体"/>
          <w:color w:val="000000"/>
          <w:sz w:val="32"/>
          <w:szCs w:val="32"/>
          <w:lang w:val="en-US" w:eastAsia="zh-CN" w:bidi="ar-SA"/>
        </w:rPr>
        <w:t>4、卫生健康支出（类）公共卫生（款）卫生监督机构（项）。</w:t>
      </w:r>
    </w:p>
    <w:p w14:paraId="68F644D1">
      <w:pPr>
        <w:pStyle w:val="7"/>
        <w:autoSpaceDE w:val="0"/>
        <w:autoSpaceDN w:val="0"/>
        <w:adjustRightInd w:val="0"/>
        <w:spacing w:line="570" w:lineRule="exact"/>
        <w:ind w:firstLine="640" w:firstLineChars="200"/>
        <w:rPr>
          <w:rFonts w:hint="eastAsia" w:ascii="仿宋" w:hAnsi="仿宋" w:eastAsia="仿宋" w:cs="黑体"/>
          <w:color w:val="000000"/>
          <w:sz w:val="32"/>
          <w:szCs w:val="32"/>
          <w:lang w:val="en-US" w:eastAsia="zh-CN" w:bidi="ar-SA"/>
        </w:rPr>
      </w:pPr>
      <w:r>
        <w:rPr>
          <w:rFonts w:hint="eastAsia" w:ascii="仿宋" w:hAnsi="仿宋" w:eastAsia="仿宋" w:cs="黑体"/>
          <w:color w:val="000000"/>
          <w:sz w:val="32"/>
          <w:szCs w:val="32"/>
          <w:lang w:val="en-US" w:eastAsia="zh-CN" w:bidi="ar-SA"/>
        </w:rPr>
        <w:t>年初预算为0万元，支出决算为1.36万元，决算数大于年初预算数的主要原因是：23年进行了单位合并，上级下拨了经费。</w:t>
      </w:r>
    </w:p>
    <w:p w14:paraId="17000E4B">
      <w:pPr>
        <w:pStyle w:val="7"/>
        <w:autoSpaceDE w:val="0"/>
        <w:autoSpaceDN w:val="0"/>
        <w:adjustRightInd w:val="0"/>
        <w:spacing w:line="570" w:lineRule="exact"/>
        <w:ind w:firstLine="640" w:firstLineChars="200"/>
        <w:rPr>
          <w:rFonts w:hint="eastAsia" w:ascii="仿宋" w:hAnsi="仿宋" w:eastAsia="仿宋" w:cs="黑体"/>
          <w:color w:val="000000"/>
          <w:sz w:val="32"/>
          <w:szCs w:val="32"/>
          <w:lang w:val="en-US" w:eastAsia="zh-CN" w:bidi="ar-SA"/>
        </w:rPr>
      </w:pPr>
      <w:r>
        <w:rPr>
          <w:rFonts w:hint="eastAsia" w:ascii="仿宋" w:hAnsi="仿宋" w:eastAsia="仿宋" w:cs="黑体"/>
          <w:color w:val="000000"/>
          <w:sz w:val="32"/>
          <w:szCs w:val="32"/>
          <w:lang w:val="en-US" w:eastAsia="zh-CN" w:bidi="ar-SA"/>
        </w:rPr>
        <w:t>5、卫生健康支出（类）公共卫生（款）基本公共卫生服务（项）。</w:t>
      </w:r>
    </w:p>
    <w:p w14:paraId="036E9102">
      <w:pPr>
        <w:pStyle w:val="7"/>
        <w:autoSpaceDE w:val="0"/>
        <w:autoSpaceDN w:val="0"/>
        <w:adjustRightInd w:val="0"/>
        <w:spacing w:line="570" w:lineRule="exact"/>
        <w:ind w:firstLine="640" w:firstLineChars="200"/>
        <w:rPr>
          <w:rFonts w:hint="eastAsia" w:ascii="仿宋" w:hAnsi="仿宋" w:eastAsia="仿宋" w:cs="黑体"/>
          <w:color w:val="000000"/>
          <w:sz w:val="32"/>
          <w:szCs w:val="32"/>
          <w:lang w:val="en-US" w:eastAsia="zh-CN" w:bidi="ar-SA"/>
        </w:rPr>
      </w:pPr>
      <w:r>
        <w:rPr>
          <w:rFonts w:hint="eastAsia" w:ascii="仿宋" w:hAnsi="仿宋" w:eastAsia="仿宋" w:cs="黑体"/>
          <w:color w:val="000000"/>
          <w:sz w:val="32"/>
          <w:szCs w:val="32"/>
          <w:lang w:val="en-US" w:eastAsia="zh-CN" w:bidi="ar-SA"/>
        </w:rPr>
        <w:t>年初预算为0万元，支出决算为10.73万元，决算数大于年初预算数的主要原因是：上级下拨了经费。</w:t>
      </w:r>
    </w:p>
    <w:p w14:paraId="473A5993">
      <w:pPr>
        <w:pStyle w:val="7"/>
        <w:autoSpaceDE w:val="0"/>
        <w:autoSpaceDN w:val="0"/>
        <w:adjustRightInd w:val="0"/>
        <w:spacing w:line="570" w:lineRule="exact"/>
        <w:ind w:firstLine="640" w:firstLineChars="200"/>
        <w:rPr>
          <w:rFonts w:hint="eastAsia" w:ascii="仿宋" w:hAnsi="仿宋" w:eastAsia="仿宋" w:cs="黑体"/>
          <w:color w:val="000000"/>
          <w:sz w:val="32"/>
          <w:szCs w:val="32"/>
          <w:lang w:val="en-US" w:eastAsia="zh-CN" w:bidi="ar-SA"/>
        </w:rPr>
      </w:pPr>
      <w:r>
        <w:rPr>
          <w:rFonts w:hint="eastAsia" w:ascii="仿宋" w:hAnsi="仿宋" w:eastAsia="仿宋" w:cs="黑体"/>
          <w:color w:val="000000"/>
          <w:sz w:val="32"/>
          <w:szCs w:val="32"/>
          <w:lang w:val="en-US" w:eastAsia="zh-CN" w:bidi="ar-SA"/>
        </w:rPr>
        <w:t>6、卫生健康支出（类）公共卫生（款）重大公共卫生服务（项）。</w:t>
      </w:r>
    </w:p>
    <w:p w14:paraId="035E4F08">
      <w:pPr>
        <w:pStyle w:val="7"/>
        <w:autoSpaceDE w:val="0"/>
        <w:autoSpaceDN w:val="0"/>
        <w:adjustRightInd w:val="0"/>
        <w:spacing w:line="570" w:lineRule="exact"/>
        <w:ind w:firstLine="640" w:firstLineChars="200"/>
        <w:rPr>
          <w:rFonts w:hint="eastAsia" w:ascii="仿宋" w:hAnsi="仿宋" w:eastAsia="仿宋" w:cs="黑体"/>
          <w:color w:val="000000"/>
          <w:sz w:val="32"/>
          <w:szCs w:val="32"/>
          <w:lang w:val="en-US" w:eastAsia="zh-CN" w:bidi="ar-SA"/>
        </w:rPr>
      </w:pPr>
      <w:r>
        <w:rPr>
          <w:rFonts w:hint="eastAsia" w:ascii="仿宋" w:hAnsi="仿宋" w:eastAsia="仿宋" w:cs="黑体"/>
          <w:color w:val="000000"/>
          <w:sz w:val="32"/>
          <w:szCs w:val="32"/>
          <w:lang w:val="en-US" w:eastAsia="zh-CN" w:bidi="ar-SA"/>
        </w:rPr>
        <w:t>年初预算为0万元，支出决算为118.75万元，决算数大于年初预算数的主要原因是：上级下拨了经费。</w:t>
      </w:r>
    </w:p>
    <w:p w14:paraId="630DA72B">
      <w:pPr>
        <w:pStyle w:val="7"/>
        <w:autoSpaceDE w:val="0"/>
        <w:autoSpaceDN w:val="0"/>
        <w:adjustRightInd w:val="0"/>
        <w:spacing w:line="570" w:lineRule="exact"/>
        <w:ind w:firstLine="640" w:firstLineChars="200"/>
        <w:rPr>
          <w:rFonts w:hint="eastAsia" w:ascii="仿宋" w:hAnsi="仿宋" w:eastAsia="仿宋" w:cs="黑体"/>
          <w:color w:val="000000"/>
          <w:sz w:val="32"/>
          <w:szCs w:val="32"/>
          <w:lang w:val="en-US" w:eastAsia="zh-CN" w:bidi="ar-SA"/>
        </w:rPr>
      </w:pPr>
      <w:r>
        <w:rPr>
          <w:rFonts w:hint="eastAsia" w:ascii="仿宋" w:hAnsi="仿宋" w:eastAsia="仿宋" w:cs="黑体"/>
          <w:color w:val="000000"/>
          <w:sz w:val="32"/>
          <w:szCs w:val="32"/>
          <w:lang w:val="en-US" w:eastAsia="zh-CN" w:bidi="ar-SA"/>
        </w:rPr>
        <w:t>7、卫生健康支出（类）公共卫生（款）突发公共卫生事件应急处理（项）。</w:t>
      </w:r>
    </w:p>
    <w:p w14:paraId="4E3120B9">
      <w:pPr>
        <w:pStyle w:val="7"/>
        <w:autoSpaceDE w:val="0"/>
        <w:autoSpaceDN w:val="0"/>
        <w:adjustRightInd w:val="0"/>
        <w:spacing w:line="570" w:lineRule="exact"/>
        <w:ind w:firstLine="640" w:firstLineChars="200"/>
        <w:rPr>
          <w:rFonts w:hint="eastAsia" w:ascii="仿宋" w:hAnsi="仿宋" w:eastAsia="仿宋" w:cs="黑体"/>
          <w:color w:val="000000"/>
          <w:sz w:val="32"/>
          <w:szCs w:val="32"/>
          <w:lang w:val="en-US" w:eastAsia="zh-CN" w:bidi="ar-SA"/>
        </w:rPr>
      </w:pPr>
      <w:r>
        <w:rPr>
          <w:rFonts w:hint="eastAsia" w:ascii="仿宋" w:hAnsi="仿宋" w:eastAsia="仿宋" w:cs="黑体"/>
          <w:color w:val="000000"/>
          <w:sz w:val="32"/>
          <w:szCs w:val="32"/>
          <w:lang w:val="en-US" w:eastAsia="zh-CN" w:bidi="ar-SA"/>
        </w:rPr>
        <w:t>年初预算为800万元，支出决算为712.51万元，决算数小于年初预算数的主要原因是：财政资金紧张，欠款清偿进度暂缓。</w:t>
      </w:r>
    </w:p>
    <w:p w14:paraId="3360B1E1">
      <w:pPr>
        <w:pStyle w:val="7"/>
        <w:autoSpaceDE w:val="0"/>
        <w:autoSpaceDN w:val="0"/>
        <w:adjustRightInd w:val="0"/>
        <w:spacing w:line="570" w:lineRule="exact"/>
        <w:ind w:firstLine="640" w:firstLineChars="200"/>
        <w:rPr>
          <w:rFonts w:hint="eastAsia" w:ascii="仿宋" w:hAnsi="仿宋" w:eastAsia="仿宋" w:cs="黑体"/>
          <w:color w:val="000000"/>
          <w:sz w:val="32"/>
          <w:szCs w:val="32"/>
          <w:lang w:val="en-US" w:eastAsia="zh-CN" w:bidi="ar-SA"/>
        </w:rPr>
      </w:pPr>
      <w:r>
        <w:rPr>
          <w:rFonts w:hint="eastAsia" w:ascii="仿宋" w:hAnsi="仿宋" w:eastAsia="仿宋" w:cs="黑体"/>
          <w:color w:val="000000"/>
          <w:sz w:val="32"/>
          <w:szCs w:val="32"/>
          <w:lang w:val="en-US" w:eastAsia="zh-CN" w:bidi="ar-SA"/>
        </w:rPr>
        <w:t>8、卫生健康支出（类）公共卫生（款）其他公共卫生支出（项）。</w:t>
      </w:r>
    </w:p>
    <w:p w14:paraId="6E163ECA">
      <w:pPr>
        <w:pStyle w:val="7"/>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hint="eastAsia" w:ascii="仿宋" w:hAnsi="仿宋" w:eastAsia="仿宋" w:cs="黑体"/>
          <w:color w:val="000000"/>
          <w:sz w:val="32"/>
          <w:szCs w:val="32"/>
          <w:lang w:val="en-US" w:eastAsia="zh-CN" w:bidi="ar-SA"/>
        </w:rPr>
        <w:t>年初预算为0万元，支出决算为7.65万元，决算数大于年初预算数的主要原因是：上级下拨了经费。</w:t>
      </w:r>
    </w:p>
    <w:p w14:paraId="07426B03">
      <w:pPr>
        <w:pStyle w:val="7"/>
        <w:numPr>
          <w:ilvl w:val="0"/>
          <w:numId w:val="0"/>
        </w:numPr>
        <w:autoSpaceDE w:val="0"/>
        <w:autoSpaceDN w:val="0"/>
        <w:adjustRightInd w:val="0"/>
        <w:spacing w:line="570" w:lineRule="exact"/>
        <w:ind w:left="0" w:leftChars="0" w:firstLine="640" w:firstLineChars="200"/>
        <w:rPr>
          <w:rFonts w:ascii="Times New Roman" w:hAnsi="Times New Roman" w:eastAsia="黑体" w:cs="Times New Roman"/>
          <w:color w:val="000000"/>
          <w:kern w:val="0"/>
          <w:sz w:val="32"/>
          <w:szCs w:val="32"/>
        </w:rPr>
      </w:pPr>
      <w:r>
        <w:rPr>
          <w:rFonts w:hint="eastAsia" w:ascii="Times New Roman" w:hAnsi="Times New Roman" w:eastAsia="黑体" w:cs="Times New Roman"/>
          <w:color w:val="000000"/>
          <w:kern w:val="0"/>
          <w:sz w:val="32"/>
          <w:szCs w:val="32"/>
          <w:lang w:val="en-US" w:eastAsia="zh-CN" w:bidi="ar-SA"/>
        </w:rPr>
        <w:t>六、</w:t>
      </w:r>
      <w:r>
        <w:rPr>
          <w:rFonts w:ascii="Times New Roman" w:hAnsi="Times New Roman" w:eastAsia="黑体" w:cs="Times New Roman"/>
          <w:color w:val="000000"/>
          <w:kern w:val="0"/>
          <w:sz w:val="32"/>
          <w:szCs w:val="32"/>
        </w:rPr>
        <w:t>一般公共预算财政拨款基本支出决算情况说明</w:t>
      </w:r>
    </w:p>
    <w:p w14:paraId="1F0BBF82">
      <w:pPr>
        <w:pStyle w:val="7"/>
        <w:autoSpaceDE w:val="0"/>
        <w:autoSpaceDN w:val="0"/>
        <w:adjustRightInd w:val="0"/>
        <w:spacing w:line="570" w:lineRule="exact"/>
        <w:ind w:firstLine="640" w:firstLineChars="200"/>
        <w:rPr>
          <w:rFonts w:ascii="Times New Roman" w:hAnsi="Times New Roman" w:eastAsia="黑体" w:cs="Times New Roman"/>
          <w:color w:val="000000"/>
          <w:kern w:val="0"/>
          <w:sz w:val="32"/>
          <w:szCs w:val="32"/>
        </w:rPr>
      </w:pPr>
      <w:r>
        <w:rPr>
          <w:rFonts w:hint="eastAsia" w:ascii="仿宋" w:hAnsi="仿宋" w:eastAsia="仿宋" w:cs="黑体"/>
          <w:color w:val="000000"/>
          <w:sz w:val="32"/>
          <w:szCs w:val="32"/>
          <w:lang w:val="en-US" w:eastAsia="zh-CN" w:bidi="ar-SA"/>
        </w:rPr>
        <w:t>2023年度财政拨款基本支出523.08万元，其中：人员经费455.73万元，占基本支出的87.1%,主要包括基本工资、津贴补贴、奖金、住房公积金等；公用经费67.35万元，占基本支出的12.9%，主要包括办公费、物业管理费、邮电费、其他商品和服务支出等。</w:t>
      </w:r>
    </w:p>
    <w:p w14:paraId="1EC1D2D6">
      <w:pPr>
        <w:pStyle w:val="7"/>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七、一般公共预算财政拨款“三公”经费支出决算情况说明</w:t>
      </w:r>
    </w:p>
    <w:p w14:paraId="4F1912DA">
      <w:pPr>
        <w:pStyle w:val="7"/>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（一）“三公”经费财政拨款支出决算总体情况说明</w:t>
      </w:r>
    </w:p>
    <w:p w14:paraId="5F78F481">
      <w:pPr>
        <w:pStyle w:val="16"/>
        <w:ind w:firstLine="800" w:firstLineChars="250"/>
        <w:rPr>
          <w:rFonts w:ascii="Times New Roman" w:hAnsi="Times New Roman" w:eastAsia="仿宋" w:cs="Times New Roman"/>
          <w:sz w:val="32"/>
          <w:szCs w:val="32"/>
        </w:rPr>
      </w:pPr>
      <w:r>
        <w:rPr>
          <w:rFonts w:ascii="Times New Roman" w:hAnsi="Times New Roman" w:eastAsia="仿宋" w:cs="Times New Roman"/>
          <w:sz w:val="32"/>
          <w:szCs w:val="32"/>
        </w:rPr>
        <w:t>2023年度“三公”经费财政拨款支出预算为</w:t>
      </w:r>
      <w:r>
        <w:rPr>
          <w:rFonts w:hint="eastAsia" w:ascii="Times New Roman" w:hAnsi="Times New Roman" w:eastAsia="仿宋" w:cs="Times New Roman"/>
          <w:sz w:val="32"/>
          <w:szCs w:val="32"/>
          <w:lang w:val="en-US" w:eastAsia="zh-CN"/>
        </w:rPr>
        <w:t>4.1</w:t>
      </w:r>
      <w:r>
        <w:rPr>
          <w:rFonts w:ascii="Times New Roman" w:hAnsi="Times New Roman" w:eastAsia="仿宋" w:cs="Times New Roman"/>
          <w:sz w:val="32"/>
          <w:szCs w:val="32"/>
        </w:rPr>
        <w:t>万元，支出决算为</w:t>
      </w:r>
      <w:r>
        <w:rPr>
          <w:rFonts w:hint="eastAsia" w:ascii="Times New Roman" w:hAnsi="Times New Roman" w:eastAsia="仿宋" w:cs="Times New Roman"/>
          <w:sz w:val="32"/>
          <w:szCs w:val="32"/>
          <w:lang w:val="en-US" w:eastAsia="zh-CN"/>
        </w:rPr>
        <w:t>7.38</w:t>
      </w:r>
      <w:r>
        <w:rPr>
          <w:rFonts w:ascii="Times New Roman" w:hAnsi="Times New Roman" w:eastAsia="仿宋" w:cs="Times New Roman"/>
          <w:sz w:val="32"/>
          <w:szCs w:val="32"/>
        </w:rPr>
        <w:t>万元</w:t>
      </w:r>
      <w:r>
        <w:rPr>
          <w:rFonts w:ascii="Times New Roman" w:hAnsi="Times New Roman" w:eastAsia="仿宋" w:cs="Times New Roman"/>
          <w:sz w:val="32"/>
          <w:szCs w:val="32"/>
          <w:highlight w:val="none"/>
        </w:rPr>
        <w:t>，完成预算</w:t>
      </w:r>
      <w:r>
        <w:rPr>
          <w:rFonts w:ascii="Times New Roman" w:hAnsi="Times New Roman" w:eastAsia="仿宋" w:cs="Times New Roman"/>
          <w:sz w:val="32"/>
          <w:szCs w:val="32"/>
        </w:rPr>
        <w:t>的</w:t>
      </w:r>
      <w:r>
        <w:rPr>
          <w:rFonts w:hint="eastAsia" w:ascii="Times New Roman" w:hAnsi="Times New Roman" w:eastAsia="仿宋" w:cs="Times New Roman"/>
          <w:sz w:val="32"/>
          <w:szCs w:val="32"/>
          <w:lang w:val="en-US" w:eastAsia="zh-CN"/>
        </w:rPr>
        <w:t>180</w:t>
      </w:r>
      <w:r>
        <w:rPr>
          <w:rFonts w:ascii="Times New Roman" w:hAnsi="Times New Roman" w:eastAsia="仿宋" w:cs="Times New Roman"/>
          <w:sz w:val="32"/>
          <w:szCs w:val="32"/>
        </w:rPr>
        <w:t>%,其中：</w:t>
      </w:r>
    </w:p>
    <w:p w14:paraId="4F4BBCD7">
      <w:pPr>
        <w:pStyle w:val="16"/>
        <w:ind w:firstLine="800" w:firstLineChars="250"/>
        <w:rPr>
          <w:rFonts w:ascii="Times New Roman" w:hAnsi="Times New Roman" w:eastAsia="仿宋" w:cs="Times New Roman"/>
          <w:sz w:val="32"/>
          <w:szCs w:val="32"/>
        </w:rPr>
      </w:pPr>
      <w:r>
        <w:rPr>
          <w:rFonts w:ascii="Times New Roman" w:hAnsi="Times New Roman" w:eastAsia="仿宋" w:cs="Times New Roman"/>
          <w:sz w:val="32"/>
          <w:szCs w:val="32"/>
        </w:rPr>
        <w:t>因公出国（境）费支出预算为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万元，支出决算为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w:t>
      </w:r>
      <w:r>
        <w:rPr>
          <w:rFonts w:ascii="Times New Roman" w:hAnsi="Times New Roman" w:eastAsia="仿宋" w:cs="Times New Roman"/>
          <w:sz w:val="32"/>
          <w:szCs w:val="32"/>
          <w:highlight w:val="none"/>
        </w:rPr>
        <w:t>决算数等于预算数</w:t>
      </w:r>
      <w:r>
        <w:rPr>
          <w:rFonts w:ascii="Times New Roman" w:hAnsi="Times New Roman" w:eastAsia="仿宋" w:cs="Times New Roman"/>
          <w:sz w:val="32"/>
          <w:szCs w:val="32"/>
        </w:rPr>
        <w:t>。</w:t>
      </w:r>
      <w:r>
        <w:rPr>
          <w:rFonts w:hint="eastAsia" w:ascii="仿宋" w:hAnsi="仿宋" w:eastAsia="仿宋"/>
          <w:sz w:val="32"/>
          <w:szCs w:val="32"/>
        </w:rPr>
        <w:t>与上年相比</w:t>
      </w:r>
      <w:r>
        <w:rPr>
          <w:rFonts w:hint="eastAsia" w:ascii="仿宋" w:hAnsi="仿宋" w:eastAsia="仿宋"/>
          <w:sz w:val="32"/>
          <w:szCs w:val="32"/>
          <w:lang w:eastAsia="zh-CN"/>
        </w:rPr>
        <w:t>无变动</w:t>
      </w:r>
      <w:r>
        <w:rPr>
          <w:rFonts w:hint="eastAsia" w:ascii="仿宋" w:hAnsi="仿宋" w:eastAsia="仿宋"/>
          <w:sz w:val="32"/>
          <w:szCs w:val="32"/>
        </w:rPr>
        <w:t>的主要原因是上年也无因公出国（境）费支出</w:t>
      </w:r>
      <w:r>
        <w:rPr>
          <w:rFonts w:hint="eastAsia" w:ascii="仿宋" w:hAnsi="仿宋" w:eastAsia="仿宋"/>
          <w:sz w:val="32"/>
          <w:szCs w:val="32"/>
          <w:lang w:eastAsia="zh-CN"/>
        </w:rPr>
        <w:t>。</w:t>
      </w:r>
    </w:p>
    <w:p w14:paraId="599178A6">
      <w:pPr>
        <w:pStyle w:val="16"/>
        <w:ind w:firstLine="800" w:firstLineChars="250"/>
        <w:rPr>
          <w:rFonts w:ascii="Times New Roman" w:hAnsi="Times New Roman" w:eastAsia="仿宋" w:cs="Times New Roman"/>
          <w:sz w:val="32"/>
          <w:szCs w:val="32"/>
        </w:rPr>
      </w:pPr>
      <w:r>
        <w:rPr>
          <w:rFonts w:ascii="Times New Roman" w:hAnsi="Times New Roman" w:eastAsia="仿宋" w:cs="Times New Roman"/>
          <w:sz w:val="32"/>
          <w:szCs w:val="32"/>
        </w:rPr>
        <w:t>公务接待费支出预算为</w:t>
      </w:r>
      <w:r>
        <w:rPr>
          <w:rFonts w:hint="eastAsia" w:ascii="Times New Roman" w:hAnsi="Times New Roman" w:eastAsia="仿宋" w:cs="Times New Roman"/>
          <w:sz w:val="32"/>
          <w:szCs w:val="32"/>
          <w:lang w:val="en-US" w:eastAsia="zh-CN"/>
        </w:rPr>
        <w:t>0.1</w:t>
      </w:r>
      <w:r>
        <w:rPr>
          <w:rFonts w:ascii="Times New Roman" w:hAnsi="Times New Roman" w:eastAsia="仿宋" w:cs="Times New Roman"/>
          <w:sz w:val="32"/>
          <w:szCs w:val="32"/>
        </w:rPr>
        <w:t>万元，支出决算为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万元，完成预算的</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w:t>
      </w:r>
      <w:r>
        <w:rPr>
          <w:rFonts w:hint="eastAsia" w:ascii="仿宋" w:hAnsi="仿宋" w:eastAsia="仿宋"/>
          <w:sz w:val="32"/>
          <w:szCs w:val="32"/>
        </w:rPr>
        <w:t>与上年相比</w:t>
      </w:r>
      <w:r>
        <w:rPr>
          <w:rFonts w:hint="eastAsia" w:ascii="仿宋" w:hAnsi="仿宋" w:eastAsia="仿宋"/>
          <w:sz w:val="32"/>
          <w:szCs w:val="32"/>
          <w:lang w:eastAsia="zh-CN"/>
        </w:rPr>
        <w:t>无变动</w:t>
      </w:r>
      <w:r>
        <w:rPr>
          <w:rFonts w:hint="eastAsia" w:ascii="仿宋" w:hAnsi="仿宋" w:eastAsia="仿宋"/>
          <w:sz w:val="32"/>
          <w:szCs w:val="32"/>
        </w:rPr>
        <w:t>的主要原因是上年也无</w:t>
      </w:r>
      <w:r>
        <w:rPr>
          <w:rFonts w:ascii="Times New Roman" w:hAnsi="Times New Roman" w:eastAsia="仿宋" w:cs="Times New Roman"/>
          <w:sz w:val="32"/>
          <w:szCs w:val="32"/>
        </w:rPr>
        <w:t>公务接待费支出</w:t>
      </w:r>
      <w:r>
        <w:rPr>
          <w:rFonts w:hint="eastAsia" w:ascii="仿宋" w:hAnsi="仿宋" w:eastAsia="仿宋"/>
          <w:sz w:val="32"/>
          <w:szCs w:val="32"/>
          <w:lang w:eastAsia="zh-CN"/>
        </w:rPr>
        <w:t>。</w:t>
      </w:r>
    </w:p>
    <w:p w14:paraId="01ABD0A2">
      <w:pPr>
        <w:pStyle w:val="16"/>
        <w:ind w:firstLine="800" w:firstLineChars="250"/>
        <w:rPr>
          <w:rFonts w:ascii="Times New Roman" w:hAnsi="Times New Roman" w:eastAsia="仿宋" w:cs="Times New Roman"/>
          <w:sz w:val="32"/>
          <w:szCs w:val="32"/>
        </w:rPr>
      </w:pPr>
      <w:r>
        <w:rPr>
          <w:rFonts w:ascii="Times New Roman" w:hAnsi="Times New Roman" w:eastAsia="仿宋" w:cs="Times New Roman"/>
          <w:sz w:val="32"/>
          <w:szCs w:val="32"/>
        </w:rPr>
        <w:t>公务用车购置费支出预算为0万元，支出决算为0万元</w:t>
      </w:r>
      <w:r>
        <w:rPr>
          <w:rFonts w:ascii="Times New Roman" w:hAnsi="Times New Roman" w:eastAsia="仿宋" w:cs="Times New Roman"/>
          <w:sz w:val="32"/>
          <w:szCs w:val="32"/>
          <w:highlight w:val="none"/>
        </w:rPr>
        <w:t>，决算数等于预算数</w:t>
      </w:r>
      <w:r>
        <w:rPr>
          <w:rFonts w:ascii="Times New Roman" w:hAnsi="Times New Roman" w:eastAsia="仿宋" w:cs="Times New Roman"/>
          <w:sz w:val="32"/>
          <w:szCs w:val="32"/>
        </w:rPr>
        <w:t>。</w:t>
      </w:r>
      <w:r>
        <w:rPr>
          <w:rFonts w:hint="eastAsia" w:ascii="仿宋" w:hAnsi="仿宋" w:eastAsia="仿宋"/>
          <w:sz w:val="32"/>
          <w:szCs w:val="32"/>
        </w:rPr>
        <w:t>与上年相比无变动的主要原因是厉行节约</w:t>
      </w:r>
      <w:r>
        <w:rPr>
          <w:rFonts w:hint="eastAsia" w:ascii="仿宋" w:hAnsi="仿宋" w:eastAsia="仿宋"/>
          <w:sz w:val="32"/>
          <w:szCs w:val="32"/>
          <w:lang w:eastAsia="zh-CN"/>
        </w:rPr>
        <w:t>。</w:t>
      </w:r>
    </w:p>
    <w:p w14:paraId="428DBE1B">
      <w:pPr>
        <w:pStyle w:val="16"/>
        <w:ind w:firstLine="640" w:firstLineChars="200"/>
        <w:rPr>
          <w:rFonts w:hint="eastAsia" w:ascii="Times New Roman" w:hAnsi="Times New Roman" w:eastAsia="仿宋" w:cs="Times New Roman"/>
          <w:sz w:val="32"/>
          <w:szCs w:val="32"/>
          <w:lang w:eastAsia="zh-CN"/>
        </w:rPr>
      </w:pPr>
      <w:r>
        <w:rPr>
          <w:rFonts w:ascii="Times New Roman" w:hAnsi="Times New Roman" w:eastAsia="仿宋" w:cs="Times New Roman"/>
          <w:sz w:val="32"/>
          <w:szCs w:val="32"/>
        </w:rPr>
        <w:t>公务用车运行维护费支出预算为</w:t>
      </w:r>
      <w:r>
        <w:rPr>
          <w:rFonts w:hint="eastAsia" w:ascii="Times New Roman" w:hAnsi="Times New Roman" w:eastAsia="仿宋" w:cs="Times New Roman"/>
          <w:sz w:val="32"/>
          <w:szCs w:val="32"/>
          <w:lang w:val="en-US" w:eastAsia="zh-CN"/>
        </w:rPr>
        <w:t>4</w:t>
      </w:r>
      <w:r>
        <w:rPr>
          <w:rFonts w:ascii="Times New Roman" w:hAnsi="Times New Roman" w:eastAsia="仿宋" w:cs="Times New Roman"/>
          <w:sz w:val="32"/>
          <w:szCs w:val="32"/>
        </w:rPr>
        <w:t>万元，支出决算为</w:t>
      </w:r>
      <w:r>
        <w:rPr>
          <w:rFonts w:hint="eastAsia" w:ascii="Times New Roman" w:hAnsi="Times New Roman" w:eastAsia="仿宋" w:cs="Times New Roman"/>
          <w:sz w:val="32"/>
          <w:szCs w:val="32"/>
          <w:lang w:val="en-US" w:eastAsia="zh-CN"/>
        </w:rPr>
        <w:t>7.38</w:t>
      </w:r>
      <w:r>
        <w:rPr>
          <w:rFonts w:ascii="Times New Roman" w:hAnsi="Times New Roman" w:eastAsia="仿宋" w:cs="Times New Roman"/>
          <w:sz w:val="32"/>
          <w:szCs w:val="32"/>
        </w:rPr>
        <w:t>万元，</w:t>
      </w:r>
      <w:r>
        <w:rPr>
          <w:rFonts w:ascii="Times New Roman" w:hAnsi="Times New Roman" w:eastAsia="仿宋" w:cs="Times New Roman"/>
          <w:sz w:val="32"/>
          <w:szCs w:val="32"/>
          <w:highlight w:val="none"/>
        </w:rPr>
        <w:t>完成预算的</w:t>
      </w:r>
      <w:r>
        <w:rPr>
          <w:rFonts w:hint="eastAsia" w:ascii="Times New Roman" w:hAnsi="Times New Roman" w:eastAsia="仿宋" w:cs="Times New Roman"/>
          <w:sz w:val="32"/>
          <w:szCs w:val="32"/>
          <w:highlight w:val="none"/>
          <w:lang w:val="en-US" w:eastAsia="zh-CN"/>
        </w:rPr>
        <w:t>184.5</w:t>
      </w:r>
      <w:r>
        <w:rPr>
          <w:rFonts w:ascii="Times New Roman" w:hAnsi="Times New Roman" w:eastAsia="仿宋" w:cs="Times New Roman"/>
          <w:sz w:val="32"/>
          <w:szCs w:val="32"/>
          <w:highlight w:val="none"/>
        </w:rPr>
        <w:t>%</w:t>
      </w:r>
      <w:r>
        <w:rPr>
          <w:rFonts w:ascii="Times New Roman" w:hAnsi="Times New Roman" w:eastAsia="仿宋" w:cs="Times New Roman"/>
          <w:sz w:val="32"/>
          <w:szCs w:val="32"/>
        </w:rPr>
        <w:t>。与上年相比</w:t>
      </w:r>
      <w:r>
        <w:rPr>
          <w:rFonts w:hint="eastAsia" w:ascii="Times New Roman" w:hAnsi="Times New Roman" w:eastAsia="仿宋" w:cs="Times New Roman"/>
          <w:sz w:val="32"/>
          <w:szCs w:val="32"/>
          <w:lang w:val="en-US" w:eastAsia="zh-CN"/>
        </w:rPr>
        <w:t>增加了3.51万元</w:t>
      </w:r>
      <w:r>
        <w:rPr>
          <w:rFonts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增加</w:t>
      </w:r>
      <w:r>
        <w:rPr>
          <w:rFonts w:ascii="Times New Roman" w:hAnsi="Times New Roman" w:eastAsia="仿宋" w:cs="Times New Roman"/>
          <w:sz w:val="32"/>
          <w:szCs w:val="32"/>
        </w:rPr>
        <w:t>的主要原因是</w:t>
      </w:r>
      <w:r>
        <w:rPr>
          <w:rFonts w:hint="eastAsia" w:ascii="仿宋" w:hAnsi="仿宋" w:eastAsia="仿宋"/>
          <w:color w:val="000000"/>
          <w:sz w:val="32"/>
          <w:szCs w:val="32"/>
        </w:rPr>
        <w:t>23年疾控中心和卫生综合监督执法局单位合并，卫生综合监督执法局预算经费全部划入疾控中心账户</w:t>
      </w:r>
      <w:r>
        <w:rPr>
          <w:rFonts w:hint="eastAsia" w:ascii="仿宋" w:hAnsi="仿宋" w:eastAsia="仿宋"/>
          <w:color w:val="000000"/>
          <w:sz w:val="32"/>
          <w:szCs w:val="32"/>
          <w:lang w:eastAsia="zh-CN"/>
        </w:rPr>
        <w:t>。</w:t>
      </w:r>
    </w:p>
    <w:p w14:paraId="4B4C23BC">
      <w:pPr>
        <w:pStyle w:val="16"/>
        <w:ind w:firstLine="640"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3F814191">
      <w:pPr>
        <w:pStyle w:val="16"/>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2023年度“三公”经费财政拨款支出决算中，公务接待费支出决算</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万元，占</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%,因公出国（境）费支出决算</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万元，占</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%,公务用车购置费及运行维护费支出决算</w:t>
      </w:r>
      <w:r>
        <w:rPr>
          <w:rFonts w:hint="eastAsia" w:ascii="Times New Roman" w:hAnsi="Times New Roman" w:eastAsia="仿宋" w:cs="Times New Roman"/>
          <w:sz w:val="32"/>
          <w:szCs w:val="32"/>
          <w:lang w:val="en-US" w:eastAsia="zh-CN"/>
        </w:rPr>
        <w:t>7.38</w:t>
      </w:r>
      <w:r>
        <w:rPr>
          <w:rFonts w:ascii="Times New Roman" w:hAnsi="Times New Roman" w:eastAsia="仿宋" w:cs="Times New Roman"/>
          <w:sz w:val="32"/>
          <w:szCs w:val="32"/>
        </w:rPr>
        <w:t>万元，占</w:t>
      </w:r>
      <w:r>
        <w:rPr>
          <w:rFonts w:hint="eastAsia" w:ascii="Times New Roman" w:hAnsi="Times New Roman" w:eastAsia="仿宋" w:cs="Times New Roman"/>
          <w:sz w:val="32"/>
          <w:szCs w:val="32"/>
          <w:lang w:val="en-US" w:eastAsia="zh-CN"/>
        </w:rPr>
        <w:t>100</w:t>
      </w:r>
      <w:r>
        <w:rPr>
          <w:rFonts w:ascii="Times New Roman" w:hAnsi="Times New Roman" w:eastAsia="仿宋" w:cs="Times New Roman"/>
          <w:sz w:val="32"/>
          <w:szCs w:val="32"/>
        </w:rPr>
        <w:t>%。其中：</w:t>
      </w:r>
    </w:p>
    <w:p w14:paraId="08EA60E4">
      <w:pPr>
        <w:pStyle w:val="16"/>
        <w:ind w:firstLine="800" w:firstLineChars="250"/>
        <w:rPr>
          <w:rFonts w:ascii="Times New Roman" w:hAnsi="Times New Roman" w:eastAsia="仿宋" w:cs="Times New Roman"/>
          <w:sz w:val="32"/>
          <w:szCs w:val="32"/>
        </w:rPr>
      </w:pPr>
      <w:r>
        <w:rPr>
          <w:rFonts w:ascii="Times New Roman" w:hAnsi="Times New Roman" w:eastAsia="仿宋" w:cs="Times New Roman"/>
          <w:sz w:val="32"/>
          <w:szCs w:val="32"/>
        </w:rPr>
        <w:t>1、因公出国（境）费支出决算为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万元，全年安排因公出国（境）团组</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个，累计</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 xml:space="preserve">人次。    </w:t>
      </w:r>
    </w:p>
    <w:p w14:paraId="13BC53A9">
      <w:pPr>
        <w:pStyle w:val="16"/>
        <w:ind w:firstLine="800" w:firstLineChars="250"/>
        <w:rPr>
          <w:rFonts w:ascii="Times New Roman" w:hAnsi="Times New Roman" w:eastAsia="仿宋" w:cs="Times New Roman"/>
          <w:sz w:val="32"/>
          <w:szCs w:val="32"/>
        </w:rPr>
      </w:pPr>
      <w:r>
        <w:rPr>
          <w:rFonts w:ascii="Times New Roman" w:hAnsi="Times New Roman" w:eastAsia="仿宋" w:cs="Times New Roman"/>
          <w:sz w:val="32"/>
          <w:szCs w:val="32"/>
        </w:rPr>
        <w:t>2、公务接待费支出决算为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万元，全年共接待来访团组</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个、来宾</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人次。</w:t>
      </w:r>
    </w:p>
    <w:p w14:paraId="76DB6414">
      <w:pPr>
        <w:ind w:firstLine="800" w:firstLineChars="25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3、公务用车购置费及运行维护费支出决算为</w:t>
      </w:r>
      <w:r>
        <w:rPr>
          <w:rFonts w:hint="eastAsia" w:ascii="Times New Roman" w:hAnsi="Times New Roman" w:eastAsia="仿宋" w:cs="Times New Roman"/>
          <w:color w:val="000000"/>
          <w:kern w:val="0"/>
          <w:sz w:val="32"/>
          <w:szCs w:val="32"/>
          <w:lang w:val="en-US" w:eastAsia="zh-CN"/>
        </w:rPr>
        <w:t>7.38</w:t>
      </w:r>
      <w:r>
        <w:rPr>
          <w:rFonts w:ascii="Times New Roman" w:hAnsi="Times New Roman" w:eastAsia="仿宋" w:cs="Times New Roman"/>
          <w:color w:val="000000"/>
          <w:kern w:val="0"/>
          <w:sz w:val="32"/>
          <w:szCs w:val="32"/>
        </w:rPr>
        <w:t>万元，其中：公务用车购置费</w:t>
      </w:r>
      <w:r>
        <w:rPr>
          <w:rFonts w:hint="eastAsia" w:ascii="Times New Roman" w:hAnsi="Times New Roman" w:eastAsia="仿宋" w:cs="Times New Roman"/>
          <w:color w:val="000000"/>
          <w:kern w:val="0"/>
          <w:sz w:val="32"/>
          <w:szCs w:val="32"/>
          <w:lang w:val="en-US" w:eastAsia="zh-CN"/>
        </w:rPr>
        <w:t>0</w:t>
      </w:r>
      <w:r>
        <w:rPr>
          <w:rFonts w:ascii="Times New Roman" w:hAnsi="Times New Roman" w:eastAsia="仿宋" w:cs="Times New Roman"/>
          <w:color w:val="000000"/>
          <w:kern w:val="0"/>
          <w:sz w:val="32"/>
          <w:szCs w:val="32"/>
        </w:rPr>
        <w:t>万元，购置公务用车</w:t>
      </w:r>
      <w:r>
        <w:rPr>
          <w:rFonts w:hint="eastAsia" w:ascii="Times New Roman" w:hAnsi="Times New Roman" w:eastAsia="仿宋" w:cs="Times New Roman"/>
          <w:color w:val="000000"/>
          <w:kern w:val="0"/>
          <w:sz w:val="32"/>
          <w:szCs w:val="32"/>
          <w:lang w:val="en-US" w:eastAsia="zh-CN"/>
        </w:rPr>
        <w:t>0</w:t>
      </w:r>
      <w:r>
        <w:rPr>
          <w:rFonts w:ascii="Times New Roman" w:hAnsi="Times New Roman" w:eastAsia="仿宋" w:cs="Times New Roman"/>
          <w:color w:val="000000"/>
          <w:kern w:val="0"/>
          <w:sz w:val="32"/>
          <w:szCs w:val="32"/>
        </w:rPr>
        <w:t>辆。公务用车运行维护费</w:t>
      </w:r>
      <w:r>
        <w:rPr>
          <w:rFonts w:hint="eastAsia" w:ascii="Times New Roman" w:hAnsi="Times New Roman" w:eastAsia="仿宋" w:cs="Times New Roman"/>
          <w:color w:val="000000"/>
          <w:kern w:val="0"/>
          <w:sz w:val="32"/>
          <w:szCs w:val="32"/>
          <w:lang w:val="en-US" w:eastAsia="zh-CN"/>
        </w:rPr>
        <w:t>7.38</w:t>
      </w:r>
      <w:r>
        <w:rPr>
          <w:rFonts w:ascii="Times New Roman" w:hAnsi="Times New Roman" w:eastAsia="仿宋" w:cs="Times New Roman"/>
          <w:color w:val="000000"/>
          <w:kern w:val="0"/>
          <w:sz w:val="32"/>
          <w:szCs w:val="32"/>
        </w:rPr>
        <w:t>万元，截止2023年12月31日，我单位开支财政拨款的公务用车保有量为</w:t>
      </w:r>
      <w:r>
        <w:rPr>
          <w:rFonts w:hint="eastAsia" w:ascii="Times New Roman" w:hAnsi="Times New Roman" w:eastAsia="仿宋" w:cs="Times New Roman"/>
          <w:color w:val="000000"/>
          <w:kern w:val="0"/>
          <w:sz w:val="32"/>
          <w:szCs w:val="32"/>
          <w:lang w:val="en-US" w:eastAsia="zh-CN"/>
        </w:rPr>
        <w:t>2</w:t>
      </w:r>
      <w:r>
        <w:rPr>
          <w:rFonts w:ascii="Times New Roman" w:hAnsi="Times New Roman" w:eastAsia="仿宋" w:cs="Times New Roman"/>
          <w:color w:val="000000"/>
          <w:kern w:val="0"/>
          <w:sz w:val="32"/>
          <w:szCs w:val="32"/>
        </w:rPr>
        <w:t>辆。</w:t>
      </w:r>
    </w:p>
    <w:p w14:paraId="2ABE79C2">
      <w:pPr>
        <w:pStyle w:val="7"/>
        <w:autoSpaceDE w:val="0"/>
        <w:autoSpaceDN w:val="0"/>
        <w:adjustRightInd w:val="0"/>
        <w:spacing w:line="570" w:lineRule="exact"/>
        <w:ind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八、政府性基金预算收入支出决算情况</w:t>
      </w:r>
    </w:p>
    <w:p w14:paraId="770658D2">
      <w:pPr>
        <w:pStyle w:val="7"/>
        <w:autoSpaceDE w:val="0"/>
        <w:autoSpaceDN w:val="0"/>
        <w:adjustRightInd w:val="0"/>
        <w:spacing w:line="570" w:lineRule="exact"/>
        <w:ind w:firstLine="640" w:firstLineChars="200"/>
        <w:rPr>
          <w:rFonts w:ascii="Times New Roman" w:hAnsi="Times New Roman" w:eastAsia="黑体" w:cs="Times New Roman"/>
          <w:color w:val="000000"/>
          <w:kern w:val="0"/>
          <w:sz w:val="32"/>
          <w:szCs w:val="32"/>
        </w:rPr>
      </w:pPr>
      <w:r>
        <w:rPr>
          <w:rFonts w:hint="eastAsia" w:ascii="仿宋" w:hAnsi="仿宋" w:eastAsia="仿宋" w:cs="黑体"/>
          <w:color w:val="000000"/>
          <w:kern w:val="0"/>
          <w:sz w:val="32"/>
          <w:szCs w:val="32"/>
          <w:lang w:val="en-US" w:eastAsia="zh-CN" w:bidi="ar-SA"/>
        </w:rPr>
        <w:t>2023年度政府性基金预算财政拨款收入0万元；年初结转和结余0万元；支出0万元，其中基本支出0万元，项目支出0万元；年末结转和结余0万元。2023年度我单位无政府性基金预算收入支出。</w:t>
      </w:r>
    </w:p>
    <w:p w14:paraId="4CD07E28">
      <w:pPr>
        <w:pStyle w:val="7"/>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九、国有资本经营预算支出决算情况</w:t>
      </w:r>
    </w:p>
    <w:p w14:paraId="56DBECF8">
      <w:pPr>
        <w:pStyle w:val="7"/>
        <w:autoSpaceDE w:val="0"/>
        <w:autoSpaceDN w:val="0"/>
        <w:adjustRightInd w:val="0"/>
        <w:spacing w:line="570" w:lineRule="exact"/>
        <w:ind w:firstLine="640" w:firstLineChars="200"/>
        <w:rPr>
          <w:rFonts w:ascii="Times New Roman" w:hAnsi="Times New Roman" w:eastAsia="仿宋_GB2312" w:cs="Times New Roman"/>
          <w:sz w:val="32"/>
          <w:szCs w:val="32"/>
        </w:rPr>
      </w:pPr>
      <w:r>
        <w:rPr>
          <w:rFonts w:ascii="Times New Roman" w:hAnsi="Times New Roman" w:eastAsia="仿宋" w:cs="Times New Roman"/>
          <w:color w:val="000000"/>
          <w:kern w:val="0"/>
          <w:sz w:val="32"/>
          <w:szCs w:val="32"/>
        </w:rPr>
        <w:t>2023年度本单位没有使用国有资本经营预算安排的支出</w:t>
      </w:r>
      <w:r>
        <w:rPr>
          <w:rFonts w:ascii="Times New Roman" w:hAnsi="Times New Roman" w:eastAsia="仿宋_GB2312" w:cs="Times New Roman"/>
          <w:color w:val="000000"/>
          <w:kern w:val="0"/>
          <w:sz w:val="32"/>
          <w:szCs w:val="32"/>
        </w:rPr>
        <w:t>。</w:t>
      </w:r>
    </w:p>
    <w:p w14:paraId="2AB404CA">
      <w:pPr>
        <w:pStyle w:val="7"/>
        <w:numPr>
          <w:ilvl w:val="0"/>
          <w:numId w:val="3"/>
        </w:numPr>
        <w:autoSpaceDE w:val="0"/>
        <w:autoSpaceDN w:val="0"/>
        <w:adjustRightInd w:val="0"/>
        <w:spacing w:line="570" w:lineRule="exact"/>
        <w:ind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机关运行经费支出说明</w:t>
      </w:r>
    </w:p>
    <w:p w14:paraId="59204CA0">
      <w:pPr>
        <w:pStyle w:val="7"/>
        <w:autoSpaceDE w:val="0"/>
        <w:autoSpaceDN w:val="0"/>
        <w:adjustRightInd w:val="0"/>
        <w:spacing w:line="570" w:lineRule="exact"/>
        <w:ind w:firstLine="640" w:firstLineChars="200"/>
        <w:rPr>
          <w:rFonts w:ascii="Times New Roman" w:hAnsi="Times New Roman" w:eastAsia="黑体" w:cs="Times New Roman"/>
          <w:color w:val="000000"/>
          <w:kern w:val="0"/>
          <w:sz w:val="32"/>
          <w:szCs w:val="32"/>
        </w:rPr>
      </w:pPr>
      <w:r>
        <w:rPr>
          <w:rFonts w:hint="eastAsia" w:ascii="仿宋" w:hAnsi="仿宋" w:eastAsia="仿宋" w:cs="黑体"/>
          <w:color w:val="000000"/>
          <w:kern w:val="0"/>
          <w:sz w:val="32"/>
          <w:szCs w:val="32"/>
          <w:lang w:val="en-US" w:eastAsia="zh-CN" w:bidi="ar-SA"/>
        </w:rPr>
        <w:t>本部门2023年度机关运行经费支出47.98万元，比年初预算数增加13.98万元，增加41.1%。主要原因是：</w:t>
      </w:r>
      <w:r>
        <w:rPr>
          <w:rFonts w:hint="eastAsia" w:ascii="仿宋" w:hAnsi="仿宋" w:eastAsia="仿宋"/>
          <w:color w:val="000000"/>
          <w:sz w:val="32"/>
          <w:szCs w:val="32"/>
          <w:lang w:val="en-US" w:eastAsia="zh-CN"/>
        </w:rPr>
        <w:t>23年疾控中心和卫生综合监督执法局单位合并，卫生综合监督执法局预算经费全部划入疾控中心账户。</w:t>
      </w:r>
    </w:p>
    <w:p w14:paraId="42BD5D18">
      <w:pPr>
        <w:pStyle w:val="7"/>
        <w:numPr>
          <w:ilvl w:val="0"/>
          <w:numId w:val="3"/>
        </w:numPr>
        <w:autoSpaceDE w:val="0"/>
        <w:autoSpaceDN w:val="0"/>
        <w:adjustRightInd w:val="0"/>
        <w:spacing w:line="570" w:lineRule="exact"/>
        <w:ind w:left="0" w:leftChars="0"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一般性支出情况说明</w:t>
      </w:r>
    </w:p>
    <w:p w14:paraId="7F667536">
      <w:pPr>
        <w:pStyle w:val="7"/>
        <w:autoSpaceDE w:val="0"/>
        <w:autoSpaceDN w:val="0"/>
        <w:adjustRightInd w:val="0"/>
        <w:spacing w:line="570" w:lineRule="exact"/>
        <w:ind w:firstLine="640" w:firstLineChars="200"/>
        <w:rPr>
          <w:rFonts w:ascii="Times New Roman" w:hAnsi="Times New Roman" w:eastAsia="黑体" w:cs="Times New Roman"/>
          <w:color w:val="000000"/>
          <w:kern w:val="0"/>
          <w:sz w:val="32"/>
          <w:szCs w:val="32"/>
        </w:rPr>
      </w:pPr>
      <w:r>
        <w:rPr>
          <w:rFonts w:hint="eastAsia" w:ascii="仿宋" w:hAnsi="仿宋" w:eastAsia="仿宋" w:cs="黑体"/>
          <w:color w:val="000000"/>
          <w:kern w:val="0"/>
          <w:sz w:val="32"/>
          <w:szCs w:val="32"/>
          <w:lang w:val="en-US" w:eastAsia="zh-CN" w:bidi="ar-SA"/>
        </w:rPr>
        <w:t>2023年本部门开支会议费0万元，开支培训费0万元。</w:t>
      </w:r>
    </w:p>
    <w:p w14:paraId="1CF81BC5">
      <w:pPr>
        <w:pStyle w:val="7"/>
        <w:numPr>
          <w:ilvl w:val="0"/>
          <w:numId w:val="3"/>
        </w:numPr>
        <w:autoSpaceDE w:val="0"/>
        <w:autoSpaceDN w:val="0"/>
        <w:adjustRightInd w:val="0"/>
        <w:spacing w:line="570" w:lineRule="exact"/>
        <w:ind w:left="0" w:leftChars="0"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政府采购支出说明</w:t>
      </w:r>
    </w:p>
    <w:p w14:paraId="0B4C65C1">
      <w:pPr>
        <w:pStyle w:val="7"/>
        <w:autoSpaceDE w:val="0"/>
        <w:autoSpaceDN w:val="0"/>
        <w:adjustRightInd w:val="0"/>
        <w:spacing w:line="570" w:lineRule="exact"/>
        <w:ind w:firstLine="640" w:firstLineChars="200"/>
        <w:rPr>
          <w:rFonts w:ascii="Times New Roman" w:hAnsi="Times New Roman" w:eastAsia="黑体" w:cs="Times New Roman"/>
          <w:color w:val="000000"/>
          <w:kern w:val="0"/>
          <w:sz w:val="32"/>
          <w:szCs w:val="32"/>
        </w:rPr>
      </w:pPr>
      <w:r>
        <w:rPr>
          <w:rFonts w:hint="eastAsia" w:ascii="仿宋" w:hAnsi="仿宋" w:eastAsia="仿宋" w:cs="黑体"/>
          <w:color w:val="000000"/>
          <w:kern w:val="0"/>
          <w:sz w:val="32"/>
          <w:szCs w:val="32"/>
          <w:lang w:val="en-US" w:eastAsia="zh-CN" w:bidi="ar-SA"/>
        </w:rPr>
        <w:t>本部门2023年度政府采购支出总额572.51万元，其中：政府采购货物支出139.78万元、政府采购工程支出2.31万元、政府采购服务支出430.42万元。授予中小企业合同金额520.85万元，占政府采购支出总额的91%，其中：授予小微企业合同金额518.07万元，占授予中小企业合同金额的99.5%；货物采购授予中小企业合同金额占货物支出金额的96.5%，工程采购授予中小企业合同金额占工程支出金额的100%，服务采购授予中小企业合同金额占服务支出金额的89.1%。</w:t>
      </w:r>
    </w:p>
    <w:p w14:paraId="33FD1379">
      <w:pPr>
        <w:pStyle w:val="7"/>
        <w:numPr>
          <w:ilvl w:val="0"/>
          <w:numId w:val="3"/>
        </w:numPr>
        <w:autoSpaceDE w:val="0"/>
        <w:autoSpaceDN w:val="0"/>
        <w:adjustRightInd w:val="0"/>
        <w:spacing w:line="570" w:lineRule="exact"/>
        <w:ind w:left="0" w:leftChars="0"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国有资产占用情况说明</w:t>
      </w:r>
    </w:p>
    <w:p w14:paraId="1E55EFD9">
      <w:pPr>
        <w:pStyle w:val="7"/>
        <w:autoSpaceDE w:val="0"/>
        <w:autoSpaceDN w:val="0"/>
        <w:adjustRightInd w:val="0"/>
        <w:spacing w:line="570" w:lineRule="exact"/>
        <w:ind w:firstLine="640" w:firstLineChars="200"/>
        <w:rPr>
          <w:rFonts w:hint="eastAsia" w:ascii="仿宋" w:hAnsi="仿宋" w:eastAsia="仿宋" w:cs="黑体"/>
          <w:color w:val="000000"/>
          <w:kern w:val="0"/>
          <w:sz w:val="32"/>
          <w:szCs w:val="32"/>
          <w:lang w:val="en-US" w:eastAsia="zh-CN" w:bidi="ar-SA"/>
        </w:rPr>
      </w:pPr>
      <w:r>
        <w:rPr>
          <w:rFonts w:hint="eastAsia" w:ascii="仿宋" w:hAnsi="仿宋" w:eastAsia="仿宋" w:cs="黑体"/>
          <w:color w:val="000000"/>
          <w:kern w:val="0"/>
          <w:sz w:val="32"/>
          <w:szCs w:val="32"/>
          <w:lang w:val="en-US" w:eastAsia="zh-CN" w:bidi="ar-SA"/>
        </w:rPr>
        <w:t>截至2023年12月31日，部门（单位）共有车辆2辆，其中，主要领导干部用车0辆，机要通信用车0辆、应急保障用车0辆、执法执勤用车1辆、特种专业技术用车0辆、其他用车1辆，其他用车主要是用于业务工作；单位价值50万元以上通用设备0台（套）；单位价值100万元以上专用设备0台（套）。</w:t>
      </w:r>
    </w:p>
    <w:p w14:paraId="4279C9F2">
      <w:pPr>
        <w:pStyle w:val="7"/>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十四、重点项目预算的绩效评价结果等情况说明</w:t>
      </w:r>
    </w:p>
    <w:p w14:paraId="2ECEA6A1">
      <w:pPr>
        <w:pStyle w:val="7"/>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（一）绩效管理评价工作开展情况。</w:t>
      </w:r>
    </w:p>
    <w:p w14:paraId="3144BBD5">
      <w:pPr>
        <w:pStyle w:val="7"/>
        <w:autoSpaceDE w:val="0"/>
        <w:autoSpaceDN w:val="0"/>
        <w:adjustRightInd w:val="0"/>
        <w:spacing w:line="570" w:lineRule="exact"/>
        <w:ind w:firstLine="640" w:firstLineChars="200"/>
        <w:rPr>
          <w:rFonts w:hint="eastAsia" w:ascii="仿宋" w:hAnsi="仿宋" w:eastAsia="仿宋" w:cs="黑体"/>
          <w:color w:val="000000"/>
          <w:kern w:val="0"/>
          <w:sz w:val="32"/>
          <w:szCs w:val="32"/>
          <w:lang w:val="en-US" w:eastAsia="zh-CN" w:bidi="ar-SA"/>
        </w:rPr>
      </w:pPr>
      <w:r>
        <w:rPr>
          <w:rFonts w:hint="eastAsia" w:ascii="仿宋" w:hAnsi="仿宋" w:eastAsia="仿宋" w:cs="黑体"/>
          <w:color w:val="000000"/>
          <w:kern w:val="0"/>
          <w:sz w:val="32"/>
          <w:szCs w:val="32"/>
          <w:lang w:val="en-US" w:eastAsia="zh-CN" w:bidi="ar-SA"/>
        </w:rPr>
        <w:t>根据预算绩效管理要求，我部门组织对2023年度一般公共预算项目支出全面开展绩效自评，其中，一级项目0个，二级项目17个，共涉及资金3960.5万元，占一般公共预算项目支出总额的100%。</w:t>
      </w:r>
    </w:p>
    <w:p w14:paraId="521DF659">
      <w:pPr>
        <w:pStyle w:val="7"/>
        <w:autoSpaceDE w:val="0"/>
        <w:autoSpaceDN w:val="0"/>
        <w:adjustRightInd w:val="0"/>
        <w:spacing w:line="570" w:lineRule="exact"/>
        <w:ind w:firstLine="640" w:firstLineChars="200"/>
        <w:rPr>
          <w:rFonts w:hint="eastAsia" w:ascii="仿宋" w:hAnsi="仿宋" w:eastAsia="仿宋" w:cs="黑体"/>
          <w:color w:val="000000"/>
          <w:kern w:val="0"/>
          <w:sz w:val="32"/>
          <w:szCs w:val="32"/>
          <w:lang w:val="en-US" w:eastAsia="zh-CN" w:bidi="ar-SA"/>
        </w:rPr>
      </w:pPr>
      <w:r>
        <w:rPr>
          <w:rFonts w:hint="eastAsia" w:ascii="仿宋" w:hAnsi="仿宋" w:eastAsia="仿宋" w:cs="黑体"/>
          <w:color w:val="000000"/>
          <w:kern w:val="0"/>
          <w:sz w:val="32"/>
          <w:szCs w:val="32"/>
          <w:lang w:val="en-US" w:eastAsia="zh-CN" w:bidi="ar-SA"/>
        </w:rPr>
        <w:t>组织对“疫情防控专项”“基本公卫”等17个项目开展了绩效评价，涉及一般公共预算支出3960.5万元，政府性基金预算支出0万元，国有资本经营预算支出0万元。从评价情况来看，有关项目立项程序完整、规范，预算执行及时、有效，绩效目标得到较好实现，绩效管理水平不断提高，绩效指标体系建设逐渐丰富和完善。</w:t>
      </w:r>
    </w:p>
    <w:p w14:paraId="12934513">
      <w:pPr>
        <w:pStyle w:val="7"/>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hint="eastAsia" w:ascii="仿宋" w:hAnsi="仿宋" w:eastAsia="仿宋" w:cs="黑体"/>
          <w:color w:val="000000"/>
          <w:kern w:val="0"/>
          <w:sz w:val="32"/>
          <w:szCs w:val="32"/>
          <w:lang w:val="en-US" w:eastAsia="zh-CN" w:bidi="ar-SA"/>
        </w:rPr>
        <w:t>组织对株洲市石峰区疾病预防控制中心开展整体支出绩效评价，涉及一般公共预算支出4483.58万元，政府性基金预算支出0万元。部门整体支出绩效评价报告详见第五部分。</w:t>
      </w:r>
    </w:p>
    <w:p w14:paraId="5F7F609A">
      <w:pPr>
        <w:pStyle w:val="7"/>
        <w:numPr>
          <w:ilvl w:val="0"/>
          <w:numId w:val="4"/>
        </w:numPr>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部门评价项目绩效评价结果。</w:t>
      </w:r>
    </w:p>
    <w:p w14:paraId="1ECCC80A">
      <w:pPr>
        <w:pStyle w:val="7"/>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hint="eastAsia" w:ascii="仿宋" w:hAnsi="仿宋" w:eastAsia="仿宋" w:cs="黑体"/>
          <w:color w:val="000000"/>
          <w:kern w:val="0"/>
          <w:sz w:val="32"/>
          <w:szCs w:val="32"/>
          <w:lang w:val="en-US" w:eastAsia="zh-CN" w:bidi="ar-SA"/>
        </w:rPr>
        <w:t>项目绩效自评详见第五部分2023年度项目支出绩效自评表。</w:t>
      </w:r>
    </w:p>
    <w:p w14:paraId="7C6A4FE6">
      <w:pPr>
        <w:pStyle w:val="7"/>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十五、其他重要事项情况说明</w:t>
      </w:r>
    </w:p>
    <w:p w14:paraId="271E7053">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本单位没有独立网站，因此只在株洲市石峰区区政府门户网财政预决算和三公经费公开专栏中公开。</w:t>
      </w:r>
    </w:p>
    <w:p w14:paraId="4F564F92">
      <w:pPr>
        <w:pStyle w:val="16"/>
        <w:jc w:val="both"/>
        <w:rPr>
          <w:rFonts w:ascii="Times New Roman" w:hAnsi="Times New Roman" w:cs="Times New Roman"/>
          <w:sz w:val="84"/>
          <w:szCs w:val="84"/>
        </w:rPr>
      </w:pPr>
    </w:p>
    <w:p w14:paraId="2E377203">
      <w:pPr>
        <w:pStyle w:val="16"/>
        <w:jc w:val="both"/>
        <w:rPr>
          <w:rFonts w:ascii="Times New Roman" w:hAnsi="Times New Roman" w:cs="Times New Roman"/>
          <w:sz w:val="84"/>
          <w:szCs w:val="84"/>
        </w:rPr>
      </w:pPr>
    </w:p>
    <w:p w14:paraId="25EEAB09">
      <w:pPr>
        <w:pStyle w:val="16"/>
        <w:jc w:val="both"/>
        <w:rPr>
          <w:rFonts w:ascii="Times New Roman" w:hAnsi="Times New Roman" w:cs="Times New Roman"/>
          <w:sz w:val="84"/>
          <w:szCs w:val="84"/>
        </w:rPr>
      </w:pPr>
    </w:p>
    <w:p w14:paraId="2568C994">
      <w:pPr>
        <w:pStyle w:val="16"/>
        <w:jc w:val="both"/>
        <w:rPr>
          <w:rFonts w:ascii="Times New Roman" w:hAnsi="Times New Roman" w:cs="Times New Roman"/>
          <w:sz w:val="84"/>
          <w:szCs w:val="84"/>
        </w:rPr>
      </w:pPr>
    </w:p>
    <w:p w14:paraId="67A68EDE">
      <w:pPr>
        <w:pStyle w:val="16"/>
        <w:jc w:val="both"/>
        <w:rPr>
          <w:rFonts w:ascii="Times New Roman" w:hAnsi="Times New Roman" w:cs="Times New Roman"/>
          <w:sz w:val="84"/>
          <w:szCs w:val="84"/>
        </w:rPr>
      </w:pPr>
    </w:p>
    <w:p w14:paraId="391E5404">
      <w:pPr>
        <w:pStyle w:val="16"/>
        <w:jc w:val="both"/>
        <w:rPr>
          <w:rFonts w:ascii="Times New Roman" w:hAnsi="Times New Roman" w:cs="Times New Roman"/>
          <w:sz w:val="84"/>
          <w:szCs w:val="84"/>
        </w:rPr>
      </w:pPr>
    </w:p>
    <w:p w14:paraId="4BD9EBE9">
      <w:pPr>
        <w:pStyle w:val="16"/>
        <w:jc w:val="both"/>
        <w:rPr>
          <w:rFonts w:ascii="Times New Roman" w:hAnsi="Times New Roman" w:cs="Times New Roman"/>
          <w:sz w:val="84"/>
          <w:szCs w:val="84"/>
        </w:rPr>
      </w:pPr>
    </w:p>
    <w:p w14:paraId="658499D7">
      <w:pPr>
        <w:pStyle w:val="16"/>
        <w:jc w:val="both"/>
        <w:rPr>
          <w:rFonts w:ascii="Times New Roman" w:hAnsi="Times New Roman" w:cs="Times New Roman"/>
          <w:sz w:val="84"/>
          <w:szCs w:val="84"/>
        </w:rPr>
      </w:pPr>
    </w:p>
    <w:p w14:paraId="1EE05816">
      <w:pPr>
        <w:pStyle w:val="16"/>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第四部分</w:t>
      </w:r>
    </w:p>
    <w:p w14:paraId="07914172">
      <w:pPr>
        <w:pStyle w:val="16"/>
        <w:jc w:val="center"/>
        <w:rPr>
          <w:rFonts w:ascii="Times New Roman" w:hAnsi="Times New Roman" w:eastAsia="方正小标宋简体" w:cs="Times New Roman"/>
          <w:sz w:val="76"/>
          <w:szCs w:val="76"/>
        </w:rPr>
      </w:pPr>
    </w:p>
    <w:p w14:paraId="769C2CDE">
      <w:pPr>
        <w:pStyle w:val="16"/>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名词解释</w:t>
      </w:r>
    </w:p>
    <w:p w14:paraId="7A0984C8">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方正小标宋简体" w:cs="Times New Roman"/>
          <w:sz w:val="32"/>
          <w:szCs w:val="32"/>
        </w:rPr>
        <w:br w:type="page"/>
      </w:r>
      <w:r>
        <w:rPr>
          <w:rFonts w:ascii="Times New Roman" w:hAnsi="Times New Roman" w:eastAsia="黑体" w:cs="Times New Roman"/>
          <w:color w:val="000000"/>
          <w:kern w:val="0"/>
          <w:sz w:val="32"/>
          <w:szCs w:val="32"/>
        </w:rPr>
        <w:t>一、财政拨款收入：</w:t>
      </w:r>
      <w:r>
        <w:rPr>
          <w:rFonts w:ascii="Times New Roman" w:hAnsi="Times New Roman" w:eastAsia="仿宋_GB2312" w:cs="Times New Roman"/>
          <w:color w:val="000000"/>
          <w:kern w:val="0"/>
          <w:sz w:val="32"/>
          <w:szCs w:val="32"/>
        </w:rPr>
        <w:t>指单位从同级财政部门取得的财政预算资金。</w:t>
      </w:r>
    </w:p>
    <w:p w14:paraId="4D4704C1">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二、事业收入：</w:t>
      </w:r>
      <w:r>
        <w:rPr>
          <w:rFonts w:ascii="Times New Roman" w:hAnsi="Times New Roman" w:eastAsia="仿宋_GB2312" w:cs="Times New Roman"/>
          <w:color w:val="000000"/>
          <w:kern w:val="0"/>
          <w:sz w:val="32"/>
          <w:szCs w:val="32"/>
        </w:rPr>
        <w:t>指事业单位开展专业业务活动及辅助活动取得的收入。</w:t>
      </w:r>
    </w:p>
    <w:p w14:paraId="4A24FDAE">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三、经营收入：</w:t>
      </w:r>
      <w:r>
        <w:rPr>
          <w:rFonts w:ascii="Times New Roman" w:hAnsi="Times New Roman" w:eastAsia="仿宋_GB2312" w:cs="Times New Roman"/>
          <w:color w:val="000000"/>
          <w:kern w:val="0"/>
          <w:sz w:val="32"/>
          <w:szCs w:val="32"/>
        </w:rPr>
        <w:t>指事业单位在专业业务活动及其辅助活动之外开展非独立核算经营活动取得的收入。</w:t>
      </w:r>
    </w:p>
    <w:p w14:paraId="6F91AF5D">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四、其他收入：</w:t>
      </w:r>
      <w:r>
        <w:rPr>
          <w:rFonts w:ascii="Times New Roman" w:hAnsi="Times New Roman" w:eastAsia="仿宋_GB2312" w:cs="Times New Roman"/>
          <w:color w:val="000000"/>
          <w:kern w:val="0"/>
          <w:sz w:val="32"/>
          <w:szCs w:val="32"/>
        </w:rPr>
        <w:t>指单位取得的除上述收入以外的各项收入。</w:t>
      </w:r>
    </w:p>
    <w:p w14:paraId="61A9510B">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五、用事业基金弥补收支差额：</w:t>
      </w:r>
      <w:r>
        <w:rPr>
          <w:rFonts w:ascii="Times New Roman" w:hAnsi="Times New Roman" w:eastAsia="仿宋_GB2312" w:cs="Times New Roman"/>
          <w:color w:val="000000"/>
          <w:kern w:val="0"/>
          <w:sz w:val="32"/>
          <w:szCs w:val="32"/>
        </w:rPr>
        <w:t>指事业单位在当年的财政拨款收入、事业收入、其他收入不足以安排当年支出的情况下，使用以前年度积累的事业基金（事业单位当年收支相抵后按国家规定提取、用于弥补以后年度收支差额的基金）弥补本年度收支缺口的资金。</w:t>
      </w:r>
    </w:p>
    <w:p w14:paraId="1F54219F">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六、年初结转和结余：</w:t>
      </w:r>
      <w:r>
        <w:rPr>
          <w:rFonts w:ascii="Times New Roman" w:hAnsi="Times New Roman" w:eastAsia="仿宋_GB2312" w:cs="Times New Roman"/>
          <w:color w:val="000000"/>
          <w:kern w:val="0"/>
          <w:sz w:val="32"/>
          <w:szCs w:val="32"/>
        </w:rPr>
        <w:t>指单位以前年度尚未完成、结转到本年按有关规定继续使用的资金。</w:t>
      </w:r>
    </w:p>
    <w:p w14:paraId="7F7D2AA9">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七、“三公经费”支出：</w:t>
      </w:r>
      <w:r>
        <w:rPr>
          <w:rFonts w:ascii="Times New Roman" w:hAnsi="Times New Roman" w:eastAsia="仿宋_GB2312" w:cs="Times New Roman"/>
          <w:color w:val="000000"/>
          <w:kern w:val="0"/>
          <w:sz w:val="32"/>
          <w:szCs w:val="32"/>
        </w:rPr>
        <w:t>指通过财政拨款资金安排的因公出国（境）费、公务用车购置及运行费和公务接待费支出。</w:t>
      </w:r>
    </w:p>
    <w:p w14:paraId="5C222EAB">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八、机关运行经费：</w:t>
      </w:r>
      <w:r>
        <w:rPr>
          <w:rFonts w:ascii="Times New Roman" w:hAnsi="Times New Roman" w:eastAsia="仿宋_GB2312" w:cs="Times New Roman"/>
          <w:color w:val="000000"/>
          <w:kern w:val="0"/>
          <w:sz w:val="32"/>
          <w:szCs w:val="32"/>
        </w:rPr>
        <w:t>为保障行政单位（含参照公务员法管理的事业单位）运行用于购买货物和服务的各项资金，包括办公费、印刷费、咨询费、手续费、水费、电费、邮电费、取暖费、物业管理费、差旅费、因公出国（境）费、维修（护）费、租赁费、会议费、培训费、公务接待费、专用材料费、劳务费、委托业务费、工会经费、福利费、公务用车运行维护费以及其他费用等。</w:t>
      </w:r>
    </w:p>
    <w:p w14:paraId="1C993AEE">
      <w:pPr>
        <w:pStyle w:val="16"/>
        <w:jc w:val="both"/>
        <w:rPr>
          <w:rFonts w:hint="eastAsia" w:ascii="Times New Roman" w:hAnsi="Times New Roman" w:cs="Times New Roman"/>
          <w:sz w:val="72"/>
          <w:szCs w:val="72"/>
        </w:rPr>
      </w:pPr>
    </w:p>
    <w:p w14:paraId="4E05B180">
      <w:pPr>
        <w:pStyle w:val="16"/>
        <w:jc w:val="both"/>
        <w:rPr>
          <w:rFonts w:ascii="Times New Roman" w:hAnsi="Times New Roman" w:cs="Times New Roman"/>
          <w:sz w:val="84"/>
          <w:szCs w:val="84"/>
        </w:rPr>
      </w:pPr>
    </w:p>
    <w:p w14:paraId="22857F8A">
      <w:pPr>
        <w:pStyle w:val="16"/>
        <w:jc w:val="both"/>
        <w:rPr>
          <w:rFonts w:ascii="Times New Roman" w:hAnsi="Times New Roman" w:cs="Times New Roman"/>
          <w:sz w:val="84"/>
          <w:szCs w:val="84"/>
        </w:rPr>
      </w:pPr>
    </w:p>
    <w:p w14:paraId="2C2DBC25">
      <w:pPr>
        <w:pStyle w:val="16"/>
        <w:jc w:val="center"/>
        <w:rPr>
          <w:rFonts w:ascii="Times New Roman" w:hAnsi="Times New Roman" w:eastAsia="方正小标宋简体" w:cs="Times New Roman"/>
          <w:sz w:val="56"/>
          <w:szCs w:val="56"/>
        </w:rPr>
      </w:pPr>
      <w:r>
        <w:rPr>
          <w:rFonts w:ascii="Times New Roman" w:hAnsi="Times New Roman" w:eastAsia="方正小标宋简体" w:cs="Times New Roman"/>
          <w:sz w:val="56"/>
          <w:szCs w:val="56"/>
        </w:rPr>
        <w:t>第五部分</w:t>
      </w:r>
    </w:p>
    <w:p w14:paraId="1B75343A">
      <w:pPr>
        <w:pStyle w:val="16"/>
        <w:jc w:val="center"/>
        <w:rPr>
          <w:rFonts w:ascii="Times New Roman" w:hAnsi="Times New Roman" w:eastAsia="方正小标宋简体" w:cs="Times New Roman"/>
          <w:sz w:val="56"/>
          <w:szCs w:val="56"/>
        </w:rPr>
      </w:pPr>
    </w:p>
    <w:p w14:paraId="06ED39C2">
      <w:pPr>
        <w:pStyle w:val="16"/>
        <w:jc w:val="center"/>
        <w:rPr>
          <w:rFonts w:ascii="Times New Roman" w:hAnsi="Times New Roman" w:eastAsia="方正小标宋简体" w:cs="Times New Roman"/>
          <w:sz w:val="56"/>
          <w:szCs w:val="56"/>
        </w:rPr>
      </w:pPr>
      <w:r>
        <w:rPr>
          <w:rFonts w:ascii="Times New Roman" w:hAnsi="Times New Roman" w:eastAsia="方正小标宋简体" w:cs="Times New Roman"/>
          <w:sz w:val="56"/>
          <w:szCs w:val="56"/>
        </w:rPr>
        <w:t>附  件</w:t>
      </w:r>
    </w:p>
    <w:p w14:paraId="59021727">
      <w:pPr>
        <w:pStyle w:val="16"/>
        <w:spacing w:line="596" w:lineRule="exact"/>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br w:type="page"/>
      </w:r>
    </w:p>
    <w:p w14:paraId="0B55363A">
      <w:pPr>
        <w:pStyle w:val="16"/>
        <w:spacing w:line="596" w:lineRule="exact"/>
        <w:jc w:val="center"/>
        <w:rPr>
          <w:rFonts w:hint="eastAsia" w:ascii="Times New Roman" w:hAnsi="Times New Roman" w:eastAsia="方正小标宋简体" w:cs="Times New Roman"/>
          <w:sz w:val="44"/>
          <w:szCs w:val="44"/>
          <w:lang w:eastAsia="zh-CN"/>
        </w:rPr>
      </w:pPr>
      <w:r>
        <w:rPr>
          <w:rFonts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rPr>
        <w:t>3</w:t>
      </w:r>
      <w:r>
        <w:rPr>
          <w:rFonts w:ascii="Times New Roman" w:hAnsi="Times New Roman" w:eastAsia="方正小标宋简体" w:cs="Times New Roman"/>
          <w:sz w:val="44"/>
          <w:szCs w:val="44"/>
        </w:rPr>
        <w:t>年度部门整体支出绩效</w:t>
      </w:r>
      <w:r>
        <w:rPr>
          <w:rFonts w:hint="eastAsia" w:ascii="Times New Roman" w:hAnsi="Times New Roman" w:eastAsia="方正小标宋简体" w:cs="Times New Roman"/>
          <w:sz w:val="44"/>
          <w:szCs w:val="44"/>
          <w:lang w:eastAsia="zh-CN"/>
        </w:rPr>
        <w:t>自评报告</w:t>
      </w:r>
    </w:p>
    <w:p w14:paraId="3892EF11">
      <w:pPr>
        <w:pStyle w:val="16"/>
        <w:spacing w:line="596" w:lineRule="exact"/>
        <w:jc w:val="center"/>
        <w:rPr>
          <w:rFonts w:hint="eastAsia" w:ascii="Times New Roman" w:hAnsi="Times New Roman" w:eastAsia="方正小标宋简体" w:cs="Times New Roman"/>
          <w:sz w:val="32"/>
          <w:szCs w:val="32"/>
          <w:lang w:eastAsia="zh-CN"/>
        </w:rPr>
      </w:pPr>
    </w:p>
    <w:p w14:paraId="2FC870D3">
      <w:pPr>
        <w:pStyle w:val="16"/>
        <w:spacing w:line="596" w:lineRule="exact"/>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详</w:t>
      </w:r>
      <w:r>
        <w:rPr>
          <w:rFonts w:hint="default" w:ascii="Times New Roman" w:hAnsi="Times New Roman" w:eastAsia="仿宋_GB2312" w:cs="Times New Roman"/>
          <w:sz w:val="32"/>
          <w:szCs w:val="32"/>
          <w:lang w:eastAsia="zh-CN"/>
        </w:rPr>
        <w:t>见附件</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p>
    <w:sectPr>
      <w:pgSz w:w="11906" w:h="16838"/>
      <w:pgMar w:top="1984" w:right="1531" w:bottom="1701" w:left="1531" w:header="851" w:footer="1191"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5745F">
    <w:pPr>
      <w:pStyle w:val="5"/>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B2627E2">
                          <w:pPr>
                            <w:pStyle w:val="5"/>
                            <w:rPr>
                              <w:rFonts w:ascii="宋体" w:cs="Times New Roman"/>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25</w:t>
                          </w:r>
                          <w:r>
                            <w:rPr>
                              <w:rFonts w:ascii="宋体" w:hAnsi="宋体" w:cs="宋体"/>
                              <w:sz w:val="28"/>
                              <w:szCs w:val="28"/>
                            </w:rPr>
                            <w:fldChar w:fldCharType="end"/>
                          </w:r>
                          <w:r>
                            <w:rPr>
                              <w:rFonts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aD3B88BAACq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bJc&#10;vU4K9QErKnwIVBqHOz+k6imOFEzEhxZs+hIlRnnS93zVVw2RyXRpvVqvS0pJys0O4RSP1wNgfKu8&#10;ZcmoOdADZl3F6T3GsXQuSd2cv9fGUFxUxv0VIMwxovIWTLcTk3HiZMVhP0w09r45E7ueNqHmjhaf&#10;M/POkdBpaWYDZmM/G8cA+tDRoMs8JYbbY6SR8qSpwwhLDJNDT5i5TuuWduRPP1c9/m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ZoPcHzwEAAKoDAAAOAAAAAAAAAAEAIAAAAB4BAABkcnMv&#10;ZTJvRG9jLnhtbFBLBQYAAAAABgAGAFkBAABfBQAAAAA=&#10;">
              <v:fill on="f" focussize="0,0"/>
              <v:stroke on="f"/>
              <v:imagedata o:title=""/>
              <o:lock v:ext="edit" aspectratio="f"/>
              <v:textbox inset="0mm,0mm,0mm,0mm" style="mso-fit-shape-to-text:t;">
                <w:txbxContent>
                  <w:p w14:paraId="5B2627E2">
                    <w:pPr>
                      <w:pStyle w:val="5"/>
                      <w:rPr>
                        <w:rFonts w:ascii="宋体" w:cs="Times New Roman"/>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25</w:t>
                    </w:r>
                    <w:r>
                      <w:rPr>
                        <w:rFonts w:ascii="宋体" w:hAnsi="宋体" w:cs="宋体"/>
                        <w:sz w:val="28"/>
                        <w:szCs w:val="28"/>
                      </w:rPr>
                      <w:fldChar w:fldCharType="end"/>
                    </w:r>
                    <w:r>
                      <w:rPr>
                        <w:rFonts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EB71D0"/>
    <w:multiLevelType w:val="multilevel"/>
    <w:tmpl w:val="07EB71D0"/>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21267FD7"/>
    <w:multiLevelType w:val="singleLevel"/>
    <w:tmpl w:val="21267FD7"/>
    <w:lvl w:ilvl="0" w:tentative="0">
      <w:start w:val="2"/>
      <w:numFmt w:val="chineseCounting"/>
      <w:suff w:val="nothing"/>
      <w:lvlText w:val="（%1）"/>
      <w:lvlJc w:val="left"/>
      <w:rPr>
        <w:rFonts w:hint="eastAsia"/>
      </w:rPr>
    </w:lvl>
  </w:abstractNum>
  <w:abstractNum w:abstractNumId="2">
    <w:nsid w:val="36265CB9"/>
    <w:multiLevelType w:val="singleLevel"/>
    <w:tmpl w:val="36265CB9"/>
    <w:lvl w:ilvl="0" w:tentative="0">
      <w:start w:val="2"/>
      <w:numFmt w:val="chineseCounting"/>
      <w:suff w:val="nothing"/>
      <w:lvlText w:val="（%1）"/>
      <w:lvlJc w:val="left"/>
      <w:rPr>
        <w:rFonts w:hint="eastAsia"/>
      </w:rPr>
    </w:lvl>
  </w:abstractNum>
  <w:abstractNum w:abstractNumId="3">
    <w:nsid w:val="59C79783"/>
    <w:multiLevelType w:val="singleLevel"/>
    <w:tmpl w:val="59C79783"/>
    <w:lvl w:ilvl="0" w:tentative="0">
      <w:start w:val="10"/>
      <w:numFmt w:val="chineseCounting"/>
      <w:suff w:val="nothing"/>
      <w:lvlText w:val="%1、"/>
      <w:lvlJc w:val="left"/>
      <w:rPr>
        <w:rFonts w:hint="eastAsi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NotTrackMoves/>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4MTNiMzQ5ZmVkMTRjODU4M2Y0MTgwMzQwNTIyYmUifQ=="/>
  </w:docVars>
  <w:rsids>
    <w:rsidRoot w:val="004506F9"/>
    <w:rsid w:val="00005205"/>
    <w:rsid w:val="0002229B"/>
    <w:rsid w:val="000273BD"/>
    <w:rsid w:val="000326BD"/>
    <w:rsid w:val="000415B7"/>
    <w:rsid w:val="00041E3F"/>
    <w:rsid w:val="00047162"/>
    <w:rsid w:val="000528EA"/>
    <w:rsid w:val="00055DAA"/>
    <w:rsid w:val="00061F7B"/>
    <w:rsid w:val="000658A3"/>
    <w:rsid w:val="00074155"/>
    <w:rsid w:val="000873EF"/>
    <w:rsid w:val="000A3521"/>
    <w:rsid w:val="000A3F69"/>
    <w:rsid w:val="000C263A"/>
    <w:rsid w:val="000D622D"/>
    <w:rsid w:val="000E4798"/>
    <w:rsid w:val="000E7A2C"/>
    <w:rsid w:val="000F7834"/>
    <w:rsid w:val="001010F1"/>
    <w:rsid w:val="00103957"/>
    <w:rsid w:val="001041C1"/>
    <w:rsid w:val="00120CBE"/>
    <w:rsid w:val="00124A1F"/>
    <w:rsid w:val="0014142C"/>
    <w:rsid w:val="00152C6D"/>
    <w:rsid w:val="00162D39"/>
    <w:rsid w:val="001678BD"/>
    <w:rsid w:val="00170E4E"/>
    <w:rsid w:val="00182373"/>
    <w:rsid w:val="001A67DB"/>
    <w:rsid w:val="001B2BE4"/>
    <w:rsid w:val="001C3C29"/>
    <w:rsid w:val="001D51E5"/>
    <w:rsid w:val="001E080D"/>
    <w:rsid w:val="001E53D0"/>
    <w:rsid w:val="001F0C3B"/>
    <w:rsid w:val="001F3A16"/>
    <w:rsid w:val="002019A2"/>
    <w:rsid w:val="00202C14"/>
    <w:rsid w:val="00202C82"/>
    <w:rsid w:val="00214427"/>
    <w:rsid w:val="00226CB7"/>
    <w:rsid w:val="0024329E"/>
    <w:rsid w:val="0024338B"/>
    <w:rsid w:val="00264552"/>
    <w:rsid w:val="00264EF9"/>
    <w:rsid w:val="00265724"/>
    <w:rsid w:val="00273A5E"/>
    <w:rsid w:val="0027426B"/>
    <w:rsid w:val="002E0A30"/>
    <w:rsid w:val="002E6A2A"/>
    <w:rsid w:val="002F51BE"/>
    <w:rsid w:val="0030641C"/>
    <w:rsid w:val="003130C4"/>
    <w:rsid w:val="00316C4B"/>
    <w:rsid w:val="0032192B"/>
    <w:rsid w:val="00324460"/>
    <w:rsid w:val="003479BD"/>
    <w:rsid w:val="00353306"/>
    <w:rsid w:val="0037197D"/>
    <w:rsid w:val="003768D5"/>
    <w:rsid w:val="003914B6"/>
    <w:rsid w:val="003C4197"/>
    <w:rsid w:val="003C47E6"/>
    <w:rsid w:val="003C4FC2"/>
    <w:rsid w:val="003D1405"/>
    <w:rsid w:val="003E2331"/>
    <w:rsid w:val="003E6275"/>
    <w:rsid w:val="003E70B1"/>
    <w:rsid w:val="003F56A4"/>
    <w:rsid w:val="00416E61"/>
    <w:rsid w:val="00426B15"/>
    <w:rsid w:val="0042790C"/>
    <w:rsid w:val="0043290F"/>
    <w:rsid w:val="00444FDC"/>
    <w:rsid w:val="00447C5A"/>
    <w:rsid w:val="004506F9"/>
    <w:rsid w:val="004717A2"/>
    <w:rsid w:val="00473DF3"/>
    <w:rsid w:val="00487911"/>
    <w:rsid w:val="00491741"/>
    <w:rsid w:val="004B0CEE"/>
    <w:rsid w:val="004C518E"/>
    <w:rsid w:val="004F3A05"/>
    <w:rsid w:val="00500E5F"/>
    <w:rsid w:val="005122EF"/>
    <w:rsid w:val="0051441A"/>
    <w:rsid w:val="005161BE"/>
    <w:rsid w:val="00517C33"/>
    <w:rsid w:val="00517D5F"/>
    <w:rsid w:val="00521AF2"/>
    <w:rsid w:val="00523644"/>
    <w:rsid w:val="0054069E"/>
    <w:rsid w:val="00544866"/>
    <w:rsid w:val="005767CC"/>
    <w:rsid w:val="005774C3"/>
    <w:rsid w:val="00590D9F"/>
    <w:rsid w:val="00595D26"/>
    <w:rsid w:val="005975E2"/>
    <w:rsid w:val="005A317E"/>
    <w:rsid w:val="005A74E6"/>
    <w:rsid w:val="005B404E"/>
    <w:rsid w:val="005B7582"/>
    <w:rsid w:val="005C12C8"/>
    <w:rsid w:val="005C5979"/>
    <w:rsid w:val="005D4D55"/>
    <w:rsid w:val="005E2CFB"/>
    <w:rsid w:val="005F2103"/>
    <w:rsid w:val="005F3D1C"/>
    <w:rsid w:val="00602320"/>
    <w:rsid w:val="006043C9"/>
    <w:rsid w:val="00612501"/>
    <w:rsid w:val="0062378F"/>
    <w:rsid w:val="00641842"/>
    <w:rsid w:val="00651EEC"/>
    <w:rsid w:val="00664B48"/>
    <w:rsid w:val="00686673"/>
    <w:rsid w:val="00691E8C"/>
    <w:rsid w:val="006A22C4"/>
    <w:rsid w:val="006A348B"/>
    <w:rsid w:val="006A351B"/>
    <w:rsid w:val="006B0422"/>
    <w:rsid w:val="006C1B53"/>
    <w:rsid w:val="006C6995"/>
    <w:rsid w:val="006D5E1B"/>
    <w:rsid w:val="006D7730"/>
    <w:rsid w:val="006E5284"/>
    <w:rsid w:val="006F3EB5"/>
    <w:rsid w:val="00702E34"/>
    <w:rsid w:val="00704395"/>
    <w:rsid w:val="00710FE7"/>
    <w:rsid w:val="00717621"/>
    <w:rsid w:val="00720FF1"/>
    <w:rsid w:val="00727A53"/>
    <w:rsid w:val="0073606A"/>
    <w:rsid w:val="0074082B"/>
    <w:rsid w:val="00760BC6"/>
    <w:rsid w:val="00783A35"/>
    <w:rsid w:val="00787B42"/>
    <w:rsid w:val="007C4539"/>
    <w:rsid w:val="007C6F0C"/>
    <w:rsid w:val="007E2D32"/>
    <w:rsid w:val="007F3657"/>
    <w:rsid w:val="008064EA"/>
    <w:rsid w:val="00812ED5"/>
    <w:rsid w:val="00817223"/>
    <w:rsid w:val="00824FDA"/>
    <w:rsid w:val="008277D9"/>
    <w:rsid w:val="00833DBD"/>
    <w:rsid w:val="0084478C"/>
    <w:rsid w:val="00847892"/>
    <w:rsid w:val="0086638C"/>
    <w:rsid w:val="008878D0"/>
    <w:rsid w:val="008A0ABD"/>
    <w:rsid w:val="008A3E8D"/>
    <w:rsid w:val="008E75DA"/>
    <w:rsid w:val="009237C4"/>
    <w:rsid w:val="00944C48"/>
    <w:rsid w:val="00950252"/>
    <w:rsid w:val="0095291E"/>
    <w:rsid w:val="0096582A"/>
    <w:rsid w:val="00967F5D"/>
    <w:rsid w:val="009719DB"/>
    <w:rsid w:val="00975212"/>
    <w:rsid w:val="009761D9"/>
    <w:rsid w:val="00981AFE"/>
    <w:rsid w:val="009A0F95"/>
    <w:rsid w:val="009B2C29"/>
    <w:rsid w:val="009B3ADF"/>
    <w:rsid w:val="009B4BC7"/>
    <w:rsid w:val="009C3B52"/>
    <w:rsid w:val="009C4746"/>
    <w:rsid w:val="009C7ADE"/>
    <w:rsid w:val="009E6817"/>
    <w:rsid w:val="009E6E9A"/>
    <w:rsid w:val="009F24E3"/>
    <w:rsid w:val="00A01D2B"/>
    <w:rsid w:val="00A12713"/>
    <w:rsid w:val="00A229EF"/>
    <w:rsid w:val="00A42218"/>
    <w:rsid w:val="00A57140"/>
    <w:rsid w:val="00A70249"/>
    <w:rsid w:val="00A70B02"/>
    <w:rsid w:val="00A71D9F"/>
    <w:rsid w:val="00A92E9F"/>
    <w:rsid w:val="00AB2EF8"/>
    <w:rsid w:val="00AB695A"/>
    <w:rsid w:val="00AF60C0"/>
    <w:rsid w:val="00B12AB3"/>
    <w:rsid w:val="00B13B87"/>
    <w:rsid w:val="00B17983"/>
    <w:rsid w:val="00B33BEA"/>
    <w:rsid w:val="00B57C9F"/>
    <w:rsid w:val="00B63572"/>
    <w:rsid w:val="00B845B3"/>
    <w:rsid w:val="00B85D8B"/>
    <w:rsid w:val="00B93B74"/>
    <w:rsid w:val="00BB4A40"/>
    <w:rsid w:val="00BC79C5"/>
    <w:rsid w:val="00BD47BA"/>
    <w:rsid w:val="00BD6C3E"/>
    <w:rsid w:val="00BE3674"/>
    <w:rsid w:val="00C05CF1"/>
    <w:rsid w:val="00C10681"/>
    <w:rsid w:val="00C16881"/>
    <w:rsid w:val="00C3049A"/>
    <w:rsid w:val="00C31B1E"/>
    <w:rsid w:val="00C34068"/>
    <w:rsid w:val="00C52CCA"/>
    <w:rsid w:val="00C5598E"/>
    <w:rsid w:val="00C62C50"/>
    <w:rsid w:val="00C77645"/>
    <w:rsid w:val="00CE04C3"/>
    <w:rsid w:val="00CE76A0"/>
    <w:rsid w:val="00CF62EF"/>
    <w:rsid w:val="00CF7390"/>
    <w:rsid w:val="00D055F6"/>
    <w:rsid w:val="00D148C6"/>
    <w:rsid w:val="00D17A8A"/>
    <w:rsid w:val="00D415BA"/>
    <w:rsid w:val="00D46BD7"/>
    <w:rsid w:val="00D52066"/>
    <w:rsid w:val="00D63780"/>
    <w:rsid w:val="00D63DDE"/>
    <w:rsid w:val="00D644EE"/>
    <w:rsid w:val="00D75489"/>
    <w:rsid w:val="00D855D0"/>
    <w:rsid w:val="00DD06FF"/>
    <w:rsid w:val="00DD5FE9"/>
    <w:rsid w:val="00DE4EB3"/>
    <w:rsid w:val="00E00C7A"/>
    <w:rsid w:val="00E13932"/>
    <w:rsid w:val="00E209CF"/>
    <w:rsid w:val="00E25314"/>
    <w:rsid w:val="00E37D6C"/>
    <w:rsid w:val="00E46354"/>
    <w:rsid w:val="00E467AF"/>
    <w:rsid w:val="00E55AC3"/>
    <w:rsid w:val="00E55B68"/>
    <w:rsid w:val="00E67BE6"/>
    <w:rsid w:val="00E8683C"/>
    <w:rsid w:val="00EA2B72"/>
    <w:rsid w:val="00EC4F00"/>
    <w:rsid w:val="00F21988"/>
    <w:rsid w:val="00F4725C"/>
    <w:rsid w:val="00F74360"/>
    <w:rsid w:val="00FB462F"/>
    <w:rsid w:val="00FD0A50"/>
    <w:rsid w:val="00FE16FA"/>
    <w:rsid w:val="00FE328A"/>
    <w:rsid w:val="00FE6269"/>
    <w:rsid w:val="00FF5CD6"/>
    <w:rsid w:val="028C1D30"/>
    <w:rsid w:val="06915006"/>
    <w:rsid w:val="0751274D"/>
    <w:rsid w:val="07634BF4"/>
    <w:rsid w:val="07A77932"/>
    <w:rsid w:val="08F14AE1"/>
    <w:rsid w:val="0B567F72"/>
    <w:rsid w:val="0BD81FE6"/>
    <w:rsid w:val="0C7C6B53"/>
    <w:rsid w:val="0D3F15F5"/>
    <w:rsid w:val="0EF6245F"/>
    <w:rsid w:val="11E43B98"/>
    <w:rsid w:val="13692089"/>
    <w:rsid w:val="18985D2F"/>
    <w:rsid w:val="18FA38C9"/>
    <w:rsid w:val="1B323160"/>
    <w:rsid w:val="1B714E5F"/>
    <w:rsid w:val="1D1D63D2"/>
    <w:rsid w:val="1DFD1CF7"/>
    <w:rsid w:val="1E532BCB"/>
    <w:rsid w:val="1EBE63A2"/>
    <w:rsid w:val="1F041D62"/>
    <w:rsid w:val="1F6317DE"/>
    <w:rsid w:val="1F745786"/>
    <w:rsid w:val="21B1218A"/>
    <w:rsid w:val="238B2E7B"/>
    <w:rsid w:val="267D5806"/>
    <w:rsid w:val="2AD95BF4"/>
    <w:rsid w:val="2E312AA7"/>
    <w:rsid w:val="2F101369"/>
    <w:rsid w:val="2F613469"/>
    <w:rsid w:val="321612FC"/>
    <w:rsid w:val="32B56379"/>
    <w:rsid w:val="35FB48BB"/>
    <w:rsid w:val="38090922"/>
    <w:rsid w:val="38D75D21"/>
    <w:rsid w:val="395219B1"/>
    <w:rsid w:val="450960F8"/>
    <w:rsid w:val="46BE0A2A"/>
    <w:rsid w:val="472236C4"/>
    <w:rsid w:val="47867568"/>
    <w:rsid w:val="47C05439"/>
    <w:rsid w:val="4B1C68ED"/>
    <w:rsid w:val="4B8003CD"/>
    <w:rsid w:val="4F976C0B"/>
    <w:rsid w:val="523F5138"/>
    <w:rsid w:val="538D47D7"/>
    <w:rsid w:val="538E105C"/>
    <w:rsid w:val="53BF69FD"/>
    <w:rsid w:val="591A5257"/>
    <w:rsid w:val="5D2E7409"/>
    <w:rsid w:val="60841B7E"/>
    <w:rsid w:val="635D15B9"/>
    <w:rsid w:val="64714AD2"/>
    <w:rsid w:val="64857E64"/>
    <w:rsid w:val="65965345"/>
    <w:rsid w:val="65F04BE5"/>
    <w:rsid w:val="6A484E25"/>
    <w:rsid w:val="6E0F6D2F"/>
    <w:rsid w:val="6EAE4254"/>
    <w:rsid w:val="74205B29"/>
    <w:rsid w:val="75F714AD"/>
    <w:rsid w:val="78081C98"/>
    <w:rsid w:val="7A2153FC"/>
    <w:rsid w:val="7DC2177C"/>
    <w:rsid w:val="7EAA7C1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2"/>
    <w:qFormat/>
    <w:uiPriority w:val="99"/>
    <w:pPr>
      <w:spacing w:before="100" w:beforeAutospacing="1" w:after="120"/>
    </w:pPr>
    <w:rPr>
      <w:rFonts w:ascii="Times New Roman" w:hAnsi="Times New Roman" w:cs="Times New Roman"/>
    </w:rPr>
  </w:style>
  <w:style w:type="paragraph" w:styleId="3">
    <w:name w:val="annotation text"/>
    <w:basedOn w:val="1"/>
    <w:link w:val="11"/>
    <w:semiHidden/>
    <w:qFormat/>
    <w:uiPriority w:val="99"/>
    <w:pPr>
      <w:jc w:val="left"/>
    </w:pPr>
  </w:style>
  <w:style w:type="paragraph" w:styleId="4">
    <w:name w:val="Balloon Text"/>
    <w:basedOn w:val="1"/>
    <w:link w:val="13"/>
    <w:semiHidden/>
    <w:qFormat/>
    <w:uiPriority w:val="99"/>
    <w:rPr>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rPr>
      <w:sz w:val="24"/>
    </w:rPr>
  </w:style>
  <w:style w:type="character" w:styleId="10">
    <w:name w:val="annotation reference"/>
    <w:basedOn w:val="9"/>
    <w:semiHidden/>
    <w:qFormat/>
    <w:uiPriority w:val="99"/>
    <w:rPr>
      <w:sz w:val="21"/>
      <w:szCs w:val="21"/>
    </w:rPr>
  </w:style>
  <w:style w:type="character" w:customStyle="1" w:styleId="11">
    <w:name w:val="批注文字 Char"/>
    <w:basedOn w:val="9"/>
    <w:link w:val="3"/>
    <w:semiHidden/>
    <w:qFormat/>
    <w:locked/>
    <w:uiPriority w:val="99"/>
    <w:rPr>
      <w:rFonts w:ascii="Calibri" w:hAnsi="Calibri" w:cs="Calibri"/>
      <w:sz w:val="21"/>
      <w:szCs w:val="21"/>
    </w:rPr>
  </w:style>
  <w:style w:type="character" w:customStyle="1" w:styleId="12">
    <w:name w:val="正文文本 Char"/>
    <w:basedOn w:val="9"/>
    <w:link w:val="2"/>
    <w:qFormat/>
    <w:locked/>
    <w:uiPriority w:val="99"/>
    <w:rPr>
      <w:rFonts w:eastAsia="宋体"/>
      <w:kern w:val="2"/>
      <w:sz w:val="21"/>
      <w:szCs w:val="21"/>
      <w:lang w:val="en-US" w:eastAsia="zh-CN"/>
    </w:rPr>
  </w:style>
  <w:style w:type="character" w:customStyle="1" w:styleId="13">
    <w:name w:val="批注框文本 Char"/>
    <w:basedOn w:val="9"/>
    <w:link w:val="4"/>
    <w:semiHidden/>
    <w:qFormat/>
    <w:locked/>
    <w:uiPriority w:val="99"/>
    <w:rPr>
      <w:sz w:val="18"/>
      <w:szCs w:val="18"/>
    </w:rPr>
  </w:style>
  <w:style w:type="character" w:customStyle="1" w:styleId="14">
    <w:name w:val="页脚 Char"/>
    <w:basedOn w:val="9"/>
    <w:link w:val="5"/>
    <w:qFormat/>
    <w:locked/>
    <w:uiPriority w:val="99"/>
    <w:rPr>
      <w:sz w:val="18"/>
      <w:szCs w:val="18"/>
    </w:rPr>
  </w:style>
  <w:style w:type="character" w:customStyle="1" w:styleId="15">
    <w:name w:val="页眉 Char"/>
    <w:basedOn w:val="9"/>
    <w:link w:val="6"/>
    <w:qFormat/>
    <w:locked/>
    <w:uiPriority w:val="99"/>
    <w:rPr>
      <w:sz w:val="18"/>
      <w:szCs w:val="18"/>
    </w:rPr>
  </w:style>
  <w:style w:type="paragraph" w:customStyle="1" w:styleId="16">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17">
    <w:name w:val="List Paragraph"/>
    <w:basedOn w:val="1"/>
    <w:qFormat/>
    <w:uiPriority w:val="99"/>
    <w:pPr>
      <w:ind w:firstLine="420" w:firstLineChars="200"/>
    </w:pPr>
  </w:style>
  <w:style w:type="paragraph" w:customStyle="1" w:styleId="18">
    <w:name w:val="msonorma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9">
    <w:name w:val="正文文字"/>
    <w:basedOn w:val="1"/>
    <w:next w:val="1"/>
    <w:qFormat/>
    <w:uiPriority w:val="99"/>
    <w:pPr>
      <w:spacing w:before="100" w:beforeAutospacing="1" w:after="12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0BFD09-0E6B-4DA2-B428-6FA26A5E151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17</Pages>
  <Words>4748</Words>
  <Characters>5164</Characters>
  <Lines>56</Lines>
  <Paragraphs>15</Paragraphs>
  <TotalTime>4</TotalTime>
  <ScaleCrop>false</ScaleCrop>
  <LinksUpToDate>false</LinksUpToDate>
  <CharactersWithSpaces>5180</CharactersWithSpaces>
  <Application>WPS Office_12.1.0.18334_F1E327BC-269C-435d-A152-05C5408002CA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Administrator</cp:lastModifiedBy>
  <cp:lastPrinted>2022-10-11T01:13:00Z</cp:lastPrinted>
  <dcterms:modified xsi:type="dcterms:W3CDTF">2024-10-21T02:55:27Z</dcterms:modified>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2052-12.1.0.18334</vt:lpwstr>
  </property>
  <property fmtid="{D5CDD505-2E9C-101B-9397-08002B2CF9AE}" pid="3" name="ICV">
    <vt:lpwstr>863B436097EC43A3B736464AF8F9F5D8_13</vt:lpwstr>
  </property>
</Properties>
</file>