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706A9">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359AD8D7">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14:paraId="736749B7">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14:paraId="2A76DD8F">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14:paraId="1E0D226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7ECAED9">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A84E67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8BB9A5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C9EAA4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A32B25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926DA29">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77802B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D73ED8E">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488D2875">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67D71BF">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BE28E85">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DED19A7">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5B7BBE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841B5E2">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株洲市石峰区</w:t>
      </w:r>
      <w:r>
        <w:rPr>
          <w:rFonts w:hint="eastAsia" w:ascii="Times New Roman" w:hAnsi="Times New Roman" w:eastAsia="黑体" w:cs="Times New Roman"/>
          <w:color w:val="auto"/>
          <w:sz w:val="36"/>
          <w:szCs w:val="44"/>
          <w:lang w:eastAsia="zh-CN"/>
        </w:rPr>
        <w:t>疾病预防控制中心</w:t>
      </w:r>
      <w:r>
        <w:rPr>
          <w:rFonts w:hint="default" w:ascii="Times New Roman" w:hAnsi="Times New Roman" w:eastAsia="黑体" w:cs="Times New Roman"/>
          <w:color w:val="auto"/>
          <w:sz w:val="36"/>
          <w:szCs w:val="44"/>
        </w:rPr>
        <w:t>（盖章）</w:t>
      </w:r>
    </w:p>
    <w:p w14:paraId="424AA973">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970C0D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3B9B666">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14:paraId="61B36C2A">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14:paraId="0E9029F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共株洲市石峰区委办公室、株洲市石峰区人民政府办公室关于印发《株洲市石峰区卫生健康局职能配置、内设机构和人员编制规定》的通知，区疾病预防控制中心的主要职责是：拟订全区重大疾病防治规划、免疫规划、严重危害人民健康的公共卫生问题的干预措施并组织实施，承担传染病疫情管理，开展传染性疾病的检测检验；进行健康危害因素监测与干预，开展健康教育、健康促进工作；做好慢性非传染性疾病和重性精神病管理；组织开展学校卫生、地方病、饮用水、食品安全风险监测和交流；承担卫生应急演练的组织实施和指导工作，做好突发公共卫生事件和灾害疫情卫生应急处置；协调组织职业卫生、放射卫生相关政策、标准实施，开展重点职业病监测、专项调查、职业健康风险评估和职业人群健康管理工作；承担全区公共卫生、医疗卫生、职业卫生、计划生育综合监督、打击“两非”工作；组织开展生活饮用水二次供水卫生、学校卫生、传染病防治监督检查；会同有关部门对食品安全标准执行过程中的问题及时指导、解答和开展食品安全标准跟踪评价；规范执法行为，查处医疗服务市场违法行为，完善综合监督体系;负责重要来宾、重要会议与重大活动的卫生应急工作，完善疾病预防控制体系。</w:t>
      </w:r>
    </w:p>
    <w:p w14:paraId="3DD63B43">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本部门共有编制人数34人，实有人数2</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人。内设科室8个，分别为：办公室、监督一科、监督二科、疾控一科、疾控二科、疾控三科、检验科、质量稽查科。</w:t>
      </w:r>
    </w:p>
    <w:p w14:paraId="1CC70A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14:paraId="533041C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4483.58</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1152.5</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3246.31</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84.77</w:t>
      </w:r>
      <w:r>
        <w:rPr>
          <w:rFonts w:hint="default" w:ascii="Times New Roman" w:hAnsi="Times New Roman" w:eastAsia="仿宋_GB2312" w:cs="Times New Roman"/>
          <w:color w:val="auto"/>
          <w:sz w:val="32"/>
          <w:szCs w:val="32"/>
        </w:rPr>
        <w:t>万元。</w:t>
      </w:r>
    </w:p>
    <w:p w14:paraId="2EE2D9B7">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4483.58</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523.08</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3960.5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14:paraId="271D5EB2">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14:paraId="0BF0EF0A">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14:paraId="2765692A">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一、重点工作</w:t>
      </w:r>
    </w:p>
    <w:p w14:paraId="4D4BAC68">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非免疫规划疫苗专款专用。针对宫颈癌疫苗等紧俏疫苗供货量少、群众需求大、预约接种困难的问题，通过多方努力，畅通非税疫苗回款机制，非税收入能及时回款到供货商，非免疫规划疫苗货源供应增加。2023年1-12月累计采购宫颈癌疫苗24209支。</w:t>
      </w:r>
    </w:p>
    <w:p w14:paraId="18BF6BFD">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处置迅速，杜绝疫情传播。8月份我中心接到第一例猴痘病例及登革热病例后，立即启动应急响应，并赶赴现场开展相应的流行病学调查、样本采集及隔离治疗处置，有效制止了疫情的扩散蔓延，充分体现了我区传染病监测系统的敏感性以及传染病疫情处置的及时性。我区处置的第1例登革热，在全省培训班上被列为典型处置案例。</w:t>
      </w:r>
    </w:p>
    <w:p w14:paraId="4131309A">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设中心公众号。充分利用新媒体优势，开设“石峰疾控”微信公众号，上线6天时间关注公众号人数达到2.2万，其中《石峰区学校（幼儿园）传染病防控家长告知书》阅读量近2万。“石峰疾控”公众号开通半年近四万人关注，发布文章102篇。</w:t>
      </w:r>
    </w:p>
    <w:p w14:paraId="1205E21D">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7月20日，省血吸虫病防治督导组采取了现场督查、听取汇报、查阅资料的方式对我区进行汛期血吸虫病防治工作督导进行，对我区血防工作所取得的成绩给予了充分肯定。</w:t>
      </w:r>
    </w:p>
    <w:p w14:paraId="3B0CEBA5">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、主要工作成效</w:t>
      </w:r>
    </w:p>
    <w:p w14:paraId="5EA28863">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提高应急处置能力，把好传染防控关口。成立了4支突发公共卫生事件应急处置机动队，每个机动队明确带队领导，每个队员配置了应急箱、准备了应急物资。截至12月11日我区报告传染病19种共6223例，报告发病率为1813.06/10万。5月12日开展石峰区新形势下新冠病毒疫情防控应急演练，此次演练不仅井然有序的完成了新冠病毒致病力增强变异株聚集性疫情处置的各个环节，同时还根据新形势下的新要求来对部门环节进行调整。</w:t>
      </w:r>
    </w:p>
    <w:p w14:paraId="2E141774">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有效落实免疫规划，共筑株洲免疫长城。按时完成全区免疫规划工作技术培训，规范冷链运转工作，按计划分配免疫规划疫苗、非免疫规划疫苗，实行专帐管理，做到了苗帐相符。按计划开展年度接种率调查，我区常住儿童、流动儿童疫苗接种率均保持在95%以上。加强疑似预防接种异常反应监测处理工作，目前，全区共监测处理AEFI126例。完成4个季度麻风病症状监测任务43人、完成调查332人。</w:t>
      </w:r>
    </w:p>
    <w:p w14:paraId="3B008C4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聚焦慢病防控管理，守护群众身体健康。根据慢病防控管理要求，结合5.20学生营养日、6.6全国爱眼日以及9月全民健康生活方式月和10月份精神卫生宣传日等形式全年开展宣传活动25场，惠及群众5300人。完成124人的健康素养调查；完成了2020年肿瘤年报数据上报工作，完成了597例肿瘤病例收集整理与编码；及时完成死亡病例的审核工作，目前完成死亡病例审核共计2257条，及时对接了公安部门和民政殡葬部门死亡数据，进行比对、删重、下发录入系统工作。</w:t>
      </w:r>
    </w:p>
    <w:p w14:paraId="6983D8D7">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持好蓝盾卫士利剑，当好卫生健康护卫。全年开展普法宣传7场，发放宣传资料6920份，接受群众咨询680人次。全年累计开展执法检查活动2118家次、出动执法人员5456人次、下达卫生监督意见书1232余份、办理案件92起（其中简易程序81起、一般程序11起），罚款3.15万元。全年办理卫生行政许可227件。完成国家双随机任务71家、区“双随机-公开”任务52家，并将监督监测结果于石峰区政府门户网公示。</w:t>
      </w:r>
    </w:p>
    <w:p w14:paraId="3049A03F">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按时完成常规动作，各项工作成绩斐然。统筹推进结核病、艾滋病及性病、血吸虫病、麻风病、碘缺乏病、严重精神障碍性疾病等防控工作。着力提升实验室能力水平，今年完成1828份监测工作。</w:t>
      </w:r>
    </w:p>
    <w:p w14:paraId="2D252FCF">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14:paraId="360D070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疾控公共卫生专项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14:paraId="2F386038">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项目支出7万元，主要用于健康素养调查</w:t>
      </w:r>
      <w:r>
        <w:rPr>
          <w:rFonts w:hint="eastAsia" w:ascii="Times New Roman" w:hAnsi="Times New Roman" w:eastAsia="仿宋_GB2312" w:cs="Times New Roman"/>
          <w:color w:val="auto"/>
          <w:sz w:val="32"/>
          <w:szCs w:val="32"/>
          <w:lang w:eastAsia="zh-CN"/>
        </w:rPr>
        <w:t>以及</w:t>
      </w:r>
      <w:r>
        <w:rPr>
          <w:rFonts w:hint="default" w:ascii="Times New Roman" w:hAnsi="Times New Roman" w:eastAsia="仿宋_GB2312" w:cs="Times New Roman"/>
          <w:color w:val="auto"/>
          <w:sz w:val="32"/>
          <w:szCs w:val="32"/>
        </w:rPr>
        <w:t>健康教育与健康促进工作。</w:t>
      </w:r>
    </w:p>
    <w:p w14:paraId="4612D53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29E21B37">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项目绩效情况：我区完成了372人的调查工作，完成率100%。我区城乡居民健康素养基本知识和技能总知晓率为26.51%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我区居民健康素养水平提高了。</w:t>
      </w:r>
    </w:p>
    <w:p w14:paraId="2FB07C5A">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疫情防控专项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800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510.34</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81.85</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调</w:t>
      </w:r>
      <w:r>
        <w:rPr>
          <w:rFonts w:hint="eastAsia" w:ascii="Times New Roman" w:hAnsi="Times New Roman" w:eastAsia="仿宋_GB2312" w:cs="Times New Roman"/>
          <w:color w:val="auto"/>
          <w:sz w:val="32"/>
          <w:szCs w:val="32"/>
          <w:lang w:eastAsia="zh-CN"/>
        </w:rPr>
        <w:t>减</w:t>
      </w:r>
      <w:r>
        <w:rPr>
          <w:rFonts w:hint="eastAsia" w:ascii="Times New Roman" w:hAnsi="Times New Roman" w:eastAsia="仿宋_GB2312" w:cs="Times New Roman"/>
          <w:color w:val="auto"/>
          <w:sz w:val="32"/>
          <w:szCs w:val="32"/>
          <w:lang w:val="en-US" w:eastAsia="zh-CN"/>
        </w:rPr>
        <w:t>156.11</w:t>
      </w:r>
      <w:r>
        <w:rPr>
          <w:rFonts w:hint="eastAsia"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723.44</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剩余512.64万元年底被财政收回</w:t>
      </w:r>
      <w:r>
        <w:rPr>
          <w:rFonts w:hint="default" w:ascii="Times New Roman" w:hAnsi="Times New Roman" w:eastAsia="仿宋_GB2312" w:cs="Times New Roman"/>
          <w:color w:val="auto"/>
          <w:sz w:val="32"/>
          <w:szCs w:val="32"/>
        </w:rPr>
        <w:t>。项目实施及绩效情况如下：</w:t>
      </w:r>
      <w:bookmarkStart w:id="0" w:name="_GoBack"/>
      <w:bookmarkEnd w:id="0"/>
    </w:p>
    <w:p w14:paraId="29D5A345">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项目支出7</w:t>
      </w:r>
      <w:r>
        <w:rPr>
          <w:rFonts w:hint="eastAsia" w:ascii="Times New Roman" w:hAnsi="Times New Roman" w:eastAsia="仿宋_GB2312" w:cs="Times New Roman"/>
          <w:color w:val="auto"/>
          <w:sz w:val="32"/>
          <w:szCs w:val="32"/>
          <w:lang w:val="en-US" w:eastAsia="zh-CN"/>
        </w:rPr>
        <w:t>23.44</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2021-2022年度新冠疫情防控欠款支付</w:t>
      </w:r>
      <w:r>
        <w:rPr>
          <w:rFonts w:hint="default" w:ascii="Times New Roman" w:hAnsi="Times New Roman" w:eastAsia="仿宋_GB2312" w:cs="Times New Roman"/>
          <w:color w:val="auto"/>
          <w:sz w:val="32"/>
          <w:szCs w:val="32"/>
        </w:rPr>
        <w:t>。</w:t>
      </w:r>
    </w:p>
    <w:p w14:paraId="4AEB44E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4F0F4199">
      <w:pPr>
        <w:tabs>
          <w:tab w:val="left" w:pos="7560"/>
        </w:tabs>
        <w:adjustRightInd w:val="0"/>
        <w:snapToGrid w:val="0"/>
        <w:spacing w:line="540" w:lineRule="exact"/>
        <w:ind w:left="638" w:leftChars="304" w:firstLine="0" w:firstLineChars="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清偿了</w:t>
      </w:r>
      <w:r>
        <w:rPr>
          <w:rFonts w:hint="eastAsia" w:ascii="Times New Roman" w:hAnsi="Times New Roman" w:eastAsia="仿宋_GB2312" w:cs="Times New Roman"/>
          <w:color w:val="auto"/>
          <w:sz w:val="32"/>
          <w:szCs w:val="32"/>
          <w:lang w:val="en-US" w:eastAsia="zh-CN"/>
        </w:rPr>
        <w:t>723.44万以前年度疫情防控欠款</w:t>
      </w:r>
      <w:r>
        <w:rPr>
          <w:rFonts w:hint="default" w:ascii="Times New Roman" w:hAnsi="Times New Roman" w:eastAsia="仿宋_GB2312" w:cs="Times New Roman"/>
          <w:color w:val="auto"/>
          <w:sz w:val="32"/>
          <w:szCs w:val="32"/>
        </w:rPr>
        <w:t>。</w:t>
      </w:r>
    </w:p>
    <w:p w14:paraId="2302F897">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卫监公共卫生专项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14:paraId="6BD5D7E5">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医疗废物专项整治行动、宣传职业病防治工作普法等</w:t>
      </w:r>
      <w:r>
        <w:rPr>
          <w:rFonts w:hint="default" w:ascii="Times New Roman" w:hAnsi="Times New Roman" w:eastAsia="仿宋_GB2312" w:cs="Times New Roman"/>
          <w:color w:val="auto"/>
          <w:sz w:val="32"/>
          <w:szCs w:val="32"/>
        </w:rPr>
        <w:t>。</w:t>
      </w:r>
    </w:p>
    <w:p w14:paraId="56D3D48D">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6989812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完成监督执法检查活动2118家次、出动执法人员5456人次、下达卫生监督意见书1232余份、办理案件92起（其中简易程序81起、一般程序11起），罚款3.15万元。完成国家双随机任务71家、“双随机-公开”任务52家，向用人单位和劳动者广泛宣传培训职业病防治法律法规基本知识和常见职业病危害预防等知识，共计发放宣传手册4000余册，开展6场专场普法宣贯活动等。</w:t>
      </w:r>
    </w:p>
    <w:p w14:paraId="6F10B69A">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国卫复审</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19.75</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14:paraId="5FEDEAD1">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19.75</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夯实石峰区创卫复审基础，顺利通过国卫复审工作。</w:t>
      </w:r>
    </w:p>
    <w:p w14:paraId="22820B61">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48CE699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进一步提升了石峰区卫生健康品质，也提高了执法服务质量。为高标准完成全国文明城市复审工作，从而进一步规范了行业行为，极大程度改善了辖区城市卫生面貌和形象，加强公共场所卫生监督保障能力，做好重大节日、重大活动的公共场所卫生监督保障工作。</w:t>
      </w:r>
    </w:p>
    <w:p w14:paraId="52EF05F4">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艾滋病防治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37.49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14:paraId="49F698A0">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37.49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艾滋病、性病防治管理工作。</w:t>
      </w:r>
    </w:p>
    <w:p w14:paraId="03C38F2C">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77CD1731">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完成艾滋病病毒抗体筛查6万人次，自愿咨询检测任务565人次。高危行为暗娼检测人数285人，男男检测人数0人，性病门诊检测700人。减少艾滋病新发感染，降低艾滋病病死率，全区存活的艾滋病感染者和病人得到了控制。</w:t>
      </w:r>
    </w:p>
    <w:p w14:paraId="786B17DE">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血吸虫病防治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34.13</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14:paraId="72C326AD">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34.13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进一步巩固血吸虫病消除达标成果，落实急性血吸虫感染防控，加强疫情监测,做好血防综合治理等工作。</w:t>
      </w:r>
    </w:p>
    <w:p w14:paraId="15693F0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133C1FEC">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查螺：完成719.7451万㎡；灭螺：完成300.4915万㎡；查病：完成10825人，以村（社区）为单位人群感染率均为0。</w:t>
      </w:r>
    </w:p>
    <w:p w14:paraId="53534B07">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结核病防治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20.62</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14:paraId="62A6EEC1">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20.62</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入学新生筛查、健教宣传、结核病治疗管理、药具管理、学校结核病防控等。</w:t>
      </w:r>
    </w:p>
    <w:p w14:paraId="4F59A5BC">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42EB63AA">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全区登记治疗管理的肺结核患者（不含结胸）系统管理率100%，病原学阳性耐药筛查率98.6%，涂阳患者密切接触者筛查率100%，病原学阳性率73.76%，肺结核患者成功治疗率91.8%，高危人群耐药筛查率100%。2023年全区共有中小学、托幼机构、大中专院校94所，入学新生44368人，应筛查学生44368人，实筛查学生44368人。本次筛查发现单纯PPD强阳性10人、开展预防性服药0人，发现学生肺结核4例，已休学隔离治疗。</w:t>
      </w:r>
    </w:p>
    <w:p w14:paraId="408B52CC">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免疫规划</w:t>
      </w:r>
      <w:r>
        <w:rPr>
          <w:rFonts w:hint="default" w:ascii="Times New Roman" w:hAnsi="Times New Roman" w:eastAsia="仿宋_GB2312" w:cs="Times New Roman"/>
          <w:color w:val="auto"/>
          <w:sz w:val="32"/>
          <w:szCs w:val="32"/>
        </w:rPr>
        <w:t>项目”年初预算金额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4.78</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14:paraId="121221E9">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4.78</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免疫规划相关工作的开展和宣传。</w:t>
      </w:r>
    </w:p>
    <w:p w14:paraId="3DA2775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5ED1FE03">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落实麻疹疫苗接种工作，确保麻疹疫苗高水平的免疫接种率，按照新的国家免疫规划的免疫程序，执行“2针”免疫程序；2023年我区扩大国家免疫规划各项疫苗报告接种率保持较高水平；入托入学查验证顺利完成，对辖区小学全部进行查验，督促学校完成应种补种人员的疫苗接种，补种工作完成后，相关儿童免疫规划疫苗单苗全程接种率达到95%以上。</w:t>
      </w:r>
    </w:p>
    <w:p w14:paraId="0DCADC44">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精神卫生和慢性非传染性疾病防治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4.99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14:paraId="2031C1E5">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4.99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慢病非传染性疾病防治工作以及精神卫生工作的开展和宣传。</w:t>
      </w:r>
    </w:p>
    <w:p w14:paraId="2678627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14ACD76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肿瘤新发病率为166/10万，死亡率121/10万，病理组织学诊断（MV%）所占比例＞66%，仅有死亡医学证明书比例（DCD%）＜10%，同期登记的全部恶性肿瘤发病与死亡数之比（M/I）在0.6-0.8之间，其它或未特指部位所占百分比（UNK%）＜5%。我区录入国家严重精神障碍患者信息系统的在册患者为1385人，检出率4.04‰；年在管患者1358人，管理率98.05%，规范管理率97.47%，面访1346人，面访率97.18%；服药率97.26%，规律服药率95.67%。</w:t>
      </w:r>
    </w:p>
    <w:p w14:paraId="7B7A454E">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疫苗款</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2809.9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14:paraId="17C283AA">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2809.9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非免疫规划疫苗采购。</w:t>
      </w:r>
    </w:p>
    <w:p w14:paraId="193C222C">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14:paraId="2494187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预防、控制传染病的发生、流行，保障人体健康和公共卫生，广泛普及了预防接种知识，提升预防接种规范化管理水平。</w:t>
      </w:r>
    </w:p>
    <w:p w14:paraId="4D1B9E8B">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非税列收列支</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195.52</w:t>
      </w:r>
      <w:r>
        <w:rPr>
          <w:rFonts w:hint="default" w:ascii="Times New Roman" w:hAnsi="Times New Roman" w:eastAsia="仿宋_GB2312" w:cs="Times New Roman"/>
          <w:color w:val="auto"/>
          <w:sz w:val="32"/>
          <w:szCs w:val="32"/>
          <w:lang w:val="en-US" w:eastAsia="zh-CN"/>
        </w:rPr>
        <w:t>万元，结余结转0万元。项目实施及绩效情况如下：</w:t>
      </w:r>
    </w:p>
    <w:p w14:paraId="6848CB2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195.52</w:t>
      </w:r>
      <w:r>
        <w:rPr>
          <w:rFonts w:hint="default" w:ascii="Times New Roman" w:hAnsi="Times New Roman" w:eastAsia="仿宋_GB2312" w:cs="Times New Roman"/>
          <w:color w:val="auto"/>
          <w:sz w:val="32"/>
          <w:szCs w:val="32"/>
          <w:lang w:val="en-US" w:eastAsia="zh-CN"/>
        </w:rPr>
        <w:t>万元，主要用于单位运维、员工伙食补助、</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 xml:space="preserve">弥补项目经费等的不足。 </w:t>
      </w:r>
    </w:p>
    <w:p w14:paraId="5366A551">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14:paraId="6CB4222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项目绩效情况：确保了</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的正常运转及保障了职工工作的积极性及稳定性。</w:t>
      </w:r>
    </w:p>
    <w:p w14:paraId="31D17DB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城乡饮用水监测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万元，结余结转0万元。项目实施及绩效情况如下：</w:t>
      </w:r>
    </w:p>
    <w:p w14:paraId="5D28006D">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万元，主要用于</w:t>
      </w:r>
      <w:r>
        <w:rPr>
          <w:rFonts w:hint="eastAsia" w:ascii="Times New Roman" w:hAnsi="Times New Roman" w:eastAsia="仿宋_GB2312" w:cs="Times New Roman"/>
          <w:color w:val="auto"/>
          <w:sz w:val="32"/>
          <w:szCs w:val="32"/>
          <w:lang w:val="en-US" w:eastAsia="zh-CN"/>
        </w:rPr>
        <w:t>城乡</w:t>
      </w:r>
      <w:r>
        <w:rPr>
          <w:rFonts w:hint="default" w:ascii="Times New Roman" w:hAnsi="Times New Roman" w:eastAsia="仿宋_GB2312" w:cs="Times New Roman"/>
          <w:color w:val="auto"/>
          <w:sz w:val="32"/>
          <w:szCs w:val="32"/>
          <w:lang w:val="en-US" w:eastAsia="zh-CN"/>
        </w:rPr>
        <w:t xml:space="preserve">饮用水卫生监督监测工作。 </w:t>
      </w:r>
    </w:p>
    <w:p w14:paraId="27B261F4">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14:paraId="7C15A7D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w:t>
      </w:r>
      <w:r>
        <w:rPr>
          <w:rFonts w:hint="eastAsia" w:ascii="Times New Roman" w:hAnsi="Times New Roman" w:eastAsia="仿宋_GB2312" w:cs="Times New Roman"/>
          <w:color w:val="auto"/>
          <w:sz w:val="32"/>
          <w:szCs w:val="32"/>
          <w:lang w:val="en-US" w:eastAsia="zh-CN"/>
        </w:rPr>
        <w:t>上半年，</w:t>
      </w:r>
      <w:r>
        <w:rPr>
          <w:rFonts w:hint="default" w:ascii="Times New Roman" w:hAnsi="Times New Roman" w:eastAsia="仿宋_GB2312" w:cs="Times New Roman"/>
          <w:color w:val="auto"/>
          <w:sz w:val="32"/>
          <w:szCs w:val="32"/>
          <w:lang w:val="en-US" w:eastAsia="zh-CN"/>
        </w:rPr>
        <w:t>对6个监测点，开展农村饮用水卫生监督监测工作，每份水样检测32个水质指标，6份水样，按照国家“生活饮用水卫生标准”（GB5749-2006第4章），其中5份水样合格，1份水样不合格。</w:t>
      </w:r>
      <w:r>
        <w:rPr>
          <w:rFonts w:hint="eastAsia" w:ascii="Times New Roman" w:hAnsi="Times New Roman" w:eastAsia="仿宋_GB2312" w:cs="Times New Roman"/>
          <w:color w:val="auto"/>
          <w:sz w:val="32"/>
          <w:szCs w:val="32"/>
          <w:lang w:val="en-US" w:eastAsia="zh-CN"/>
        </w:rPr>
        <w:t>下半年，6份水样，按照国家《生活饮用水卫生标准》（GB5749-2022），水质常规指标（放射性指标不要求），2份水样合格，4份水样不合格。</w:t>
      </w:r>
    </w:p>
    <w:p w14:paraId="19F64543">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云龙委托业务费</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万元，结余结转0万元。项目实施及绩效情况如下：</w:t>
      </w:r>
    </w:p>
    <w:p w14:paraId="27688E54">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万元，主要用于单位运维</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 xml:space="preserve">弥补项目经费等的不足。 </w:t>
      </w:r>
    </w:p>
    <w:p w14:paraId="2D8B8FA8">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14:paraId="46680BD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项目绩效情况：确保了</w:t>
      </w:r>
      <w:r>
        <w:rPr>
          <w:rFonts w:hint="eastAsia" w:ascii="Times New Roman" w:hAnsi="Times New Roman" w:eastAsia="仿宋_GB2312" w:cs="Times New Roman"/>
          <w:color w:val="auto"/>
          <w:sz w:val="32"/>
          <w:szCs w:val="32"/>
          <w:lang w:val="en-US" w:eastAsia="zh-CN"/>
        </w:rPr>
        <w:t>单位以及项目</w:t>
      </w:r>
      <w:r>
        <w:rPr>
          <w:rFonts w:hint="default" w:ascii="Times New Roman" w:hAnsi="Times New Roman" w:eastAsia="仿宋_GB2312" w:cs="Times New Roman"/>
          <w:color w:val="auto"/>
          <w:sz w:val="32"/>
          <w:szCs w:val="32"/>
          <w:lang w:val="en-US" w:eastAsia="zh-CN"/>
        </w:rPr>
        <w:t>的正常运转。</w:t>
      </w:r>
    </w:p>
    <w:p w14:paraId="718C363D">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学生常见病监测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19.45</w:t>
      </w:r>
      <w:r>
        <w:rPr>
          <w:rFonts w:hint="default" w:ascii="Times New Roman" w:hAnsi="Times New Roman" w:eastAsia="仿宋_GB2312" w:cs="Times New Roman"/>
          <w:color w:val="auto"/>
          <w:sz w:val="32"/>
          <w:szCs w:val="32"/>
          <w:lang w:val="en-US" w:eastAsia="zh-CN"/>
        </w:rPr>
        <w:t>万元，结余结转0万元。项目实施及绩效情况如下：</w:t>
      </w:r>
    </w:p>
    <w:p w14:paraId="27EE9E5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19.45</w:t>
      </w:r>
      <w:r>
        <w:rPr>
          <w:rFonts w:hint="default" w:ascii="Times New Roman" w:hAnsi="Times New Roman" w:eastAsia="仿宋_GB2312" w:cs="Times New Roman"/>
          <w:color w:val="auto"/>
          <w:sz w:val="32"/>
          <w:szCs w:val="32"/>
          <w:lang w:val="en-US" w:eastAsia="zh-CN"/>
        </w:rPr>
        <w:t>万元，主要用于进一步加强我区学生近视、肥胖、脊柱弯曲异常等学生常见病监测工作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强化学生常见病防控工作，保障和促进儿童青少年健康。</w:t>
      </w:r>
    </w:p>
    <w:p w14:paraId="5E37C31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14:paraId="036387A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项目绩效情况：完成10所学校及幼儿园常见病筛查</w:t>
      </w:r>
      <w:r>
        <w:rPr>
          <w:rFonts w:hint="eastAsia" w:ascii="Times New Roman" w:hAnsi="Times New Roman" w:eastAsia="仿宋_GB2312" w:cs="Times New Roman"/>
          <w:color w:val="auto"/>
          <w:sz w:val="32"/>
          <w:szCs w:val="32"/>
          <w:lang w:val="en-US" w:eastAsia="zh-CN"/>
        </w:rPr>
        <w:t>，完成近视调查3349人。</w:t>
      </w:r>
    </w:p>
    <w:p w14:paraId="17DD1BD8">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重点传染病及健康危害因素监测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1.57</w:t>
      </w:r>
      <w:r>
        <w:rPr>
          <w:rFonts w:hint="default" w:ascii="Times New Roman" w:hAnsi="Times New Roman" w:eastAsia="仿宋_GB2312" w:cs="Times New Roman"/>
          <w:color w:val="auto"/>
          <w:sz w:val="32"/>
          <w:szCs w:val="32"/>
          <w:lang w:val="en-US" w:eastAsia="zh-CN"/>
        </w:rPr>
        <w:t>万元，结余结转0万元。项目实施及绩效情况如下：</w:t>
      </w:r>
    </w:p>
    <w:p w14:paraId="4B215ABF">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1.57</w:t>
      </w:r>
      <w:r>
        <w:rPr>
          <w:rFonts w:hint="default" w:ascii="Times New Roman" w:hAnsi="Times New Roman" w:eastAsia="仿宋_GB2312" w:cs="Times New Roman"/>
          <w:color w:val="auto"/>
          <w:sz w:val="32"/>
          <w:szCs w:val="32"/>
          <w:lang w:val="en-US" w:eastAsia="zh-CN"/>
        </w:rPr>
        <w:t>万元，主要用于</w:t>
      </w:r>
      <w:r>
        <w:rPr>
          <w:rFonts w:hint="eastAsia" w:ascii="Times New Roman" w:hAnsi="Times New Roman" w:eastAsia="仿宋_GB2312" w:cs="Times New Roman"/>
          <w:color w:val="auto"/>
          <w:sz w:val="32"/>
          <w:szCs w:val="32"/>
          <w:lang w:val="en-US" w:eastAsia="zh-CN"/>
        </w:rPr>
        <w:t>重点传染病及健康危害因素监测工作。</w:t>
      </w:r>
    </w:p>
    <w:p w14:paraId="30F6BD33">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14:paraId="025FA245">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项目绩效情况：开展麻风病防治知识宣传</w:t>
      </w:r>
      <w:r>
        <w:rPr>
          <w:rFonts w:hint="eastAsia" w:ascii="Times New Roman" w:hAnsi="Times New Roman" w:eastAsia="仿宋_GB2312" w:cs="Times New Roman"/>
          <w:color w:val="auto"/>
          <w:sz w:val="32"/>
          <w:szCs w:val="32"/>
          <w:lang w:val="en-US" w:eastAsia="zh-CN"/>
        </w:rPr>
        <w:t>，对我区1例麻风病人继续进行随访管理、采样监测、服药指导及走访慰问等。密切接触者麻风病核心知识知晓率为100%。按要求采样检测镉元素，30份样品中，超标11份。超标率为37%。其中大米（流通环节）共检15份，检测项目中镉超标3份；餐饮环节采样5个，检测项目中镉超标2个，种植环节采样10个，检测项目中镉超标6个，按方案规定进行了检测复核。</w:t>
      </w:r>
    </w:p>
    <w:p w14:paraId="0655018C">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基本公卫（健康石峰）</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73.71</w:t>
      </w:r>
      <w:r>
        <w:rPr>
          <w:rFonts w:hint="default" w:ascii="Times New Roman" w:hAnsi="Times New Roman" w:eastAsia="仿宋_GB2312" w:cs="Times New Roman"/>
          <w:color w:val="auto"/>
          <w:sz w:val="32"/>
          <w:szCs w:val="32"/>
          <w:lang w:val="en-US" w:eastAsia="zh-CN"/>
        </w:rPr>
        <w:t>万元，结余结转0万元。项目实施及绩效情况如下：</w:t>
      </w:r>
    </w:p>
    <w:p w14:paraId="53B8BA67">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73.71</w:t>
      </w:r>
      <w:r>
        <w:rPr>
          <w:rFonts w:hint="default" w:ascii="Times New Roman" w:hAnsi="Times New Roman" w:eastAsia="仿宋_GB2312" w:cs="Times New Roman"/>
          <w:color w:val="auto"/>
          <w:sz w:val="32"/>
          <w:szCs w:val="32"/>
          <w:lang w:val="en-US" w:eastAsia="zh-CN"/>
        </w:rPr>
        <w:t xml:space="preserve">万元，主要用于疫情应急处置、碘缺乏病防治、麻风病防治、食品安全监测、职业病防治项目、城乡饮用水监测等。 </w:t>
      </w:r>
    </w:p>
    <w:p w14:paraId="2AC9CD7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14:paraId="5154E02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及时有效处置传染病疫情，未出现因防控不力导致传染病暴发；开展碘缺乏病防治工作，完成上级要求的尿碘、水碘、碘盐的监测工作；开展麻风病宣传、会议培训，协助炎陵皮防所开展麻风病人的管理工作；完成了职业病防治项目、城乡饮用水监测、食品安全监测工作任务。</w:t>
      </w:r>
    </w:p>
    <w:p w14:paraId="7C34DEE1">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老年人跌倒防治</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2.43</w:t>
      </w:r>
      <w:r>
        <w:rPr>
          <w:rFonts w:hint="default" w:ascii="Times New Roman" w:hAnsi="Times New Roman" w:eastAsia="仿宋_GB2312" w:cs="Times New Roman"/>
          <w:color w:val="auto"/>
          <w:sz w:val="32"/>
          <w:szCs w:val="32"/>
          <w:lang w:val="en-US" w:eastAsia="zh-CN"/>
        </w:rPr>
        <w:t>万元，结余结转0万元。项目实施及绩效情况如下：</w:t>
      </w:r>
    </w:p>
    <w:p w14:paraId="330EB45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2.43</w:t>
      </w:r>
      <w:r>
        <w:rPr>
          <w:rFonts w:hint="default" w:ascii="Times New Roman" w:hAnsi="Times New Roman" w:eastAsia="仿宋_GB2312" w:cs="Times New Roman"/>
          <w:color w:val="auto"/>
          <w:sz w:val="32"/>
          <w:szCs w:val="32"/>
          <w:lang w:val="en-US" w:eastAsia="zh-CN"/>
        </w:rPr>
        <w:t xml:space="preserve">万元，主要用于老年跌倒项目流行病学调查补充调查工作。 </w:t>
      </w:r>
    </w:p>
    <w:p w14:paraId="5459729A">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14:paraId="4736D5B6">
      <w:pPr>
        <w:tabs>
          <w:tab w:val="left" w:pos="7560"/>
        </w:tabs>
        <w:adjustRightInd w:val="0"/>
        <w:snapToGrid w:val="0"/>
        <w:spacing w:line="540" w:lineRule="exact"/>
        <w:ind w:firstLine="640" w:firstLineChars="200"/>
        <w:jc w:val="left"/>
        <w:rPr>
          <w:rFonts w:hint="default"/>
        </w:rPr>
      </w:pPr>
      <w:r>
        <w:rPr>
          <w:rFonts w:hint="default" w:ascii="Times New Roman" w:hAnsi="Times New Roman" w:eastAsia="仿宋_GB2312" w:cs="Times New Roman"/>
          <w:color w:val="auto"/>
          <w:sz w:val="32"/>
          <w:szCs w:val="32"/>
          <w:lang w:val="en-US" w:eastAsia="zh-CN"/>
        </w:rPr>
        <w:t>项目绩效情况：实际完成了277人的老年跌倒项目流行病学个人问卷调查补充调查工作，得出的跌倒率为13.7%。老年人防跌倒健康知识知晓率提高了。</w:t>
      </w:r>
    </w:p>
    <w:p w14:paraId="2A75C141">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14:paraId="49110398">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1）艾滋病防治方面</w:t>
      </w:r>
    </w:p>
    <w:p w14:paraId="1A39F1B5">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性病</w:t>
      </w:r>
      <w:r>
        <w:rPr>
          <w:rFonts w:hint="eastAsia" w:ascii="Times New Roman" w:hAnsi="Times New Roman" w:eastAsia="仿宋_GB2312" w:cs="Times New Roman"/>
          <w:color w:val="auto"/>
          <w:sz w:val="32"/>
          <w:szCs w:val="32"/>
          <w:lang w:eastAsia="zh-CN"/>
        </w:rPr>
        <w:t>艾滋病丙肝</w:t>
      </w:r>
      <w:r>
        <w:rPr>
          <w:rFonts w:hint="eastAsia" w:ascii="Times New Roman" w:hAnsi="Times New Roman" w:eastAsia="仿宋_GB2312" w:cs="Times New Roman"/>
          <w:color w:val="auto"/>
          <w:sz w:val="32"/>
          <w:szCs w:val="32"/>
        </w:rPr>
        <w:t>防治人员不足。普及性病艾滋病</w:t>
      </w:r>
      <w:r>
        <w:rPr>
          <w:rFonts w:hint="eastAsia" w:ascii="Times New Roman" w:hAnsi="Times New Roman" w:eastAsia="仿宋_GB2312" w:cs="Times New Roman"/>
          <w:color w:val="auto"/>
          <w:sz w:val="32"/>
          <w:szCs w:val="32"/>
          <w:lang w:eastAsia="zh-CN"/>
        </w:rPr>
        <w:t>丙肝</w:t>
      </w:r>
      <w:r>
        <w:rPr>
          <w:rFonts w:hint="eastAsia" w:ascii="Times New Roman" w:hAnsi="Times New Roman" w:eastAsia="仿宋_GB2312" w:cs="Times New Roman"/>
          <w:color w:val="auto"/>
          <w:sz w:val="32"/>
          <w:szCs w:val="32"/>
        </w:rPr>
        <w:t>防治宣传知识需要投入大量的人力、财力、物力，</w:t>
      </w:r>
      <w:r>
        <w:rPr>
          <w:rFonts w:hint="eastAsia" w:ascii="Times New Roman" w:hAnsi="Times New Roman" w:eastAsia="仿宋_GB2312" w:cs="Times New Roman"/>
          <w:color w:val="auto"/>
          <w:sz w:val="32"/>
          <w:szCs w:val="32"/>
          <w:lang w:eastAsia="zh-CN"/>
        </w:rPr>
        <w:t>与经开区合并后我</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性艾</w:t>
      </w:r>
      <w:r>
        <w:rPr>
          <w:rFonts w:hint="eastAsia" w:ascii="Times New Roman" w:hAnsi="Times New Roman" w:eastAsia="仿宋_GB2312" w:cs="Times New Roman"/>
          <w:color w:val="auto"/>
          <w:sz w:val="32"/>
          <w:szCs w:val="32"/>
        </w:rPr>
        <w:t>工作任务</w:t>
      </w:r>
      <w:r>
        <w:rPr>
          <w:rFonts w:hint="eastAsia" w:ascii="Times New Roman" w:hAnsi="Times New Roman" w:eastAsia="仿宋_GB2312" w:cs="Times New Roman"/>
          <w:color w:val="auto"/>
          <w:sz w:val="32"/>
          <w:szCs w:val="32"/>
          <w:lang w:eastAsia="zh-CN"/>
        </w:rPr>
        <w:t>明显加</w:t>
      </w:r>
      <w:r>
        <w:rPr>
          <w:rFonts w:hint="eastAsia" w:ascii="Times New Roman" w:hAnsi="Times New Roman" w:eastAsia="仿宋_GB2312" w:cs="Times New Roman"/>
          <w:color w:val="auto"/>
          <w:sz w:val="32"/>
          <w:szCs w:val="32"/>
        </w:rPr>
        <w:t>重，工作量大，经费人员紧张，为开展预防性病艾滋病</w:t>
      </w:r>
      <w:r>
        <w:rPr>
          <w:rFonts w:hint="eastAsia" w:ascii="Times New Roman" w:hAnsi="Times New Roman" w:eastAsia="仿宋_GB2312" w:cs="Times New Roman"/>
          <w:color w:val="auto"/>
          <w:sz w:val="32"/>
          <w:szCs w:val="32"/>
          <w:lang w:eastAsia="zh-CN"/>
        </w:rPr>
        <w:t>丙肝</w:t>
      </w:r>
      <w:r>
        <w:rPr>
          <w:rFonts w:hint="eastAsia" w:ascii="Times New Roman" w:hAnsi="Times New Roman" w:eastAsia="仿宋_GB2312" w:cs="Times New Roman"/>
          <w:color w:val="auto"/>
          <w:sz w:val="32"/>
          <w:szCs w:val="32"/>
        </w:rPr>
        <w:t>知识专项宣传活动带来一定的困难。发挥基层宣传网的作用，加大宣传力度进一步明确宣传教育的重点，对广大群众主要宣传性病艾滋病丙肝的传播途径、流行特点、防护知识;对全社会宣传党和政府关于防治的政策。</w:t>
      </w:r>
    </w:p>
    <w:p w14:paraId="7171CBBC">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针对</w:t>
      </w:r>
      <w:r>
        <w:rPr>
          <w:rFonts w:hint="eastAsia" w:ascii="Times New Roman" w:hAnsi="Times New Roman" w:eastAsia="仿宋_GB2312" w:cs="Times New Roman"/>
          <w:color w:val="auto"/>
          <w:sz w:val="32"/>
          <w:szCs w:val="32"/>
        </w:rPr>
        <w:t>性病艾滋病</w:t>
      </w:r>
      <w:r>
        <w:rPr>
          <w:rFonts w:hint="eastAsia" w:ascii="Times New Roman" w:hAnsi="Times New Roman" w:eastAsia="仿宋_GB2312" w:cs="Times New Roman"/>
          <w:color w:val="auto"/>
          <w:sz w:val="32"/>
          <w:szCs w:val="32"/>
          <w:lang w:eastAsia="zh-CN"/>
        </w:rPr>
        <w:t>丙肝防治工作，有关部门仍重视不足，防治工作开展落实困难。我区要进一步增强做好性病艾滋病丙肝防治工作的紧迫感和责任感，加强与有关部门的联动与协作，动员全社会，齐抓共管，同心协力，共同健全和完善政府主导、多部门合作、全社会参与的性病艾滋病丙肝防控机制。</w:t>
      </w:r>
    </w:p>
    <w:p w14:paraId="45F44BBA">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2）结核病防治方面</w:t>
      </w:r>
    </w:p>
    <w:p w14:paraId="1976DE83">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政府和相关部门项目配套经费少，影响学校结核病防治工作正常开展。</w:t>
      </w:r>
    </w:p>
    <w:p w14:paraId="39656263">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宣传工作力度不够，使部分领导和群众对结核病防治认识不足。加大健康教育的宣传力度，特别是有针对性地开展结核病防治知识的宣传，强化意识，提高群众的防病意识。</w:t>
      </w:r>
    </w:p>
    <w:p w14:paraId="4DFFE4D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基层结核病防治人员不稳定，使结防工作不能有序的持续性开展。</w:t>
      </w:r>
    </w:p>
    <w:p w14:paraId="2D66B349">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14:paraId="7AF272A8">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14:paraId="2F04F525">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1E32F2E6">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B264">
    <w:pPr>
      <w:pStyle w:val="4"/>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CC3C3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C498">
    <w:pPr>
      <w:pStyle w:val="4"/>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A548C5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lmZjU2NTZjNTU1NDE5MWU0NjE4MmNiY2Y2ZDM3ZWU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16E97"/>
    <w:rsid w:val="0942192E"/>
    <w:rsid w:val="09BB4712"/>
    <w:rsid w:val="0A443A42"/>
    <w:rsid w:val="0A6D78B3"/>
    <w:rsid w:val="0B3B3DD6"/>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396AFD"/>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730928"/>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CA732B"/>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4ED39AD"/>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53195E"/>
    <w:rsid w:val="4D6E3C7B"/>
    <w:rsid w:val="4DE65243"/>
    <w:rsid w:val="4E3E7768"/>
    <w:rsid w:val="4E7B4F9A"/>
    <w:rsid w:val="4EF83924"/>
    <w:rsid w:val="4F4041E0"/>
    <w:rsid w:val="4FA97C0B"/>
    <w:rsid w:val="505C3AA6"/>
    <w:rsid w:val="50CF697A"/>
    <w:rsid w:val="510D7DB6"/>
    <w:rsid w:val="517F0763"/>
    <w:rsid w:val="51D1739A"/>
    <w:rsid w:val="51DB167B"/>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8EE1582"/>
    <w:rsid w:val="590B2972"/>
    <w:rsid w:val="59A77C75"/>
    <w:rsid w:val="5A0F1FE2"/>
    <w:rsid w:val="5ACE500F"/>
    <w:rsid w:val="5B777609"/>
    <w:rsid w:val="5B8135BF"/>
    <w:rsid w:val="5CAA7AF9"/>
    <w:rsid w:val="5CE35B12"/>
    <w:rsid w:val="5D3673BF"/>
    <w:rsid w:val="5D503AD5"/>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8F8123C"/>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511C08"/>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Date"/>
    <w:basedOn w:val="1"/>
    <w:next w:val="1"/>
    <w:link w:val="12"/>
    <w:semiHidden/>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paragraph" w:customStyle="1" w:styleId="9">
    <w:name w:val="正文文字"/>
    <w:basedOn w:val="1"/>
    <w:next w:val="1"/>
    <w:qFormat/>
    <w:uiPriority w:val="99"/>
    <w:pPr>
      <w:spacing w:after="120"/>
    </w:pPr>
  </w:style>
  <w:style w:type="character" w:customStyle="1" w:styleId="10">
    <w:name w:val="Header Char"/>
    <w:basedOn w:val="7"/>
    <w:link w:val="5"/>
    <w:semiHidden/>
    <w:qFormat/>
    <w:locked/>
    <w:uiPriority w:val="99"/>
    <w:rPr>
      <w:sz w:val="18"/>
      <w:szCs w:val="18"/>
    </w:rPr>
  </w:style>
  <w:style w:type="character" w:customStyle="1" w:styleId="11">
    <w:name w:val="Footer Char"/>
    <w:basedOn w:val="7"/>
    <w:link w:val="4"/>
    <w:qFormat/>
    <w:locked/>
    <w:uiPriority w:val="99"/>
    <w:rPr>
      <w:sz w:val="18"/>
      <w:szCs w:val="18"/>
    </w:rPr>
  </w:style>
  <w:style w:type="character" w:customStyle="1" w:styleId="12">
    <w:name w:val="Date Char"/>
    <w:basedOn w:val="7"/>
    <w:link w:val="3"/>
    <w:semiHidden/>
    <w:qFormat/>
    <w:locked/>
    <w:uiPriority w:val="99"/>
  </w:style>
  <w:style w:type="character" w:customStyle="1" w:styleId="13">
    <w:name w:val="font41"/>
    <w:basedOn w:val="7"/>
    <w:qFormat/>
    <w:uiPriority w:val="99"/>
    <w:rPr>
      <w:rFonts w:ascii="宋体" w:hAnsi="宋体" w:eastAsia="宋体" w:cs="宋体"/>
      <w:b/>
      <w:bCs/>
      <w:color w:val="000000"/>
      <w:sz w:val="44"/>
      <w:szCs w:val="44"/>
      <w:u w:val="none"/>
    </w:rPr>
  </w:style>
  <w:style w:type="character" w:customStyle="1" w:styleId="14">
    <w:name w:val="font11"/>
    <w:basedOn w:val="7"/>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15</Pages>
  <Words>7516</Words>
  <Characters>8003</Characters>
  <Lines>0</Lines>
  <Paragraphs>0</Paragraphs>
  <TotalTime>112</TotalTime>
  <ScaleCrop>false</ScaleCrop>
  <LinksUpToDate>false</LinksUpToDate>
  <CharactersWithSpaces>8011</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WPS_1667524778</cp:lastModifiedBy>
  <cp:lastPrinted>2023-08-28T07:21:00Z</cp:lastPrinted>
  <dcterms:modified xsi:type="dcterms:W3CDTF">2024-08-22T03:11:32Z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9AA7F913A2C94DEF8E6BB5C6532215C8_13</vt:lpwstr>
  </property>
</Properties>
</file>