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 w:cs="Times New Roman"/>
          <w:color w:val="auto"/>
          <w:sz w:val="36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44"/>
          <w:lang w:eastAsia="zh-CN"/>
        </w:rPr>
        <w:t>株洲市石峰区环境卫生服务中心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石峰区环境卫生服务中心主要</w:t>
      </w:r>
      <w:r>
        <w:rPr>
          <w:rFonts w:hint="eastAsia" w:ascii="仿宋_GB2312" w:eastAsia="仿宋_GB2312"/>
          <w:color w:val="auto"/>
          <w:sz w:val="32"/>
          <w:szCs w:val="32"/>
        </w:rPr>
        <w:t>负责石峰区环境卫生的指导、监督、综合协调、检查考评等环境卫生管理工作；负责制定全区环境卫生管理工作的年度计划，编制环境卫生发展规划。负责对市场化作业公司的监管和考评，要求各公司按照市、区、处环境卫生考核标准实行环境卫生清扫保洁的工作机制。负责城区范围内生活垃圾处理费的收取，以及与委托自来水公司代收居民生活垃圾处理费的综合协调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本部门共有编制人数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color w:val="000000"/>
          <w:sz w:val="32"/>
          <w:szCs w:val="32"/>
        </w:rPr>
        <w:t>人，实有人数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人。内设科室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个，分别为：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综合办公室，业务科，垃圾分类科，绿化办公室。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本部门包含下属二级预算单位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0个。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1067.04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928.17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98.14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40.73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1039.29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942.85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96.44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27.75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抓细环境卫生。开展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清根见底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每周选择卫生状况较差路段进行集中整治，全面清理卫生死角的垃圾杂物、无主残土，累计清理卫生死角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2300余处、垃圾1100余吨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量化分权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行动。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实行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定路段、定时间、定质量、定奖惩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四法则，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将工作任务、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班组责任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明确到个人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全员考评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行动。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统筹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环卫中心、作业公司下沉一线，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利用自检、互检、暗检，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对各作业标段的到岗情况、清扫效果、保洁质量、事件应急等进行考评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2022年遗属补助金、下放人员生活补助及工伤补助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上级转移支付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万元，年中调增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严格按标准发放遗属补助金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、下放人员生活补助及工伤补助，让相关人员感受组织关怀，增强其幸福感、获得感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3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列收列支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上级转移支付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万元，年中调增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87.34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87.34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弥补环卫处及其他部门资金不足的项目。充分保证了环卫服务中心员工的基本工资福利，保证了环卫服务中心职工办公经费、食堂餐费等工作经费的到位，提高了工作积极性，有利于环卫部门工作职能的有效发挥，进一步提升了我区城市管理水平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我中心进一步加强财务管理，经费支出更加规范，但是由于经济下行压力加大、受疫情影响等客观原因，导致预算执行与绩效目标不可避免地存在细微偏差。此外，对照会计基础工作规范化规定的要求，我中心绩效管理也还存在一定差距，如：预算编制工作有待细化、预算的合理性和执行力度还需加强、项目资金支出进度分配不均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针对上述薄弱环节，下一步，我中心将重点在以下三个方面着力：一是着力加强预算编制管理，科学规划预算编制工作，进一步提高预算编制的科学性、合理性、严谨性和可控性；二是着力加强资金使用管理，在费用报账支付时，严格按照预算规定的费用项目和用途进行资金使用审核、列报支付、财务核算，杜绝超支现象的发生；三是着力加强项目支出调度，加强项目开展事前事中事后的跟踪和支出进度的控制，开展项目绩效评价，科学、合理安排支出项目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dVpA6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Uea+5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532351B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B038B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4F06B3D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99"/>
    <w:pPr>
      <w:spacing w:after="0" w:line="596" w:lineRule="exact"/>
      <w:ind w:left="0" w:leftChars="0" w:firstLine="880" w:firstLineChars="200"/>
    </w:pPr>
    <w:rPr>
      <w:rFonts w:ascii="仿宋_GB2312" w:hAnsi="仿宋_GB2312" w:eastAsia="宋体" w:cs="仿宋_GB2312"/>
      <w:szCs w:val="32"/>
    </w:rPr>
  </w:style>
  <w:style w:type="character" w:styleId="11">
    <w:name w:val="page number"/>
    <w:basedOn w:val="10"/>
    <w:qFormat/>
    <w:uiPriority w:val="99"/>
  </w:style>
  <w:style w:type="paragraph" w:customStyle="1" w:styleId="12">
    <w:name w:val="正文文字"/>
    <w:basedOn w:val="1"/>
    <w:next w:val="1"/>
    <w:qFormat/>
    <w:uiPriority w:val="99"/>
    <w:pPr>
      <w:spacing w:after="120"/>
    </w:pPr>
  </w:style>
  <w:style w:type="character" w:customStyle="1" w:styleId="13">
    <w:name w:val="Header Char"/>
    <w:basedOn w:val="10"/>
    <w:link w:val="7"/>
    <w:semiHidden/>
    <w:qFormat/>
    <w:locked/>
    <w:uiPriority w:val="99"/>
    <w:rPr>
      <w:sz w:val="18"/>
      <w:szCs w:val="18"/>
    </w:rPr>
  </w:style>
  <w:style w:type="character" w:customStyle="1" w:styleId="14">
    <w:name w:val="Footer Char"/>
    <w:basedOn w:val="10"/>
    <w:link w:val="6"/>
    <w:qFormat/>
    <w:locked/>
    <w:uiPriority w:val="99"/>
    <w:rPr>
      <w:sz w:val="18"/>
      <w:szCs w:val="18"/>
    </w:rPr>
  </w:style>
  <w:style w:type="character" w:customStyle="1" w:styleId="15">
    <w:name w:val="Date Char"/>
    <w:basedOn w:val="10"/>
    <w:link w:val="5"/>
    <w:semiHidden/>
    <w:qFormat/>
    <w:locked/>
    <w:uiPriority w:val="99"/>
  </w:style>
  <w:style w:type="character" w:customStyle="1" w:styleId="16">
    <w:name w:val="font41"/>
    <w:basedOn w:val="10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7">
    <w:name w:val="font11"/>
    <w:basedOn w:val="10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738</Words>
  <Characters>777</Characters>
  <Lines>0</Lines>
  <Paragraphs>0</Paragraphs>
  <TotalTime>29</TotalTime>
  <ScaleCrop>false</ScaleCrop>
  <LinksUpToDate>false</LinksUpToDate>
  <CharactersWithSpaces>779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CG203JZ</cp:lastModifiedBy>
  <cp:lastPrinted>2023-08-28T07:21:00Z</cp:lastPrinted>
  <dcterms:modified xsi:type="dcterms:W3CDTF">2024-08-27T02:12:37Z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D046AB22908C472C8AD60C17670F1370</vt:lpwstr>
  </property>
</Properties>
</file>