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1C61">
      <w:pPr>
        <w:pStyle w:val="16"/>
        <w:jc w:val="both"/>
        <w:rPr>
          <w:rFonts w:hint="default" w:ascii="Times New Roman" w:hAnsi="Times New Roman" w:cs="Times New Roman"/>
          <w:sz w:val="56"/>
          <w:szCs w:val="56"/>
        </w:rPr>
      </w:pPr>
    </w:p>
    <w:p w14:paraId="418CAAE5">
      <w:pPr>
        <w:pStyle w:val="16"/>
        <w:jc w:val="both"/>
        <w:rPr>
          <w:rFonts w:hint="default" w:ascii="Times New Roman" w:hAnsi="Times New Roman" w:cs="Times New Roman"/>
          <w:sz w:val="56"/>
          <w:szCs w:val="56"/>
        </w:rPr>
      </w:pPr>
    </w:p>
    <w:p w14:paraId="6253AE7B">
      <w:pPr>
        <w:pStyle w:val="16"/>
        <w:jc w:val="both"/>
        <w:rPr>
          <w:rFonts w:hint="default" w:ascii="Times New Roman" w:hAnsi="Times New Roman" w:cs="Times New Roman"/>
          <w:sz w:val="84"/>
          <w:szCs w:val="84"/>
        </w:rPr>
      </w:pPr>
    </w:p>
    <w:p w14:paraId="342986FC">
      <w:pPr>
        <w:pStyle w:val="16"/>
        <w:jc w:val="center"/>
        <w:rPr>
          <w:rFonts w:hint="default" w:ascii="Times New Roman" w:hAnsi="Times New Roman" w:eastAsia="方正小标宋简体" w:cs="Times New Roman"/>
          <w:sz w:val="76"/>
          <w:szCs w:val="76"/>
        </w:rPr>
      </w:pPr>
    </w:p>
    <w:p w14:paraId="0A3A7781">
      <w:pPr>
        <w:pStyle w:val="16"/>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2023年度</w:t>
      </w:r>
    </w:p>
    <w:p w14:paraId="6B972C77">
      <w:pPr>
        <w:pStyle w:val="16"/>
        <w:jc w:val="center"/>
        <w:rPr>
          <w:rFonts w:hint="default" w:ascii="Times New Roman" w:hAnsi="Times New Roman" w:cs="Times New Roman"/>
          <w:w w:val="90"/>
          <w:lang w:val="en-US"/>
        </w:rPr>
      </w:pPr>
      <w:r>
        <w:rPr>
          <w:rFonts w:hint="default" w:ascii="Times New Roman" w:hAnsi="Times New Roman" w:eastAsia="方正小标宋简体" w:cs="Times New Roman"/>
          <w:w w:val="90"/>
          <w:sz w:val="72"/>
          <w:szCs w:val="72"/>
          <w:lang w:val="en-US" w:eastAsia="zh-CN"/>
        </w:rPr>
        <w:t>株洲市石峰区工程建设服务中心</w:t>
      </w:r>
    </w:p>
    <w:p w14:paraId="5AA2E698">
      <w:pPr>
        <w:pStyle w:val="16"/>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部门决算</w:t>
      </w:r>
    </w:p>
    <w:p w14:paraId="550BD76F">
      <w:pPr>
        <w:pStyle w:val="16"/>
        <w:jc w:val="both"/>
        <w:rPr>
          <w:rFonts w:hint="default" w:ascii="Times New Roman" w:hAnsi="Times New Roman" w:cs="Times New Roman"/>
          <w:sz w:val="32"/>
          <w:szCs w:val="32"/>
        </w:rPr>
      </w:pPr>
    </w:p>
    <w:p w14:paraId="7E036D36">
      <w:pPr>
        <w:pStyle w:val="16"/>
        <w:spacing w:line="440" w:lineRule="exact"/>
        <w:ind w:firstLine="640" w:firstLineChars="200"/>
        <w:jc w:val="center"/>
        <w:rPr>
          <w:rFonts w:hint="default" w:ascii="Times New Roman" w:hAnsi="Times New Roman" w:cs="Times New Roman"/>
          <w:sz w:val="32"/>
          <w:szCs w:val="32"/>
        </w:rPr>
      </w:pPr>
      <w:r>
        <w:rPr>
          <w:rFonts w:hint="default" w:ascii="Times New Roman" w:hAnsi="Times New Roman" w:cs="Times New Roman"/>
          <w:sz w:val="32"/>
          <w:szCs w:val="32"/>
        </w:rPr>
        <w:br w:type="page"/>
      </w:r>
      <w:r>
        <w:rPr>
          <w:rFonts w:hint="default" w:ascii="Times New Roman" w:hAnsi="Times New Roman" w:cs="Times New Roman"/>
          <w:sz w:val="32"/>
          <w:szCs w:val="32"/>
        </w:rPr>
        <w:t>目录</w:t>
      </w:r>
    </w:p>
    <w:p w14:paraId="472634FB">
      <w:pPr>
        <w:pStyle w:val="16"/>
        <w:spacing w:line="440"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 xml:space="preserve">第一部分  </w:t>
      </w:r>
      <w:r>
        <w:rPr>
          <w:rFonts w:hint="default" w:ascii="Times New Roman" w:hAnsi="Times New Roman" w:cs="Times New Roman"/>
          <w:sz w:val="32"/>
          <w:szCs w:val="32"/>
          <w:lang w:val="en-US" w:eastAsia="zh-CN"/>
        </w:rPr>
        <w:t>株洲市石峰区工程建设服务中心</w:t>
      </w:r>
      <w:r>
        <w:rPr>
          <w:rFonts w:hint="default" w:ascii="Times New Roman" w:hAnsi="Times New Roman" w:cs="Times New Roman"/>
          <w:sz w:val="32"/>
          <w:szCs w:val="32"/>
        </w:rPr>
        <w:t>概况</w:t>
      </w:r>
    </w:p>
    <w:p w14:paraId="0322A53B">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一、部门职责</w:t>
      </w:r>
    </w:p>
    <w:p w14:paraId="6E8E7D79">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14:paraId="4BE93618">
      <w:pPr>
        <w:pStyle w:val="16"/>
        <w:spacing w:line="440"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第二部分  2023年度部门决算表</w:t>
      </w:r>
    </w:p>
    <w:p w14:paraId="1A5B9C55">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03FCCAE1">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715CD0C9">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56D0FD15">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1D2970C4">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14:paraId="6F853B25">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六、一般公共预算财政拨款基本支出决算明细表</w:t>
      </w:r>
    </w:p>
    <w:p w14:paraId="6BF63F0C">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七、一般公共预算财政拨款“三公”经费支出决算表</w:t>
      </w:r>
    </w:p>
    <w:p w14:paraId="6B190590">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八、政府性基金预算财政拨款收入支出决算表</w:t>
      </w:r>
    </w:p>
    <w:p w14:paraId="6BAF3AED">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九、国有资本经营预算财政拨款支出决算表</w:t>
      </w:r>
    </w:p>
    <w:p w14:paraId="541E526E">
      <w:pPr>
        <w:pStyle w:val="16"/>
        <w:spacing w:line="440"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第三部分  2023年度部门决算情况说明</w:t>
      </w:r>
    </w:p>
    <w:p w14:paraId="4DFB4111">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14:paraId="1D66113C">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14:paraId="3FE20FCE">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三、支出决算情况说明</w:t>
      </w:r>
    </w:p>
    <w:p w14:paraId="74F70B5B">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四、财政拨款收入支出决算总体情况说明</w:t>
      </w:r>
    </w:p>
    <w:p w14:paraId="359F2B86">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五、一般公共预算财政拨款支出决算情况说明</w:t>
      </w:r>
    </w:p>
    <w:p w14:paraId="49ED3707">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六、一般公共预算财政拨款基本支出决算情况说明</w:t>
      </w:r>
    </w:p>
    <w:p w14:paraId="5EBDD7D6">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七、一般公共预算财政拨款“三公”经费支出决算情况说明</w:t>
      </w:r>
    </w:p>
    <w:p w14:paraId="04059F43">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八、政府性基金预算收入支出决算情况</w:t>
      </w:r>
    </w:p>
    <w:p w14:paraId="7E2E9835">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九、国有资本经营预算支出决算情况</w:t>
      </w:r>
    </w:p>
    <w:p w14:paraId="7CCC5BC2">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十、机关运行经费支出说明</w:t>
      </w:r>
    </w:p>
    <w:p w14:paraId="7EC3F4B7">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十一、一般性支出情况说明</w:t>
      </w:r>
    </w:p>
    <w:p w14:paraId="7B339CC1">
      <w:pPr>
        <w:autoSpaceDE w:val="0"/>
        <w:autoSpaceDN w:val="0"/>
        <w:adjustRightInd w:val="0"/>
        <w:spacing w:line="4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十二、政府采购支出说明</w:t>
      </w:r>
    </w:p>
    <w:p w14:paraId="05B60B9A">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十三、国有资产占用情况说明</w:t>
      </w:r>
    </w:p>
    <w:p w14:paraId="48D1C06B">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十四、重点项目预算的绩效评价结果等情况说明</w:t>
      </w:r>
    </w:p>
    <w:p w14:paraId="109BDF7F">
      <w:pPr>
        <w:pStyle w:val="16"/>
        <w:spacing w:line="4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十五、其他重要事项说明</w:t>
      </w:r>
    </w:p>
    <w:p w14:paraId="702DD6CA">
      <w:pPr>
        <w:pStyle w:val="16"/>
        <w:spacing w:line="440"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第四部分  名词解释</w:t>
      </w:r>
    </w:p>
    <w:p w14:paraId="228F8046">
      <w:pPr>
        <w:pStyle w:val="16"/>
        <w:spacing w:line="440"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第五部分  附件</w:t>
      </w:r>
    </w:p>
    <w:p w14:paraId="534B975F">
      <w:pPr>
        <w:pStyle w:val="16"/>
        <w:spacing w:line="440" w:lineRule="exact"/>
        <w:jc w:val="both"/>
        <w:rPr>
          <w:rFonts w:hint="default" w:ascii="Times New Roman" w:hAnsi="Times New Roman" w:cs="Times New Roman"/>
          <w:sz w:val="84"/>
          <w:szCs w:val="84"/>
        </w:rPr>
      </w:pPr>
      <w:r>
        <w:rPr>
          <w:rFonts w:hint="default" w:ascii="Times New Roman" w:hAnsi="Times New Roman" w:cs="Times New Roman"/>
          <w:sz w:val="84"/>
          <w:szCs w:val="84"/>
        </w:rPr>
        <w:br w:type="page"/>
      </w:r>
    </w:p>
    <w:p w14:paraId="488FDDB7">
      <w:pPr>
        <w:pStyle w:val="16"/>
        <w:jc w:val="both"/>
        <w:rPr>
          <w:rFonts w:hint="default" w:ascii="Times New Roman" w:hAnsi="Times New Roman" w:cs="Times New Roman"/>
          <w:sz w:val="84"/>
          <w:szCs w:val="84"/>
        </w:rPr>
      </w:pPr>
    </w:p>
    <w:p w14:paraId="619D15D5">
      <w:pPr>
        <w:pStyle w:val="16"/>
        <w:jc w:val="both"/>
        <w:rPr>
          <w:rFonts w:hint="default" w:ascii="Times New Roman" w:hAnsi="Times New Roman" w:cs="Times New Roman"/>
          <w:sz w:val="84"/>
          <w:szCs w:val="84"/>
        </w:rPr>
      </w:pPr>
    </w:p>
    <w:p w14:paraId="2791991D">
      <w:pPr>
        <w:pStyle w:val="16"/>
        <w:jc w:val="center"/>
        <w:rPr>
          <w:rFonts w:hint="default" w:ascii="Times New Roman" w:hAnsi="Times New Roman" w:eastAsia="方正小标宋简体" w:cs="Times New Roman"/>
          <w:w w:val="90"/>
          <w:sz w:val="76"/>
          <w:szCs w:val="76"/>
        </w:rPr>
      </w:pPr>
    </w:p>
    <w:p w14:paraId="45382295">
      <w:pPr>
        <w:pStyle w:val="16"/>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第一部分</w:t>
      </w:r>
    </w:p>
    <w:p w14:paraId="21DA8C9C">
      <w:pPr>
        <w:pStyle w:val="16"/>
        <w:jc w:val="center"/>
        <w:rPr>
          <w:rFonts w:hint="default" w:ascii="Times New Roman" w:hAnsi="Times New Roman" w:eastAsia="方正小标宋简体" w:cs="Times New Roman"/>
          <w:sz w:val="76"/>
          <w:szCs w:val="76"/>
        </w:rPr>
      </w:pPr>
    </w:p>
    <w:p w14:paraId="50FDABD5">
      <w:pPr>
        <w:pStyle w:val="16"/>
        <w:jc w:val="center"/>
        <w:rPr>
          <w:rFonts w:hint="default" w:ascii="Times New Roman" w:hAnsi="Times New Roman" w:eastAsia="方正小标宋简体" w:cs="Times New Roman"/>
          <w:w w:val="90"/>
          <w:sz w:val="72"/>
          <w:szCs w:val="72"/>
        </w:rPr>
      </w:pPr>
      <w:r>
        <w:rPr>
          <w:rFonts w:hint="default" w:ascii="Times New Roman" w:hAnsi="Times New Roman" w:eastAsia="方正小标宋简体" w:cs="Times New Roman"/>
          <w:spacing w:val="1"/>
          <w:w w:val="96"/>
          <w:kern w:val="0"/>
          <w:sz w:val="76"/>
          <w:szCs w:val="76"/>
          <w:fitText w:val="10260" w:id="268715273"/>
          <w:lang w:val="en-US" w:eastAsia="zh-CN"/>
        </w:rPr>
        <w:t>株洲市石峰区工程建设服务中</w:t>
      </w:r>
      <w:r>
        <w:rPr>
          <w:rFonts w:hint="default" w:ascii="Times New Roman" w:hAnsi="Times New Roman" w:eastAsia="方正小标宋简体" w:cs="Times New Roman"/>
          <w:spacing w:val="46"/>
          <w:w w:val="96"/>
          <w:kern w:val="0"/>
          <w:sz w:val="76"/>
          <w:szCs w:val="76"/>
          <w:fitText w:val="10260" w:id="268715273"/>
          <w:lang w:val="en-US" w:eastAsia="zh-CN"/>
        </w:rPr>
        <w:t>心</w:t>
      </w:r>
    </w:p>
    <w:p w14:paraId="3A88796C">
      <w:pPr>
        <w:pStyle w:val="16"/>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单位概况</w:t>
      </w:r>
    </w:p>
    <w:p w14:paraId="34438786">
      <w:pPr>
        <w:pStyle w:val="17"/>
        <w:keepNext w:val="0"/>
        <w:keepLines w:val="0"/>
        <w:pageBreakBefore w:val="0"/>
        <w:numPr>
          <w:ilvl w:val="0"/>
          <w:numId w:val="1"/>
        </w:numPr>
        <w:kinsoku/>
        <w:wordWrap/>
        <w:overflowPunct w:val="0"/>
        <w:topLinePunct w:val="0"/>
        <w:autoSpaceDE/>
        <w:autoSpaceDN/>
        <w:bidi w:val="0"/>
        <w:adjustRightInd/>
        <w:snapToGrid/>
        <w:spacing w:line="560" w:lineRule="exact"/>
        <w:ind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5B3B5FC0">
      <w:pPr>
        <w:pStyle w:val="17"/>
        <w:keepNext w:val="0"/>
        <w:keepLines w:val="0"/>
        <w:pageBreakBefore w:val="0"/>
        <w:numPr>
          <w:ilvl w:val="0"/>
          <w:numId w:val="0"/>
        </w:numPr>
        <w:kinsoku/>
        <w:wordWrap/>
        <w:overflowPunct w:val="0"/>
        <w:topLinePunct w:val="0"/>
        <w:autoSpaceDE/>
        <w:autoSpaceDN/>
        <w:bidi w:val="0"/>
        <w:adjustRightInd/>
        <w:snapToGrid/>
        <w:spacing w:line="560" w:lineRule="exact"/>
        <w:ind w:left="640" w:leftChars="0"/>
        <w:textAlignment w:val="auto"/>
        <w:rPr>
          <w:rFonts w:hint="default" w:ascii="Times New Roman" w:hAnsi="Times New Roman" w:eastAsia="黑体" w:cs="Times New Roman"/>
          <w:sz w:val="32"/>
          <w:szCs w:val="32"/>
        </w:rPr>
      </w:pPr>
    </w:p>
    <w:p w14:paraId="2CDD2601">
      <w:pPr>
        <w:pStyle w:val="17"/>
        <w:keepNext w:val="0"/>
        <w:keepLines w:val="0"/>
        <w:pageBreakBefore w:val="0"/>
        <w:numPr>
          <w:ilvl w:val="0"/>
          <w:numId w:val="0"/>
        </w:numPr>
        <w:kinsoku/>
        <w:wordWrap/>
        <w:overflowPunct w:val="0"/>
        <w:topLinePunct w:val="0"/>
        <w:autoSpaceDE/>
        <w:autoSpaceDN/>
        <w:bidi w:val="0"/>
        <w:adjustRightInd/>
        <w:snapToGrid/>
        <w:spacing w:line="560" w:lineRule="exact"/>
        <w:ind w:left="640" w:leftChars="0"/>
        <w:textAlignment w:val="auto"/>
        <w:rPr>
          <w:rFonts w:hint="default" w:ascii="Times New Roman" w:hAnsi="Times New Roman" w:eastAsia="黑体" w:cs="Times New Roman"/>
          <w:sz w:val="32"/>
          <w:szCs w:val="32"/>
        </w:rPr>
      </w:pPr>
    </w:p>
    <w:p w14:paraId="2EAEAA2D">
      <w:pPr>
        <w:pStyle w:val="17"/>
        <w:keepNext w:val="0"/>
        <w:keepLines w:val="0"/>
        <w:pageBreakBefore w:val="0"/>
        <w:numPr>
          <w:ilvl w:val="0"/>
          <w:numId w:val="0"/>
        </w:numPr>
        <w:kinsoku/>
        <w:wordWrap/>
        <w:overflowPunct w:val="0"/>
        <w:topLinePunct w:val="0"/>
        <w:autoSpaceDE/>
        <w:autoSpaceDN/>
        <w:bidi w:val="0"/>
        <w:adjustRightInd/>
        <w:snapToGrid/>
        <w:spacing w:line="560" w:lineRule="exact"/>
        <w:ind w:left="640" w:leftChars="0"/>
        <w:textAlignment w:val="auto"/>
        <w:rPr>
          <w:rFonts w:hint="default" w:ascii="Times New Roman" w:hAnsi="Times New Roman" w:eastAsia="黑体" w:cs="Times New Roman"/>
          <w:sz w:val="32"/>
          <w:szCs w:val="32"/>
        </w:rPr>
      </w:pPr>
    </w:p>
    <w:p w14:paraId="71D48A39">
      <w:pPr>
        <w:pStyle w:val="17"/>
        <w:keepNext w:val="0"/>
        <w:keepLines w:val="0"/>
        <w:pageBreakBefore w:val="0"/>
        <w:numPr>
          <w:ilvl w:val="0"/>
          <w:numId w:val="2"/>
        </w:numPr>
        <w:kinsoku/>
        <w:wordWrap/>
        <w:overflowPunct w:val="0"/>
        <w:topLinePunct w:val="0"/>
        <w:autoSpaceDE/>
        <w:autoSpaceDN/>
        <w:bidi w:val="0"/>
        <w:adjustRightInd/>
        <w:snapToGrid/>
        <w:spacing w:line="560" w:lineRule="exact"/>
        <w:ind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部门职责</w:t>
      </w:r>
    </w:p>
    <w:p w14:paraId="7D4BD1B9">
      <w:pPr>
        <w:keepNext w:val="0"/>
        <w:keepLines w:val="0"/>
        <w:pageBreakBefore w:val="0"/>
        <w:widowControl/>
        <w:kinsoku/>
        <w:wordWrap/>
        <w:topLinePunct w:val="0"/>
        <w:autoSpaceDE/>
        <w:autoSpaceDN/>
        <w:bidi w:val="0"/>
        <w:adjustRightInd/>
        <w:snapToGrid/>
        <w:spacing w:line="560" w:lineRule="exact"/>
        <w:ind w:left="638" w:leftChars="304" w:right="199" w:rightChars="95"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lang w:val="en-US" w:eastAsia="zh-CN"/>
        </w:rPr>
        <w:t>根据株石编委 [2019] 1号文件规定，本部门主要职责是：将全区政府投资建设工程及项目建设服务等公益服务职责整合，主要负责项目统一管理和组织实施工作。</w:t>
      </w:r>
    </w:p>
    <w:p w14:paraId="3F07D4D0">
      <w:pPr>
        <w:keepNext w:val="0"/>
        <w:keepLines w:val="0"/>
        <w:pageBreakBefore w:val="0"/>
        <w:numPr>
          <w:ilvl w:val="0"/>
          <w:numId w:val="2"/>
        </w:numPr>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机构设置及决算单位构成</w:t>
      </w:r>
    </w:p>
    <w:p w14:paraId="2714E2A3">
      <w:pPr>
        <w:pStyle w:val="7"/>
        <w:keepNext w:val="0"/>
        <w:keepLines w:val="0"/>
        <w:pageBreakBefore w:val="0"/>
        <w:widowControl/>
        <w:suppressLineNumbers w:val="0"/>
        <w:kinsoku/>
        <w:wordWrap/>
        <w:topLinePunct w:val="0"/>
        <w:autoSpaceDE/>
        <w:autoSpaceDN/>
        <w:bidi w:val="0"/>
        <w:adjustRightInd/>
        <w:snapToGrid/>
        <w:spacing w:before="0" w:beforeAutospacing="0" w:after="0" w:afterAutospacing="0" w:line="560" w:lineRule="exact"/>
        <w:ind w:right="0" w:firstLine="1280" w:firstLineChars="400"/>
        <w:jc w:val="both"/>
        <w:textAlignment w:val="auto"/>
        <w:rPr>
          <w:rFonts w:hint="default" w:ascii="Times New Roman" w:hAnsi="Times New Roman" w:eastAsia="仿宋_GB2312" w:cs="Times New Roman"/>
          <w:bCs/>
          <w:kern w:val="0"/>
          <w:sz w:val="32"/>
          <w:szCs w:val="32"/>
        </w:rPr>
      </w:pPr>
      <w:r>
        <w:rPr>
          <w:rFonts w:hint="eastAsia" w:ascii="楷体" w:hAnsi="楷体" w:eastAsia="楷体" w:cs="楷体"/>
          <w:bCs/>
          <w:kern w:val="0"/>
          <w:sz w:val="32"/>
          <w:szCs w:val="32"/>
        </w:rPr>
        <w:t>（一）内设机构设置</w:t>
      </w:r>
    </w:p>
    <w:p w14:paraId="7E20B48B">
      <w:pPr>
        <w:keepNext w:val="0"/>
        <w:keepLines w:val="0"/>
        <w:pageBreakBefore w:val="0"/>
        <w:widowControl/>
        <w:tabs>
          <w:tab w:val="left" w:pos="6940"/>
        </w:tabs>
        <w:kinsoku/>
        <w:wordWrap/>
        <w:topLinePunct w:val="0"/>
        <w:autoSpaceDE/>
        <w:autoSpaceDN/>
        <w:bidi w:val="0"/>
        <w:adjustRightInd/>
        <w:snapToGrid/>
        <w:spacing w:line="560" w:lineRule="exact"/>
        <w:ind w:left="638" w:leftChars="304" w:right="199" w:rightChars="95"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石峰区工程建设服务中心内设机构包括：我单位属于正科级公益类事业单位，石峰区一级预算单位，现有预算单位1个。本部门共有行政编制事业编6名；劳务派遣人员4人。实有人数10人，其中：在职人员10人，无离休和退休人员。我单位内设处室2个，分别是综合事务室和综合事务室。纳入本年部门决算编制范围。</w:t>
      </w:r>
    </w:p>
    <w:p w14:paraId="74A3AE9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Cs/>
          <w:kern w:val="0"/>
          <w:sz w:val="32"/>
          <w:szCs w:val="32"/>
        </w:rPr>
      </w:pPr>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lang w:val="en-US" w:eastAsia="zh-CN"/>
        </w:rPr>
        <w:t>二</w:t>
      </w:r>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rPr>
        <w:t>决算单位构成</w:t>
      </w:r>
    </w:p>
    <w:p w14:paraId="0480B8C5">
      <w:pPr>
        <w:keepNext w:val="0"/>
        <w:keepLines w:val="0"/>
        <w:pageBreakBefore w:val="0"/>
        <w:widowControl/>
        <w:numPr>
          <w:ilvl w:val="0"/>
          <w:numId w:val="0"/>
        </w:numPr>
        <w:kinsoku/>
        <w:wordWrap/>
        <w:topLinePunct w:val="0"/>
        <w:autoSpaceDE/>
        <w:autoSpaceDN/>
        <w:bidi w:val="0"/>
        <w:adjustRightInd/>
        <w:snapToGrid/>
        <w:spacing w:line="560" w:lineRule="exact"/>
        <w:ind w:left="638" w:leftChars="304" w:right="199" w:rightChars="95"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lang w:val="en-US" w:eastAsia="zh-CN"/>
        </w:rPr>
        <w:t>从决算单位构成看，石峰区工程建设服务中心2023年部门决算汇总公开单位构成包括：石峰区工程建设服务中心本级，我单位没有其他二级决算单位。</w:t>
      </w:r>
    </w:p>
    <w:p w14:paraId="6B38B77B">
      <w:pPr>
        <w:overflowPunct w:val="0"/>
        <w:spacing w:line="596" w:lineRule="exact"/>
        <w:ind w:left="1360"/>
        <w:rPr>
          <w:rFonts w:hint="default" w:ascii="Times New Roman" w:hAnsi="Times New Roman" w:eastAsia="仿宋_GB2312" w:cs="Times New Roman"/>
          <w:kern w:val="0"/>
          <w:sz w:val="32"/>
          <w:szCs w:val="32"/>
        </w:rPr>
      </w:pPr>
    </w:p>
    <w:p w14:paraId="6806C15F">
      <w:pPr>
        <w:pStyle w:val="16"/>
        <w:jc w:val="both"/>
        <w:rPr>
          <w:rFonts w:hint="default" w:ascii="Times New Roman" w:hAnsi="Times New Roman" w:eastAsia="仿宋_GB2312" w:cs="Times New Roman"/>
          <w:sz w:val="32"/>
          <w:szCs w:val="32"/>
        </w:rPr>
      </w:pPr>
    </w:p>
    <w:p w14:paraId="071509DF">
      <w:pPr>
        <w:pStyle w:val="16"/>
        <w:jc w:val="both"/>
        <w:rPr>
          <w:rFonts w:hint="default" w:ascii="Times New Roman" w:hAnsi="Times New Roman" w:cs="Times New Roman"/>
          <w:sz w:val="84"/>
          <w:szCs w:val="84"/>
        </w:rPr>
      </w:pPr>
    </w:p>
    <w:p w14:paraId="1A503224">
      <w:pPr>
        <w:pStyle w:val="16"/>
        <w:jc w:val="both"/>
        <w:rPr>
          <w:rFonts w:hint="default" w:ascii="Times New Roman" w:hAnsi="Times New Roman" w:cs="Times New Roman"/>
          <w:sz w:val="84"/>
          <w:szCs w:val="84"/>
        </w:rPr>
      </w:pPr>
    </w:p>
    <w:p w14:paraId="6ADB9F8B">
      <w:pPr>
        <w:pStyle w:val="16"/>
        <w:jc w:val="both"/>
        <w:rPr>
          <w:rFonts w:hint="default" w:ascii="Times New Roman" w:hAnsi="Times New Roman" w:cs="Times New Roman"/>
          <w:sz w:val="84"/>
          <w:szCs w:val="84"/>
        </w:rPr>
      </w:pPr>
    </w:p>
    <w:p w14:paraId="184700C5">
      <w:pPr>
        <w:pStyle w:val="16"/>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第二部分</w:t>
      </w:r>
    </w:p>
    <w:p w14:paraId="124F6A71">
      <w:pPr>
        <w:pStyle w:val="16"/>
        <w:jc w:val="center"/>
        <w:rPr>
          <w:rFonts w:hint="default" w:ascii="Times New Roman" w:hAnsi="Times New Roman" w:eastAsia="方正小标宋简体" w:cs="Times New Roman"/>
          <w:sz w:val="76"/>
          <w:szCs w:val="76"/>
        </w:rPr>
      </w:pPr>
    </w:p>
    <w:p w14:paraId="3FAEE25B">
      <w:pPr>
        <w:pStyle w:val="16"/>
        <w:jc w:val="center"/>
        <w:rPr>
          <w:rFonts w:hint="default" w:ascii="Times New Roman" w:hAnsi="Times New Roman" w:eastAsia="方正小标宋简体" w:cs="Times New Roman"/>
          <w:w w:val="90"/>
          <w:sz w:val="76"/>
          <w:szCs w:val="76"/>
        </w:rPr>
      </w:pPr>
      <w:r>
        <w:rPr>
          <w:rFonts w:hint="default" w:ascii="Times New Roman" w:hAnsi="Times New Roman" w:eastAsia="方正小标宋简体" w:cs="Times New Roman"/>
          <w:sz w:val="76"/>
          <w:szCs w:val="76"/>
        </w:rPr>
        <w:t>部门决算表</w:t>
      </w:r>
    </w:p>
    <w:p w14:paraId="060AD5CE">
      <w:pPr>
        <w:rPr>
          <w:rFonts w:hint="default" w:ascii="Times New Roman" w:hAnsi="Times New Roman" w:eastAsia="仿宋_GB2312" w:cs="Times New Roman"/>
          <w:sz w:val="72"/>
          <w:szCs w:val="72"/>
        </w:rPr>
      </w:pPr>
    </w:p>
    <w:p w14:paraId="51D3AD96">
      <w:pPr>
        <w:jc w:val="center"/>
        <w:rPr>
          <w:rFonts w:hint="default" w:ascii="Times New Roman" w:hAnsi="Times New Roman" w:eastAsia="宋体" w:cs="Times New Roman"/>
          <w:sz w:val="32"/>
          <w:szCs w:val="32"/>
          <w:lang w:eastAsia="zh-CN"/>
        </w:rPr>
        <w:sectPr>
          <w:footerReference r:id="rId3" w:type="default"/>
          <w:pgSz w:w="11906" w:h="16838"/>
          <w:pgMar w:top="720" w:right="1946" w:bottom="720" w:left="720" w:header="851" w:footer="992" w:gutter="0"/>
          <w:cols w:space="425" w:num="1"/>
          <w:docGrid w:type="lines" w:linePitch="312" w:charSpace="0"/>
        </w:sectPr>
      </w:pPr>
      <w:r>
        <w:rPr>
          <w:rFonts w:hint="default" w:ascii="Times New Roman" w:hAnsi="Times New Roman" w:cs="Times New Roman"/>
          <w:sz w:val="32"/>
          <w:szCs w:val="32"/>
          <w:lang w:eastAsia="zh-CN"/>
        </w:rPr>
        <w:t>（见附件</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eastAsia="zh-CN"/>
        </w:rPr>
        <w:t>）</w:t>
      </w:r>
    </w:p>
    <w:p w14:paraId="2FB06AA2">
      <w:pPr>
        <w:pStyle w:val="16"/>
        <w:jc w:val="both"/>
        <w:rPr>
          <w:rFonts w:hint="default" w:ascii="Times New Roman" w:hAnsi="Times New Roman" w:cs="Times New Roman"/>
          <w:sz w:val="84"/>
          <w:szCs w:val="84"/>
        </w:rPr>
      </w:pPr>
    </w:p>
    <w:p w14:paraId="7934C4D1">
      <w:pPr>
        <w:pStyle w:val="16"/>
        <w:jc w:val="both"/>
        <w:rPr>
          <w:rFonts w:hint="default" w:ascii="Times New Roman" w:hAnsi="Times New Roman" w:cs="Times New Roman"/>
          <w:sz w:val="84"/>
          <w:szCs w:val="84"/>
        </w:rPr>
      </w:pPr>
    </w:p>
    <w:p w14:paraId="6AAC3D8D">
      <w:pPr>
        <w:pStyle w:val="16"/>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2"/>
          <w:szCs w:val="72"/>
        </w:rPr>
        <w:t>第三部分</w:t>
      </w:r>
    </w:p>
    <w:p w14:paraId="034FBF16">
      <w:pPr>
        <w:pStyle w:val="16"/>
        <w:jc w:val="center"/>
        <w:rPr>
          <w:rFonts w:hint="default" w:ascii="Times New Roman" w:hAnsi="Times New Roman" w:eastAsia="方正小标宋简体" w:cs="Times New Roman"/>
          <w:sz w:val="76"/>
          <w:szCs w:val="76"/>
        </w:rPr>
      </w:pPr>
    </w:p>
    <w:p w14:paraId="0A69C3EF">
      <w:pPr>
        <w:pStyle w:val="16"/>
        <w:jc w:val="center"/>
        <w:rPr>
          <w:rFonts w:hint="default" w:ascii="Times New Roman" w:hAnsi="Times New Roman" w:eastAsia="仿宋_GB2312" w:cs="Times New Roman"/>
          <w:sz w:val="28"/>
          <w:szCs w:val="28"/>
        </w:rPr>
      </w:pPr>
      <w:r>
        <w:rPr>
          <w:rFonts w:hint="default" w:ascii="Times New Roman" w:hAnsi="Times New Roman" w:eastAsia="方正小标宋简体" w:cs="Times New Roman"/>
          <w:sz w:val="72"/>
          <w:szCs w:val="72"/>
        </w:rPr>
        <w:t>2023年度部门决算情况说明</w:t>
      </w:r>
    </w:p>
    <w:p w14:paraId="0530C6E8">
      <w:pPr>
        <w:pStyle w:val="16"/>
        <w:keepNext w:val="0"/>
        <w:keepLines w:val="0"/>
        <w:pageBreakBefore w:val="0"/>
        <w:widowControl w:val="0"/>
        <w:numPr>
          <w:ilvl w:val="0"/>
          <w:numId w:val="3"/>
        </w:numPr>
        <w:kinsoku/>
        <w:wordWrap/>
        <w:overflowPunct/>
        <w:topLinePunct w:val="0"/>
        <w:bidi w:val="0"/>
        <w:adjustRightInd w:val="0"/>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br w:type="page"/>
      </w:r>
      <w:r>
        <w:rPr>
          <w:rFonts w:hint="default" w:ascii="Times New Roman" w:hAnsi="Times New Roman" w:cs="Times New Roman"/>
          <w:sz w:val="32"/>
          <w:szCs w:val="32"/>
        </w:rPr>
        <w:t>收入支出决算总体情况说明</w:t>
      </w:r>
    </w:p>
    <w:p w14:paraId="0DC50ED2">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cs="Times New Roman" w:eastAsiaTheme="minorEastAsia"/>
          <w:sz w:val="32"/>
          <w:szCs w:val="32"/>
          <w:highlight w:val="none"/>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年度收、支总计</w:t>
      </w:r>
      <w:r>
        <w:rPr>
          <w:rFonts w:hint="default" w:ascii="Times New Roman" w:hAnsi="Times New Roman" w:eastAsia="仿宋_GB2312" w:cs="Times New Roman"/>
          <w:sz w:val="32"/>
          <w:szCs w:val="32"/>
          <w:lang w:val="en-US" w:eastAsia="zh-CN"/>
        </w:rPr>
        <w:t>185.14</w:t>
      </w:r>
      <w:r>
        <w:rPr>
          <w:rFonts w:hint="default" w:ascii="Times New Roman" w:hAnsi="Times New Roman" w:eastAsia="仿宋_GB2312" w:cs="Times New Roman"/>
          <w:sz w:val="32"/>
          <w:szCs w:val="32"/>
        </w:rPr>
        <w:t>万元。与上年相比，</w:t>
      </w:r>
      <w:r>
        <w:rPr>
          <w:rFonts w:hint="default" w:ascii="Times New Roman" w:hAnsi="Times New Roman" w:eastAsia="仿宋_GB2312" w:cs="Times New Roman"/>
          <w:sz w:val="32"/>
          <w:szCs w:val="32"/>
          <w:lang w:val="en-US" w:eastAsia="zh-CN"/>
        </w:rPr>
        <w:t>增加6.93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highlight w:val="none"/>
          <w:lang w:val="en-US" w:eastAsia="zh-CN"/>
        </w:rPr>
        <w:t>3.89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增加的主要原因是</w:t>
      </w:r>
      <w:r>
        <w:rPr>
          <w:rFonts w:hint="default" w:ascii="Times New Roman" w:hAnsi="Times New Roman" w:eastAsia="仿宋_GB2312" w:cs="Times New Roman"/>
          <w:color w:val="auto"/>
          <w:sz w:val="32"/>
          <w:szCs w:val="32"/>
        </w:rPr>
        <w:t>交通运输项目支出</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sz w:val="32"/>
          <w:szCs w:val="32"/>
        </w:rPr>
        <w:t>。</w:t>
      </w:r>
    </w:p>
    <w:p w14:paraId="566A7B3B">
      <w:pPr>
        <w:pStyle w:val="16"/>
        <w:keepNext w:val="0"/>
        <w:keepLines w:val="0"/>
        <w:pageBreakBefore w:val="0"/>
        <w:widowControl w:val="0"/>
        <w:numPr>
          <w:ilvl w:val="0"/>
          <w:numId w:val="3"/>
        </w:numPr>
        <w:kinsoku/>
        <w:wordWrap/>
        <w:overflowPunct/>
        <w:topLinePunct w:val="0"/>
        <w:bidi w:val="0"/>
        <w:adjustRightInd w:val="0"/>
        <w:spacing w:line="56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收入决算情况说明</w:t>
      </w:r>
    </w:p>
    <w:p w14:paraId="1FB3098A">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2023年度收入合计185.14万元，其中：财政拨款收入185.14万元，占100%；</w:t>
      </w:r>
      <w:r>
        <w:rPr>
          <w:rFonts w:hint="default" w:ascii="Times New Roman" w:hAnsi="Times New Roman" w:eastAsia="仿宋" w:cs="Times New Roman"/>
          <w:sz w:val="32"/>
          <w:szCs w:val="32"/>
        </w:rPr>
        <w:t>上级补助收入0万元，占0%；事业收入0万元，占0%；经营收入0万元，占0%；附属单位上缴收入0万元，占0%。</w:t>
      </w:r>
    </w:p>
    <w:p w14:paraId="66C59AF8">
      <w:pPr>
        <w:pStyle w:val="16"/>
        <w:keepNext w:val="0"/>
        <w:keepLines w:val="0"/>
        <w:pageBreakBefore w:val="0"/>
        <w:widowControl w:val="0"/>
        <w:numPr>
          <w:ilvl w:val="0"/>
          <w:numId w:val="3"/>
        </w:numPr>
        <w:kinsoku/>
        <w:wordWrap/>
        <w:overflowPunct/>
        <w:topLinePunct w:val="0"/>
        <w:bidi w:val="0"/>
        <w:adjustRightInd w:val="0"/>
        <w:spacing w:line="56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支出决算情况说明</w:t>
      </w:r>
    </w:p>
    <w:p w14:paraId="5BF74BA3">
      <w:pPr>
        <w:pStyle w:val="16"/>
        <w:keepNext w:val="0"/>
        <w:keepLines w:val="0"/>
        <w:pageBreakBefore w:val="0"/>
        <w:widowControl w:val="0"/>
        <w:numPr>
          <w:ilvl w:val="0"/>
          <w:numId w:val="0"/>
        </w:numPr>
        <w:kinsoku/>
        <w:wordWrap/>
        <w:overflowPunct/>
        <w:topLinePunct w:val="0"/>
        <w:bidi w:val="0"/>
        <w:adjustRightInd w:val="0"/>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2023年度支出合计185.14万元，其中：基本支出117.3万元，占63.36%；项目支出67.8391万元，占36.64%；上缴上级支出0万元，占0%；经营支出0万元，占0%；对附属单位补助支出0万元，占0%。</w:t>
      </w:r>
    </w:p>
    <w:p w14:paraId="49BC2A7B">
      <w:pPr>
        <w:pStyle w:val="16"/>
        <w:keepNext w:val="0"/>
        <w:keepLines w:val="0"/>
        <w:pageBreakBefore w:val="0"/>
        <w:widowControl w:val="0"/>
        <w:numPr>
          <w:ilvl w:val="0"/>
          <w:numId w:val="3"/>
        </w:numPr>
        <w:kinsoku/>
        <w:wordWrap/>
        <w:overflowPunct/>
        <w:topLinePunct w:val="0"/>
        <w:bidi w:val="0"/>
        <w:adjustRightInd w:val="0"/>
        <w:spacing w:line="56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财政拨款收入支出决算总体情况说明</w:t>
      </w:r>
    </w:p>
    <w:p w14:paraId="5DED7C55">
      <w:pPr>
        <w:pStyle w:val="16"/>
        <w:keepNext w:val="0"/>
        <w:keepLines w:val="0"/>
        <w:pageBreakBefore w:val="0"/>
        <w:widowControl w:val="0"/>
        <w:numPr>
          <w:ilvl w:val="0"/>
          <w:numId w:val="0"/>
        </w:numPr>
        <w:kinsoku/>
        <w:wordWrap/>
        <w:overflowPunct/>
        <w:topLinePunct w:val="0"/>
        <w:bidi w:val="0"/>
        <w:adjustRightInd w:val="0"/>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2023年度财政拨款收、支总计185.14万元，与上年相比，增加6.93万元，增加3.89%，主要原因是交通运输项目支出增加。</w:t>
      </w:r>
    </w:p>
    <w:p w14:paraId="5B7462D3">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五、一般公共预算财政拨款支出决算情况说明</w:t>
      </w:r>
    </w:p>
    <w:p w14:paraId="5CDD0B3A">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（一）财政拨款支出决算总体情况</w:t>
      </w:r>
    </w:p>
    <w:p w14:paraId="060F24D9">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cs="Times New Roman" w:eastAsiaTheme="minorEastAsia"/>
          <w:sz w:val="32"/>
          <w:szCs w:val="32"/>
          <w:lang w:eastAsia="zh-CN"/>
        </w:rPr>
      </w:pPr>
      <w:r>
        <w:rPr>
          <w:rFonts w:hint="default" w:ascii="Times New Roman" w:hAnsi="Times New Roman" w:eastAsia="仿宋_GB2312" w:cs="Times New Roman"/>
          <w:color w:val="000000"/>
          <w:sz w:val="32"/>
          <w:szCs w:val="32"/>
          <w:lang w:val="en-US" w:eastAsia="zh-CN"/>
        </w:rPr>
        <w:t>2023年度财政拨款支出185.14万元，占本年支出合计的100%，与上年相比，财政拨款支出增加6.93万元，增加3.89%，主要原因是交通运输项目支出增加。</w:t>
      </w:r>
    </w:p>
    <w:p w14:paraId="77E71DFC">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（二）财政拨款支出决算结构情况</w:t>
      </w:r>
    </w:p>
    <w:p w14:paraId="2641E84F">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2023年度财政拨款支出185.14万元，主要用于以下方面：城乡社区（类）支出118.14万元，占63.81%；交通运输（类）支出67万元，占36.19%。</w:t>
      </w:r>
    </w:p>
    <w:p w14:paraId="47CDFA88">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eastAsia" w:ascii="Times New Roman" w:hAnsi="Times New Roman" w:eastAsia="楷体_GB2312" w:cs="Times New Roman"/>
          <w:b/>
          <w:color w:val="000000"/>
          <w:kern w:val="0"/>
          <w:sz w:val="32"/>
          <w:szCs w:val="32"/>
          <w:lang w:eastAsia="zh-CN"/>
        </w:rPr>
        <w:t>（</w:t>
      </w:r>
      <w:r>
        <w:rPr>
          <w:rFonts w:hint="eastAsia" w:ascii="Times New Roman" w:hAnsi="Times New Roman" w:eastAsia="楷体_GB2312" w:cs="Times New Roman"/>
          <w:b/>
          <w:color w:val="000000"/>
          <w:kern w:val="0"/>
          <w:sz w:val="32"/>
          <w:szCs w:val="32"/>
          <w:lang w:val="en-US" w:eastAsia="zh-CN"/>
        </w:rPr>
        <w:t>三</w:t>
      </w:r>
      <w:r>
        <w:rPr>
          <w:rFonts w:hint="eastAsia" w:ascii="Times New Roman" w:hAnsi="Times New Roman" w:eastAsia="楷体_GB2312" w:cs="Times New Roman"/>
          <w:b/>
          <w:color w:val="000000"/>
          <w:kern w:val="0"/>
          <w:sz w:val="32"/>
          <w:szCs w:val="32"/>
          <w:lang w:eastAsia="zh-CN"/>
        </w:rPr>
        <w:t>）</w:t>
      </w:r>
      <w:r>
        <w:rPr>
          <w:rFonts w:hint="default" w:ascii="Times New Roman" w:hAnsi="Times New Roman" w:eastAsia="楷体_GB2312" w:cs="Times New Roman"/>
          <w:b/>
          <w:color w:val="000000"/>
          <w:kern w:val="0"/>
          <w:sz w:val="32"/>
          <w:szCs w:val="32"/>
        </w:rPr>
        <w:t>财政拨款支出决算具体情况</w:t>
      </w:r>
    </w:p>
    <w:p w14:paraId="3DD4648B">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2023年度财政拨款支出年初预算数为122.42万元，支出决算数为185.14万元，完成年初预算的151.2%，其中：</w:t>
      </w:r>
    </w:p>
    <w:p w14:paraId="73260B51">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1、城乡社区支出（类）城乡社区管理事务（款）行政运行（项）</w:t>
      </w:r>
    </w:p>
    <w:p w14:paraId="00726942">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年初预算为122.42万元，支出决算为117.3万元，完成年初预算的95.82%，决算数小于年初预算数的主要原因是：人员经费减少。</w:t>
      </w:r>
    </w:p>
    <w:p w14:paraId="643FCCE4">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2、城乡社区支出（类）城乡社区管理事务（款）其他城乡社区管理事务支出（项）</w:t>
      </w:r>
    </w:p>
    <w:p w14:paraId="52205B96">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年初预算为0万元，支出决算为0.84万元，完成年初预算的100%，决算数大于年初预算数的主要原因是：本年度项目支出增加。</w:t>
      </w:r>
    </w:p>
    <w:p w14:paraId="6E895DE2">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3、交通运输支出（类）车辆购置税支出（款）车辆购置税用于公路等基础设施建设支出（项）</w:t>
      </w:r>
    </w:p>
    <w:p w14:paraId="4E0D2243">
      <w:pPr>
        <w:pStyle w:val="16"/>
        <w:keepNext w:val="0"/>
        <w:keepLines w:val="0"/>
        <w:pageBreakBefore w:val="0"/>
        <w:widowControl w:val="0"/>
        <w:kinsoku/>
        <w:wordWrap/>
        <w:overflowPunct/>
        <w:topLinePunct w:val="0"/>
        <w:bidi w:val="0"/>
        <w:adjustRightInd w:val="0"/>
        <w:snapToGrid/>
        <w:spacing w:line="560" w:lineRule="exact"/>
        <w:ind w:firstLine="800" w:firstLineChars="250"/>
        <w:textAlignment w:val="auto"/>
        <w:rPr>
          <w:rFonts w:hint="default" w:ascii="Times New Roman" w:hAnsi="Times New Roman" w:cs="Times New Roman" w:eastAsiaTheme="minorEastAsia"/>
          <w:sz w:val="32"/>
          <w:szCs w:val="32"/>
          <w:highlight w:val="yellow"/>
          <w:lang w:eastAsia="zh-CN"/>
        </w:rPr>
      </w:pPr>
      <w:r>
        <w:rPr>
          <w:rFonts w:hint="default" w:ascii="Times New Roman" w:hAnsi="Times New Roman" w:eastAsia="仿宋_GB2312" w:cs="Times New Roman"/>
          <w:color w:val="000000"/>
          <w:sz w:val="32"/>
          <w:szCs w:val="32"/>
          <w:lang w:val="en-US" w:eastAsia="zh-CN"/>
        </w:rPr>
        <w:t>年初预算为0万元，支出决算为67万元，完成年初预算的100%，决算数大于年初预算数的主要原因是：本年度项目支出增加。</w:t>
      </w:r>
    </w:p>
    <w:p w14:paraId="1DDF8912">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六、一般公共预算财政拨款基本支出决算情况说明</w:t>
      </w:r>
    </w:p>
    <w:p w14:paraId="4D0D4FC5">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eastAsia="仿宋_GB2312" w:cs="Times New Roman"/>
          <w:color w:val="000000"/>
          <w:sz w:val="32"/>
          <w:szCs w:val="32"/>
          <w:lang w:val="en-US" w:eastAsia="zh-CN"/>
        </w:rPr>
        <w:t>2023年度财政拨款基本支出117.3万元，其中：人员经费102.68万元，占基本支出的87.54%,主要包括基本工资、津贴补贴、奖金、伙食补助费、机关事业单位基本养老保险缴费、职业年金缴费、职工基本医疗保险缴费、公务员医疗补助缴费、其他社会保障缴费、住房公积金、医疗费等；公用经费14.62万元，占基本支出的12.46%，主要包括办公费、印刷费、工会经费、福利费、其他商品和服务支出和其他交通费用等。</w:t>
      </w:r>
    </w:p>
    <w:p w14:paraId="1C104A39">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七、一般公共预算财政拨款“三公”经费支出决算情况说明</w:t>
      </w:r>
    </w:p>
    <w:p w14:paraId="2B758D62">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（一）“三公”经费财政拨款支出决算总体情况说明</w:t>
      </w:r>
    </w:p>
    <w:p w14:paraId="31A9131C">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2023年度“三公”经费财政拨款支出预算为0万元，支出决算为0万元，决算数等于预算数，其中：</w:t>
      </w:r>
    </w:p>
    <w:p w14:paraId="043EFCB2">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因公出国（境）费支出预算为0万元，支出决算为0万元，决算数等于预算数，与上年相比金额相等。</w:t>
      </w:r>
    </w:p>
    <w:p w14:paraId="5D888266">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公务接待费支出预算为0万元，支出决算为0万元，决算数等于预算数，与上年相比金额相等。</w:t>
      </w:r>
    </w:p>
    <w:p w14:paraId="64A2D750">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公务用车购置费支出预算为0万元，支出决算为0万元，决算数等于预算数，与上年相比金额相等。</w:t>
      </w:r>
    </w:p>
    <w:p w14:paraId="59F420AC">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000000"/>
          <w:sz w:val="32"/>
          <w:szCs w:val="32"/>
          <w:lang w:val="en-US" w:eastAsia="zh-CN"/>
        </w:rPr>
        <w:t>公务用车运行维护费支出预算为0万元，支出决算为0万元，决算数等于预算数，与上年相比金额相等。</w:t>
      </w:r>
    </w:p>
    <w:p w14:paraId="58509BF1">
      <w:pPr>
        <w:pStyle w:val="16"/>
        <w:keepNext w:val="0"/>
        <w:keepLines w:val="0"/>
        <w:pageBreakBefore w:val="0"/>
        <w:widowControl w:val="0"/>
        <w:kinsoku/>
        <w:wordWrap/>
        <w:overflowPunct/>
        <w:topLinePunct w:val="0"/>
        <w:bidi w:val="0"/>
        <w:adjustRightInd w:val="0"/>
        <w:spacing w:line="560"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（二）“三公”经费财政拨款支出决算具体情况说明</w:t>
      </w:r>
    </w:p>
    <w:p w14:paraId="3214FDD1">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2023年度“三公”经费财政拨款支出决算中，公务接待费支出决算0万元，占0%,因公出国（境）费支出决算0万元，占0%,公务用车购置费及运行维护费支出决算0万元，占0%。其中：</w:t>
      </w:r>
    </w:p>
    <w:p w14:paraId="1A68863E">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1、因公出国（境）费支出决算为0万元，全年安排因公出国（境）团组0个，累计0人次。    </w:t>
      </w:r>
    </w:p>
    <w:p w14:paraId="00AE9B4A">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2、公务接待费支出决算为0万元，全年共接待来访团组0个、来宾0人次。</w:t>
      </w:r>
    </w:p>
    <w:p w14:paraId="645162FB">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3、公务用车购置费及运行维护费支出决算为0万元，其中：公务用车购置费0万元，购置公务用车0辆。公务用车运行维护费0万元，截止2023年12月31日，我单位开支财政拨款的公务用车保有量为0辆。</w:t>
      </w:r>
    </w:p>
    <w:p w14:paraId="385A570B">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八、政府性基金预算收入支出决算情况</w:t>
      </w:r>
    </w:p>
    <w:p w14:paraId="2DFC058B">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2023年度政府性基金预算财政拨款收入0万元；年初结转和结余0万元；支出0万元，其中基本支出0万元，项目支出0万元；年末结转和结余0万元。2023年度我单位无政府性基金预算收入支出。</w:t>
      </w:r>
    </w:p>
    <w:p w14:paraId="624FB987">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九、国有资本经营预算支出决算情况</w:t>
      </w:r>
    </w:p>
    <w:p w14:paraId="05635481">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kern w:val="0"/>
          <w:sz w:val="32"/>
          <w:szCs w:val="32"/>
        </w:rPr>
        <w:t>2023年度本单位没有使用国有资本经营预算安排的支出</w:t>
      </w:r>
      <w:r>
        <w:rPr>
          <w:rFonts w:hint="default" w:ascii="Times New Roman" w:hAnsi="Times New Roman" w:eastAsia="仿宋_GB2312" w:cs="Times New Roman"/>
          <w:color w:val="000000"/>
          <w:kern w:val="0"/>
          <w:sz w:val="32"/>
          <w:szCs w:val="32"/>
        </w:rPr>
        <w:t>。</w:t>
      </w:r>
    </w:p>
    <w:p w14:paraId="0FCEB292">
      <w:pPr>
        <w:pStyle w:val="7"/>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机关运行经费支出说明</w:t>
      </w:r>
    </w:p>
    <w:p w14:paraId="107A9194">
      <w:pPr>
        <w:pStyle w:val="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cs="Times New Roman" w:eastAsiaTheme="minorEastAsia"/>
          <w:sz w:val="32"/>
          <w:szCs w:val="32"/>
          <w:highlight w:val="yellow"/>
        </w:rPr>
      </w:pPr>
      <w:r>
        <w:rPr>
          <w:rFonts w:hint="default" w:ascii="Times New Roman" w:hAnsi="Times New Roman" w:eastAsia="仿宋_GB2312" w:cs="Times New Roman"/>
          <w:color w:val="000000"/>
          <w:sz w:val="32"/>
          <w:szCs w:val="32"/>
          <w:lang w:val="en-US" w:eastAsia="zh-CN" w:bidi="ar-SA"/>
        </w:rPr>
        <w:t>本部门2023年度机关运行经费支出14.62万元，比上年决算数增加2.46万元，增长20.23%。主要原因是：机构职能变更，基本支出增加。</w:t>
      </w:r>
    </w:p>
    <w:p w14:paraId="1DFA6309">
      <w:pPr>
        <w:pStyle w:val="7"/>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left="0" w:leftChars="0"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一般性支出情况说明</w:t>
      </w:r>
    </w:p>
    <w:p w14:paraId="324C568A">
      <w:pPr>
        <w:pStyle w:val="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2023年本部门开支会议费0万元，开支培训费0万元。</w:t>
      </w:r>
    </w:p>
    <w:p w14:paraId="79EEE886">
      <w:pPr>
        <w:pStyle w:val="7"/>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left="0" w:leftChars="0"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政府采购支出说明</w:t>
      </w:r>
    </w:p>
    <w:p w14:paraId="3FD3B134">
      <w:pPr>
        <w:pStyle w:val="16"/>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default" w:ascii="Times New Roman" w:hAnsi="Times New Roman" w:cs="Times New Roman" w:eastAsiaTheme="minorEastAsia"/>
          <w:sz w:val="32"/>
          <w:szCs w:val="32"/>
          <w:highlight w:val="yellow"/>
        </w:rPr>
      </w:pPr>
      <w:r>
        <w:rPr>
          <w:rFonts w:hint="default" w:ascii="Times New Roman" w:hAnsi="Times New Roman" w:eastAsia="仿宋_GB2312" w:cs="Times New Roman"/>
          <w:color w:val="000000"/>
          <w:kern w:val="2"/>
          <w:sz w:val="32"/>
          <w:szCs w:val="32"/>
          <w:lang w:val="en-US" w:eastAsia="zh-CN" w:bidi="ar-SA"/>
        </w:rPr>
        <w:t>本部门2023年度政府采购支出总额71.31万元，其中：政府采购货物支出4.31万元、政府采购工程支出60万元、政府采购服务支出7万元。授予中小企业合同金额71.31万元，占政府采购支出总额的100%，其中：授予小微企业合同金额11.31万元，占授予中小企业合同金额的15.86%。货物采购授予中小企业合同金额占货物支出金额的6.04%，工程采购授予中小企业合同金额占工程支出金额的84.14%，服务采购授予中小企业合同金额占服务支出金额的9.82%。</w:t>
      </w:r>
    </w:p>
    <w:p w14:paraId="3AB75048">
      <w:pPr>
        <w:pStyle w:val="7"/>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left="0" w:leftChars="0"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国有资产占用情况说明</w:t>
      </w:r>
    </w:p>
    <w:p w14:paraId="3169CA0A">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000000"/>
          <w:kern w:val="2"/>
          <w:sz w:val="32"/>
          <w:szCs w:val="32"/>
          <w:lang w:val="en-US" w:eastAsia="zh-CN" w:bidi="ar-SA"/>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0DEFCCC5">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十四、重点项目预算的绩效评价结果等情况说明</w:t>
      </w:r>
    </w:p>
    <w:p w14:paraId="19FB86AB">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（一）绩效管理评价工作开展情况。</w:t>
      </w:r>
    </w:p>
    <w:p w14:paraId="4E047E6B">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根据预算绩效管理要求，我部门组织对2023年度一般公共预算项目支出全面开展绩效自评，其中，一级项目1个，二级项目2个，共涉及资金185.14万元，占一般公共预算项目支出总额的100%。组织对2023年度0个政府性基金预算项目支出开展绩效自评，共涉及资金0万元，占政府性基金预算项目支出总额的0%。组织对2023年度0个国有资本经营预算项目支出开展绩效自评，共涉及资金0万元，占国有资本经营预算项目支出总额的0%。</w:t>
      </w:r>
    </w:p>
    <w:p w14:paraId="58FB2B84">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组织对城乡社区支出, 交通运输支出2个项目开展了部门评价，涉及一般公共预算支出185.14万元，政府性基金预算支出0万元，国有资本经营预算支出0万元。从整体绩效评价来看，我中心不断推动工程建设工作高质量发展，单位整体支出绩效目标实现较好，全面完成绩效目标任务。严格贯彻厉行节约要求，在落实厉行节约、严控“三公”经费、降低一般运行经费、加强项目支出管理等方面取得了较好的成绩。在预算编置、预算执行情况、预算管理方面严格按财政要求，基本上按预算计划资金执行，在职责履行、履职效益和各部门新增财政支出方面也能严格把关，发挥资金的使用效果，一般性支出、会议支出、项目支出、办公经费支出、机构编制和工资管理、厉行节约保障措施等方面也是按区财政要求实施与管理。本年在项目支出管理上，严加控制，做到不挤占、不挪用项目资金，对手续不齐的款项不予办理，在加强项目支出管理等方面存在问题及改进措施是要合理预计项目资金，缩小决算数据与预算数据差异。</w:t>
      </w:r>
    </w:p>
    <w:p w14:paraId="3E61455A">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组织对株洲市石峰区工程建设服务中心1个单位开展整体支出绩效评价，涉及一般公共预算支出185.14万元，政府性基金预算支出0万元。从评价情况来看，各项绩效指标完成情况以及预算执行情况均按计划完成，实现产出和取得效益的情况良好，整体支出185.14万元，其中基本支出117.3万元，项目支出67.84万元。项目支出明细项目为：其他城乡社区管理事务支出0.84万元，交通运输项目支出67万元。</w:t>
      </w:r>
    </w:p>
    <w:p w14:paraId="243A9088">
      <w:pPr>
        <w:pStyle w:val="7"/>
        <w:keepNext w:val="0"/>
        <w:keepLines w:val="0"/>
        <w:pageBreakBefore w:val="0"/>
        <w:widowControl w:val="0"/>
        <w:numPr>
          <w:ilvl w:val="0"/>
          <w:numId w:val="5"/>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部门评价项目绩效评价结果。</w:t>
      </w:r>
    </w:p>
    <w:p w14:paraId="5FF93536">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年初预算项目金额</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万元，年中执行调增</w:t>
      </w:r>
      <w:r>
        <w:rPr>
          <w:rFonts w:hint="default" w:ascii="Times New Roman" w:hAnsi="Times New Roman" w:eastAsia="仿宋_GB2312" w:cs="Times New Roman"/>
          <w:color w:val="auto"/>
          <w:sz w:val="32"/>
          <w:szCs w:val="32"/>
          <w:lang w:val="en-US" w:eastAsia="zh-CN"/>
        </w:rPr>
        <w:t>280.96</w:t>
      </w:r>
      <w:r>
        <w:rPr>
          <w:rFonts w:hint="default" w:ascii="Times New Roman" w:hAnsi="Times New Roman" w:eastAsia="仿宋_GB2312" w:cs="Times New Roman"/>
          <w:color w:val="auto"/>
          <w:sz w:val="32"/>
          <w:szCs w:val="32"/>
        </w:rPr>
        <w:t>万元，实际支出</w:t>
      </w:r>
      <w:r>
        <w:rPr>
          <w:rFonts w:hint="default" w:ascii="Times New Roman" w:hAnsi="Times New Roman" w:eastAsia="仿宋_GB2312" w:cs="Times New Roman"/>
          <w:color w:val="auto"/>
          <w:sz w:val="32"/>
          <w:szCs w:val="32"/>
          <w:lang w:val="en-US" w:eastAsia="zh-CN"/>
        </w:rPr>
        <w:t>67.84</w:t>
      </w:r>
      <w:r>
        <w:rPr>
          <w:rFonts w:hint="default" w:ascii="Times New Roman" w:hAnsi="Times New Roman" w:eastAsia="仿宋_GB2312" w:cs="Times New Roman"/>
          <w:color w:val="auto"/>
          <w:sz w:val="32"/>
          <w:szCs w:val="32"/>
        </w:rPr>
        <w:t>万元，结余结转</w:t>
      </w:r>
      <w:r>
        <w:rPr>
          <w:rFonts w:hint="default" w:ascii="Times New Roman" w:hAnsi="Times New Roman" w:eastAsia="仿宋_GB2312" w:cs="Times New Roman"/>
          <w:color w:val="auto"/>
          <w:sz w:val="32"/>
          <w:szCs w:val="32"/>
          <w:lang w:val="en-US" w:eastAsia="zh-CN"/>
        </w:rPr>
        <w:t>213.12</w:t>
      </w:r>
      <w:r>
        <w:rPr>
          <w:rFonts w:hint="default" w:ascii="Times New Roman" w:hAnsi="Times New Roman" w:eastAsia="仿宋_GB2312" w:cs="Times New Roman"/>
          <w:color w:val="auto"/>
          <w:sz w:val="32"/>
          <w:szCs w:val="32"/>
        </w:rPr>
        <w:t>万元。项目实施及绩效情况</w:t>
      </w:r>
      <w:r>
        <w:rPr>
          <w:rFonts w:hint="default" w:ascii="Times New Roman" w:hAnsi="Times New Roman" w:eastAsia="仿宋_GB2312" w:cs="Times New Roman"/>
          <w:color w:val="auto"/>
          <w:sz w:val="32"/>
          <w:szCs w:val="32"/>
          <w:lang w:val="en-US" w:eastAsia="zh-CN"/>
        </w:rPr>
        <w:t>均为优，具体情况如下</w:t>
      </w:r>
      <w:r>
        <w:rPr>
          <w:rFonts w:hint="default" w:ascii="Times New Roman" w:hAnsi="Times New Roman" w:eastAsia="仿宋_GB2312" w:cs="Times New Roman"/>
          <w:color w:val="auto"/>
          <w:sz w:val="32"/>
          <w:szCs w:val="32"/>
        </w:rPr>
        <w:t>：</w:t>
      </w:r>
    </w:p>
    <w:p w14:paraId="7F56251B">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其他城乡社区管理事务支出</w:t>
      </w:r>
    </w:p>
    <w:p w14:paraId="278E9712">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default" w:ascii="Times New Roman" w:hAnsi="Times New Roman" w:eastAsia="仿宋_GB2312" w:cs="Times New Roman"/>
          <w:color w:val="auto"/>
          <w:sz w:val="32"/>
          <w:szCs w:val="32"/>
          <w:highlight w:val="none"/>
          <w:lang w:val="en-US" w:eastAsia="zh-CN"/>
        </w:rPr>
        <w:t>0.84</w:t>
      </w:r>
      <w:r>
        <w:rPr>
          <w:rFonts w:hint="default" w:ascii="Times New Roman" w:hAnsi="Times New Roman" w:eastAsia="仿宋_GB2312" w:cs="Times New Roman"/>
          <w:color w:val="auto"/>
          <w:sz w:val="32"/>
          <w:szCs w:val="32"/>
          <w:highlight w:val="none"/>
        </w:rPr>
        <w:t>万元，主要用</w:t>
      </w:r>
      <w:r>
        <w:rPr>
          <w:rFonts w:hint="default" w:ascii="Times New Roman" w:hAnsi="Times New Roman" w:eastAsia="仿宋_GB2312" w:cs="Times New Roman"/>
          <w:color w:val="auto"/>
          <w:sz w:val="32"/>
          <w:szCs w:val="32"/>
          <w:highlight w:val="none"/>
          <w:lang w:val="en-US" w:eastAsia="zh-CN"/>
        </w:rPr>
        <w:t>于</w:t>
      </w:r>
      <w:r>
        <w:rPr>
          <w:rFonts w:hint="eastAsia" w:ascii="Times New Roman" w:hAnsi="Times New Roman" w:eastAsia="仿宋_GB2312" w:cs="Times New Roman"/>
          <w:color w:val="auto"/>
          <w:sz w:val="32"/>
          <w:szCs w:val="32"/>
          <w:highlight w:val="none"/>
          <w:lang w:val="en-US" w:eastAsia="zh-CN"/>
        </w:rPr>
        <w:t>项目管理人员餐费</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日常开支</w:t>
      </w:r>
      <w:r>
        <w:rPr>
          <w:rFonts w:hint="default" w:ascii="Times New Roman" w:hAnsi="Times New Roman" w:eastAsia="仿宋_GB2312" w:cs="Times New Roman"/>
          <w:color w:val="auto"/>
          <w:sz w:val="32"/>
          <w:szCs w:val="32"/>
          <w:highlight w:val="none"/>
          <w:lang w:eastAsia="zh-CN"/>
        </w:rPr>
        <w:t>。</w:t>
      </w:r>
    </w:p>
    <w:p w14:paraId="37C5E1BC">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）交通运输项目</w:t>
      </w:r>
    </w:p>
    <w:p w14:paraId="04A8817E">
      <w:pPr>
        <w:pStyle w:val="7"/>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仿宋_GB2312" w:cs="Times New Roman"/>
          <w:color w:val="auto"/>
          <w:sz w:val="32"/>
          <w:szCs w:val="32"/>
        </w:rPr>
        <w:t>项目支出</w:t>
      </w:r>
      <w:r>
        <w:rPr>
          <w:rFonts w:hint="default" w:ascii="Times New Roman" w:hAnsi="Times New Roman" w:eastAsia="仿宋_GB2312" w:cs="Times New Roman"/>
          <w:color w:val="auto"/>
          <w:sz w:val="32"/>
          <w:szCs w:val="32"/>
          <w:lang w:val="en-US" w:eastAsia="zh-CN"/>
        </w:rPr>
        <w:t>67</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auto"/>
          <w:sz w:val="32"/>
          <w:szCs w:val="32"/>
          <w:lang w:eastAsia="zh-CN"/>
        </w:rPr>
        <w:t>霞长路（长白路）生态农业资源产业路改建工程费用。</w:t>
      </w:r>
    </w:p>
    <w:p w14:paraId="430DE723">
      <w:pPr>
        <w:pStyle w:val="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十五、其他重要事项情况说明</w:t>
      </w:r>
    </w:p>
    <w:p w14:paraId="57C0831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本单位没有独立网站，因此只在株洲市石峰区区政府门户网财政预决算和三公经费公开专栏中公开。</w:t>
      </w:r>
    </w:p>
    <w:p w14:paraId="2C46B573">
      <w:pPr>
        <w:pStyle w:val="16"/>
        <w:keepNext w:val="0"/>
        <w:keepLines w:val="0"/>
        <w:pageBreakBefore w:val="0"/>
        <w:widowControl w:val="0"/>
        <w:kinsoku/>
        <w:wordWrap/>
        <w:overflowPunct/>
        <w:topLinePunct w:val="0"/>
        <w:bidi w:val="0"/>
        <w:adjustRightInd w:val="0"/>
        <w:spacing w:line="560" w:lineRule="exact"/>
        <w:jc w:val="both"/>
        <w:textAlignment w:val="auto"/>
        <w:rPr>
          <w:rFonts w:hint="default" w:ascii="Times New Roman" w:hAnsi="Times New Roman" w:cs="Times New Roman"/>
          <w:sz w:val="84"/>
          <w:szCs w:val="84"/>
        </w:rPr>
      </w:pPr>
    </w:p>
    <w:p w14:paraId="33DB7CD4">
      <w:pPr>
        <w:pStyle w:val="16"/>
        <w:keepNext w:val="0"/>
        <w:keepLines w:val="0"/>
        <w:pageBreakBefore w:val="0"/>
        <w:widowControl w:val="0"/>
        <w:kinsoku/>
        <w:wordWrap/>
        <w:overflowPunct/>
        <w:topLinePunct w:val="0"/>
        <w:bidi w:val="0"/>
        <w:adjustRightInd w:val="0"/>
        <w:spacing w:line="560" w:lineRule="exact"/>
        <w:jc w:val="both"/>
        <w:textAlignment w:val="auto"/>
        <w:rPr>
          <w:rFonts w:hint="default" w:ascii="Times New Roman" w:hAnsi="Times New Roman" w:cs="Times New Roman"/>
          <w:sz w:val="84"/>
          <w:szCs w:val="84"/>
        </w:rPr>
      </w:pPr>
    </w:p>
    <w:p w14:paraId="58C01E63">
      <w:pPr>
        <w:pStyle w:val="16"/>
        <w:keepNext w:val="0"/>
        <w:keepLines w:val="0"/>
        <w:pageBreakBefore w:val="0"/>
        <w:widowControl w:val="0"/>
        <w:kinsoku/>
        <w:wordWrap/>
        <w:overflowPunct/>
        <w:topLinePunct w:val="0"/>
        <w:bidi w:val="0"/>
        <w:adjustRightInd w:val="0"/>
        <w:spacing w:line="560" w:lineRule="exact"/>
        <w:jc w:val="both"/>
        <w:textAlignment w:val="auto"/>
        <w:rPr>
          <w:rFonts w:hint="default" w:ascii="Times New Roman" w:hAnsi="Times New Roman" w:cs="Times New Roman"/>
          <w:sz w:val="84"/>
          <w:szCs w:val="84"/>
        </w:rPr>
      </w:pPr>
    </w:p>
    <w:p w14:paraId="01FB17B6">
      <w:pPr>
        <w:pStyle w:val="16"/>
        <w:keepNext w:val="0"/>
        <w:keepLines w:val="0"/>
        <w:pageBreakBefore w:val="0"/>
        <w:widowControl w:val="0"/>
        <w:kinsoku/>
        <w:wordWrap/>
        <w:overflowPunct/>
        <w:topLinePunct w:val="0"/>
        <w:bidi w:val="0"/>
        <w:adjustRightInd w:val="0"/>
        <w:spacing w:line="560" w:lineRule="exact"/>
        <w:jc w:val="both"/>
        <w:textAlignment w:val="auto"/>
        <w:rPr>
          <w:rFonts w:hint="default" w:ascii="Times New Roman" w:hAnsi="Times New Roman" w:cs="Times New Roman"/>
          <w:sz w:val="84"/>
          <w:szCs w:val="84"/>
        </w:rPr>
      </w:pPr>
    </w:p>
    <w:p w14:paraId="1DC6E375">
      <w:pPr>
        <w:pStyle w:val="16"/>
        <w:jc w:val="both"/>
        <w:rPr>
          <w:rFonts w:hint="default" w:ascii="Times New Roman" w:hAnsi="Times New Roman" w:cs="Times New Roman"/>
          <w:sz w:val="84"/>
          <w:szCs w:val="84"/>
        </w:rPr>
      </w:pPr>
    </w:p>
    <w:p w14:paraId="56C549E6">
      <w:pPr>
        <w:pStyle w:val="16"/>
        <w:jc w:val="both"/>
        <w:rPr>
          <w:rFonts w:hint="default" w:ascii="Times New Roman" w:hAnsi="Times New Roman" w:cs="Times New Roman"/>
          <w:sz w:val="84"/>
          <w:szCs w:val="84"/>
        </w:rPr>
      </w:pPr>
    </w:p>
    <w:p w14:paraId="18B95FC0">
      <w:pPr>
        <w:pStyle w:val="16"/>
        <w:jc w:val="both"/>
        <w:rPr>
          <w:rFonts w:hint="default" w:ascii="Times New Roman" w:hAnsi="Times New Roman" w:cs="Times New Roman"/>
          <w:sz w:val="84"/>
          <w:szCs w:val="84"/>
        </w:rPr>
      </w:pPr>
    </w:p>
    <w:p w14:paraId="07DB9F45">
      <w:pPr>
        <w:pStyle w:val="16"/>
        <w:jc w:val="both"/>
        <w:rPr>
          <w:rFonts w:hint="default" w:ascii="Times New Roman" w:hAnsi="Times New Roman" w:cs="Times New Roman"/>
          <w:sz w:val="84"/>
          <w:szCs w:val="84"/>
        </w:rPr>
      </w:pPr>
    </w:p>
    <w:p w14:paraId="0DC0B377">
      <w:pPr>
        <w:pStyle w:val="16"/>
        <w:jc w:val="both"/>
        <w:rPr>
          <w:rFonts w:hint="default" w:ascii="Times New Roman" w:hAnsi="Times New Roman" w:cs="Times New Roman"/>
          <w:sz w:val="84"/>
          <w:szCs w:val="84"/>
        </w:rPr>
      </w:pPr>
    </w:p>
    <w:p w14:paraId="690360DF">
      <w:pPr>
        <w:pStyle w:val="16"/>
        <w:jc w:val="both"/>
        <w:rPr>
          <w:rFonts w:hint="default" w:ascii="Times New Roman" w:hAnsi="Times New Roman" w:cs="Times New Roman"/>
          <w:sz w:val="84"/>
          <w:szCs w:val="84"/>
        </w:rPr>
      </w:pPr>
    </w:p>
    <w:p w14:paraId="6E6899A0">
      <w:pPr>
        <w:pStyle w:val="16"/>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第四部分</w:t>
      </w:r>
    </w:p>
    <w:p w14:paraId="026A0279">
      <w:pPr>
        <w:pStyle w:val="16"/>
        <w:jc w:val="center"/>
        <w:rPr>
          <w:rFonts w:hint="default" w:ascii="Times New Roman" w:hAnsi="Times New Roman" w:eastAsia="方正小标宋简体" w:cs="Times New Roman"/>
          <w:sz w:val="76"/>
          <w:szCs w:val="76"/>
        </w:rPr>
      </w:pPr>
    </w:p>
    <w:p w14:paraId="1D1604AD">
      <w:pPr>
        <w:pStyle w:val="16"/>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名词解释</w:t>
      </w:r>
    </w:p>
    <w:p w14:paraId="1D087FA1">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方正小标宋简体" w:cs="Times New Roman"/>
          <w:sz w:val="32"/>
          <w:szCs w:val="32"/>
        </w:rPr>
        <w:br w:type="page"/>
      </w:r>
      <w:r>
        <w:rPr>
          <w:rFonts w:hint="default" w:ascii="Times New Roman" w:hAnsi="Times New Roman" w:eastAsia="黑体" w:cs="Times New Roman"/>
          <w:color w:val="000000"/>
          <w:kern w:val="0"/>
          <w:sz w:val="32"/>
          <w:szCs w:val="32"/>
        </w:rPr>
        <w:t>一、财政拨款收入：</w:t>
      </w:r>
      <w:r>
        <w:rPr>
          <w:rFonts w:hint="default" w:ascii="Times New Roman" w:hAnsi="Times New Roman" w:eastAsia="仿宋_GB2312" w:cs="Times New Roman"/>
          <w:color w:val="000000"/>
          <w:kern w:val="0"/>
          <w:sz w:val="32"/>
          <w:szCs w:val="32"/>
        </w:rPr>
        <w:t>指单位从同级财政部门取得的财政预算资金。</w:t>
      </w:r>
    </w:p>
    <w:p w14:paraId="70B1229C">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二、事业收入：</w:t>
      </w:r>
      <w:r>
        <w:rPr>
          <w:rFonts w:hint="default" w:ascii="Times New Roman" w:hAnsi="Times New Roman" w:eastAsia="仿宋_GB2312" w:cs="Times New Roman"/>
          <w:color w:val="000000"/>
          <w:kern w:val="0"/>
          <w:sz w:val="32"/>
          <w:szCs w:val="32"/>
        </w:rPr>
        <w:t>指事业单位开展专业业务活动及辅助活动取得的收入。</w:t>
      </w:r>
    </w:p>
    <w:p w14:paraId="1698FD41">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三、经营收入：</w:t>
      </w:r>
      <w:r>
        <w:rPr>
          <w:rFonts w:hint="default" w:ascii="Times New Roman" w:hAnsi="Times New Roman" w:eastAsia="仿宋_GB2312" w:cs="Times New Roman"/>
          <w:color w:val="000000"/>
          <w:kern w:val="0"/>
          <w:sz w:val="32"/>
          <w:szCs w:val="32"/>
        </w:rPr>
        <w:t>指事业单位在专业业务活动及其辅助活动之外开展非独立核算经营活动取得的收入。</w:t>
      </w:r>
    </w:p>
    <w:p w14:paraId="7728EC54">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四、其他收入：</w:t>
      </w:r>
      <w:r>
        <w:rPr>
          <w:rFonts w:hint="default" w:ascii="Times New Roman" w:hAnsi="Times New Roman" w:eastAsia="仿宋_GB2312" w:cs="Times New Roman"/>
          <w:color w:val="000000"/>
          <w:kern w:val="0"/>
          <w:sz w:val="32"/>
          <w:szCs w:val="32"/>
        </w:rPr>
        <w:t>指单位取得的除上述收入以外的各项收入。</w:t>
      </w:r>
    </w:p>
    <w:p w14:paraId="24D7BDB2">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五、用事业基金弥补收支差额：</w:t>
      </w:r>
      <w:r>
        <w:rPr>
          <w:rFonts w:hint="default"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47111EA0">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六、年初结转和结余：</w:t>
      </w:r>
      <w:r>
        <w:rPr>
          <w:rFonts w:hint="default" w:ascii="Times New Roman" w:hAnsi="Times New Roman" w:eastAsia="仿宋_GB2312" w:cs="Times New Roman"/>
          <w:color w:val="000000"/>
          <w:kern w:val="0"/>
          <w:sz w:val="32"/>
          <w:szCs w:val="32"/>
        </w:rPr>
        <w:t>指单位以前年度尚未完成、结转到本年按有关规定继续使用的资金。</w:t>
      </w:r>
    </w:p>
    <w:p w14:paraId="224D8BBD">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七、“三公经费”支出：</w:t>
      </w:r>
      <w:r>
        <w:rPr>
          <w:rFonts w:hint="default" w:ascii="Times New Roman" w:hAnsi="Times New Roman" w:eastAsia="仿宋_GB2312" w:cs="Times New Roman"/>
          <w:color w:val="000000"/>
          <w:kern w:val="0"/>
          <w:sz w:val="32"/>
          <w:szCs w:val="32"/>
        </w:rPr>
        <w:t>指通过财政拨款资金安排的因公出国（境）费、公务用车购置及运行费和公务接待费支出。</w:t>
      </w:r>
    </w:p>
    <w:p w14:paraId="0E989BAD">
      <w:pPr>
        <w:autoSpaceDE w:val="0"/>
        <w:autoSpaceDN w:val="0"/>
        <w:adjustRightIn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八、机关运行经费：</w:t>
      </w:r>
      <w:r>
        <w:rPr>
          <w:rFonts w:hint="default"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6E57BD5E">
      <w:pPr>
        <w:pStyle w:val="16"/>
        <w:jc w:val="both"/>
        <w:rPr>
          <w:rFonts w:hint="default" w:ascii="Times New Roman" w:hAnsi="Times New Roman" w:cs="Times New Roman"/>
          <w:sz w:val="72"/>
          <w:szCs w:val="72"/>
        </w:rPr>
      </w:pPr>
    </w:p>
    <w:p w14:paraId="51F8D3DE">
      <w:pPr>
        <w:pStyle w:val="16"/>
        <w:jc w:val="both"/>
        <w:rPr>
          <w:rFonts w:hint="default" w:ascii="Times New Roman" w:hAnsi="Times New Roman" w:cs="Times New Roman"/>
          <w:sz w:val="84"/>
          <w:szCs w:val="84"/>
        </w:rPr>
      </w:pPr>
    </w:p>
    <w:p w14:paraId="62BA1038">
      <w:pPr>
        <w:pStyle w:val="16"/>
        <w:jc w:val="both"/>
        <w:rPr>
          <w:rFonts w:hint="default" w:ascii="Times New Roman" w:hAnsi="Times New Roman" w:cs="Times New Roman"/>
          <w:sz w:val="84"/>
          <w:szCs w:val="84"/>
        </w:rPr>
      </w:pPr>
    </w:p>
    <w:p w14:paraId="3381092B">
      <w:pPr>
        <w:pStyle w:val="16"/>
        <w:jc w:val="center"/>
        <w:rPr>
          <w:rFonts w:hint="default" w:ascii="Times New Roman" w:hAnsi="Times New Roman" w:eastAsia="方正小标宋简体" w:cs="Times New Roman"/>
          <w:sz w:val="56"/>
          <w:szCs w:val="56"/>
        </w:rPr>
      </w:pPr>
      <w:r>
        <w:rPr>
          <w:rFonts w:hint="default" w:ascii="Times New Roman" w:hAnsi="Times New Roman" w:eastAsia="方正小标宋简体" w:cs="Times New Roman"/>
          <w:sz w:val="56"/>
          <w:szCs w:val="56"/>
        </w:rPr>
        <w:t>第五部分</w:t>
      </w:r>
    </w:p>
    <w:p w14:paraId="4113B0B8">
      <w:pPr>
        <w:pStyle w:val="16"/>
        <w:jc w:val="center"/>
        <w:rPr>
          <w:rFonts w:hint="default" w:ascii="Times New Roman" w:hAnsi="Times New Roman" w:eastAsia="方正小标宋简体" w:cs="Times New Roman"/>
          <w:sz w:val="56"/>
          <w:szCs w:val="56"/>
        </w:rPr>
      </w:pPr>
    </w:p>
    <w:p w14:paraId="232AAA19">
      <w:pPr>
        <w:pStyle w:val="16"/>
        <w:jc w:val="center"/>
        <w:rPr>
          <w:rFonts w:hint="default" w:ascii="Times New Roman" w:hAnsi="Times New Roman" w:eastAsia="方正小标宋简体" w:cs="Times New Roman"/>
          <w:sz w:val="56"/>
          <w:szCs w:val="56"/>
        </w:rPr>
      </w:pPr>
      <w:r>
        <w:rPr>
          <w:rFonts w:hint="default" w:ascii="Times New Roman" w:hAnsi="Times New Roman" w:eastAsia="方正小标宋简体" w:cs="Times New Roman"/>
          <w:sz w:val="56"/>
          <w:szCs w:val="56"/>
        </w:rPr>
        <w:t>附  件</w:t>
      </w:r>
    </w:p>
    <w:p w14:paraId="70C5E9BD">
      <w:pPr>
        <w:pStyle w:val="16"/>
        <w:spacing w:line="596" w:lineRule="exact"/>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br w:type="page"/>
      </w:r>
    </w:p>
    <w:p w14:paraId="4845F23B">
      <w:pPr>
        <w:pStyle w:val="16"/>
        <w:spacing w:line="596"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2023年度部门整体支出</w:t>
      </w:r>
      <w:bookmarkStart w:id="0" w:name="_GoBack"/>
      <w:bookmarkEnd w:id="0"/>
      <w:r>
        <w:rPr>
          <w:rFonts w:hint="default" w:ascii="Times New Roman" w:hAnsi="Times New Roman" w:eastAsia="方正小标宋简体" w:cs="Times New Roman"/>
          <w:sz w:val="44"/>
          <w:szCs w:val="44"/>
        </w:rPr>
        <w:t>绩效</w:t>
      </w:r>
      <w:r>
        <w:rPr>
          <w:rFonts w:hint="default" w:ascii="Times New Roman" w:hAnsi="Times New Roman" w:eastAsia="方正小标宋简体" w:cs="Times New Roman"/>
          <w:sz w:val="44"/>
          <w:szCs w:val="44"/>
          <w:lang w:eastAsia="zh-CN"/>
        </w:rPr>
        <w:t>自评报告</w:t>
      </w:r>
    </w:p>
    <w:p w14:paraId="57667946">
      <w:pPr>
        <w:pStyle w:val="16"/>
        <w:spacing w:line="596" w:lineRule="exact"/>
        <w:jc w:val="center"/>
        <w:rPr>
          <w:rFonts w:hint="default" w:ascii="Times New Roman" w:hAnsi="Times New Roman" w:eastAsia="方正小标宋简体" w:cs="Times New Roman"/>
          <w:sz w:val="32"/>
          <w:szCs w:val="32"/>
          <w:lang w:eastAsia="zh-CN"/>
        </w:rPr>
      </w:pPr>
    </w:p>
    <w:p w14:paraId="7ED9D645">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（详见附件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9084">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2E3814">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F2E3814">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0AAA"/>
    <w:multiLevelType w:val="singleLevel"/>
    <w:tmpl w:val="95DC0AAA"/>
    <w:lvl w:ilvl="0" w:tentative="0">
      <w:start w:val="1"/>
      <w:numFmt w:val="chineseCounting"/>
      <w:suff w:val="nothing"/>
      <w:lvlText w:val="%1、"/>
      <w:lvlJc w:val="left"/>
      <w:rPr>
        <w:rFonts w:hint="eastAsia"/>
      </w:rPr>
    </w:lvl>
  </w:abstractNum>
  <w:abstractNum w:abstractNumId="1">
    <w:nsid w:val="9CE22E12"/>
    <w:multiLevelType w:val="singleLevel"/>
    <w:tmpl w:val="9CE22E12"/>
    <w:lvl w:ilvl="0" w:tentative="0">
      <w:start w:val="10"/>
      <w:numFmt w:val="chineseCounting"/>
      <w:suff w:val="nothing"/>
      <w:lvlText w:val="%1、"/>
      <w:lvlJc w:val="left"/>
      <w:rPr>
        <w:rFonts w:hint="eastAsia"/>
      </w:rPr>
    </w:lvl>
  </w:abstractNum>
  <w:abstractNum w:abstractNumId="2">
    <w:nsid w:val="CA460168"/>
    <w:multiLevelType w:val="singleLevel"/>
    <w:tmpl w:val="CA460168"/>
    <w:lvl w:ilvl="0" w:tentative="0">
      <w:start w:val="2"/>
      <w:numFmt w:val="chineseCounting"/>
      <w:suff w:val="nothing"/>
      <w:lvlText w:val="（%1）"/>
      <w:lvlJc w:val="left"/>
      <w:rPr>
        <w:rFonts w:hint="eastAsia"/>
      </w:rPr>
    </w:lvl>
  </w:abstractNum>
  <w:abstractNum w:abstractNumId="3">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90EA563"/>
    <w:multiLevelType w:val="multilevel"/>
    <w:tmpl w:val="390EA56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4DC01EC"/>
    <w:rsid w:val="05940AC6"/>
    <w:rsid w:val="06665675"/>
    <w:rsid w:val="06915006"/>
    <w:rsid w:val="0751274D"/>
    <w:rsid w:val="07634BF4"/>
    <w:rsid w:val="07A77932"/>
    <w:rsid w:val="08F14AE1"/>
    <w:rsid w:val="09866978"/>
    <w:rsid w:val="0B567F72"/>
    <w:rsid w:val="0C7C6B53"/>
    <w:rsid w:val="0D3F15F5"/>
    <w:rsid w:val="0EF6245F"/>
    <w:rsid w:val="11E43B98"/>
    <w:rsid w:val="13692089"/>
    <w:rsid w:val="18985D2F"/>
    <w:rsid w:val="189A2440"/>
    <w:rsid w:val="18FA38C9"/>
    <w:rsid w:val="192B12EA"/>
    <w:rsid w:val="1B323160"/>
    <w:rsid w:val="1B714E5F"/>
    <w:rsid w:val="1C3861F8"/>
    <w:rsid w:val="1D3F35B6"/>
    <w:rsid w:val="1E532BCB"/>
    <w:rsid w:val="1EBE63A2"/>
    <w:rsid w:val="1F041D62"/>
    <w:rsid w:val="1F6317DE"/>
    <w:rsid w:val="1F745786"/>
    <w:rsid w:val="21B1218A"/>
    <w:rsid w:val="238B2E7B"/>
    <w:rsid w:val="2AD95BF4"/>
    <w:rsid w:val="2BB050BC"/>
    <w:rsid w:val="2F101369"/>
    <w:rsid w:val="31AA504A"/>
    <w:rsid w:val="31DE6AA2"/>
    <w:rsid w:val="321612FC"/>
    <w:rsid w:val="32B56379"/>
    <w:rsid w:val="38090922"/>
    <w:rsid w:val="3862042D"/>
    <w:rsid w:val="38D75D21"/>
    <w:rsid w:val="395219B1"/>
    <w:rsid w:val="46BE0A2A"/>
    <w:rsid w:val="470152B5"/>
    <w:rsid w:val="472236C4"/>
    <w:rsid w:val="47867568"/>
    <w:rsid w:val="47C05439"/>
    <w:rsid w:val="4B1C68ED"/>
    <w:rsid w:val="4B8003CD"/>
    <w:rsid w:val="4D527C8A"/>
    <w:rsid w:val="4F822D0B"/>
    <w:rsid w:val="4F976C0B"/>
    <w:rsid w:val="523F5138"/>
    <w:rsid w:val="538D47D7"/>
    <w:rsid w:val="538E105C"/>
    <w:rsid w:val="53BF69FD"/>
    <w:rsid w:val="591A5257"/>
    <w:rsid w:val="5A551748"/>
    <w:rsid w:val="5D2E7409"/>
    <w:rsid w:val="5D9562FF"/>
    <w:rsid w:val="60841B7E"/>
    <w:rsid w:val="635D15B9"/>
    <w:rsid w:val="64714AD2"/>
    <w:rsid w:val="64857E64"/>
    <w:rsid w:val="65965345"/>
    <w:rsid w:val="65F04BE5"/>
    <w:rsid w:val="6A484E25"/>
    <w:rsid w:val="6CBA368C"/>
    <w:rsid w:val="6D9B34BE"/>
    <w:rsid w:val="6E0F6D2F"/>
    <w:rsid w:val="6EAE4254"/>
    <w:rsid w:val="700A492A"/>
    <w:rsid w:val="74205B29"/>
    <w:rsid w:val="75F714AD"/>
    <w:rsid w:val="78081C98"/>
    <w:rsid w:val="793B3DA7"/>
    <w:rsid w:val="79FC52E4"/>
    <w:rsid w:val="7DC2177C"/>
    <w:rsid w:val="7EAA7C1A"/>
    <w:rsid w:val="7FBF12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100" w:beforeAutospacing="1" w:after="120"/>
    </w:pPr>
    <w:rPr>
      <w:rFonts w:ascii="Times New Roman" w:hAnsi="Times New Roman" w:cs="Times New Roman"/>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3"/>
    <w:semiHidden/>
    <w:qFormat/>
    <w:locked/>
    <w:uiPriority w:val="99"/>
    <w:rPr>
      <w:rFonts w:ascii="Calibri" w:hAnsi="Calibri" w:cs="Calibri"/>
      <w:sz w:val="21"/>
      <w:szCs w:val="21"/>
    </w:rPr>
  </w:style>
  <w:style w:type="character" w:customStyle="1" w:styleId="12">
    <w:name w:val="正文文本 Char"/>
    <w:basedOn w:val="9"/>
    <w:link w:val="2"/>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4452</Words>
  <Characters>4824</Characters>
  <Lines>56</Lines>
  <Paragraphs>15</Paragraphs>
  <TotalTime>16</TotalTime>
  <ScaleCrop>false</ScaleCrop>
  <LinksUpToDate>false</LinksUpToDate>
  <CharactersWithSpaces>4843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2024-10-31T08:48:00Z</cp:lastPrinted>
  <dcterms:modified xsi:type="dcterms:W3CDTF">2024-10-21T02:58:28Z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76E5E704289A4007AC4DE675E02E7AF5_13</vt:lpwstr>
  </property>
</Properties>
</file>