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both"/>
        <w:rPr>
          <w:rFonts w:ascii="Times New Roman" w:hAnsi="Times New Roman" w:cs="Times New Roman"/>
          <w:sz w:val="56"/>
          <w:szCs w:val="56"/>
        </w:rPr>
      </w:pPr>
    </w:p>
    <w:p>
      <w:pPr>
        <w:pStyle w:val="21"/>
        <w:jc w:val="both"/>
        <w:rPr>
          <w:rFonts w:ascii="Times New Roman" w:hAnsi="Times New Roman" w:cs="Times New Roman"/>
          <w:sz w:val="56"/>
          <w:szCs w:val="56"/>
        </w:rPr>
      </w:pPr>
    </w:p>
    <w:p>
      <w:pPr>
        <w:pStyle w:val="21"/>
        <w:jc w:val="both"/>
        <w:rPr>
          <w:rFonts w:ascii="Times New Roman" w:hAnsi="Times New Roman" w:cs="Times New Roman"/>
          <w:sz w:val="84"/>
          <w:szCs w:val="84"/>
        </w:rPr>
      </w:pPr>
    </w:p>
    <w:p>
      <w:pPr>
        <w:pStyle w:val="21"/>
        <w:jc w:val="center"/>
        <w:rPr>
          <w:rFonts w:ascii="Times New Roman" w:hAnsi="Times New Roman" w:eastAsia="方正小标宋简体" w:cs="Times New Roman"/>
          <w:sz w:val="76"/>
          <w:szCs w:val="76"/>
        </w:rPr>
      </w:pPr>
    </w:p>
    <w:p>
      <w:pPr>
        <w:pStyle w:val="21"/>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w:t>
      </w:r>
      <w:bookmarkStart w:id="0" w:name="_GoBack"/>
      <w:bookmarkEnd w:id="0"/>
      <w:r>
        <w:rPr>
          <w:rFonts w:ascii="Times New Roman" w:hAnsi="Times New Roman" w:eastAsia="方正小标宋简体" w:cs="Times New Roman"/>
          <w:sz w:val="72"/>
          <w:szCs w:val="72"/>
        </w:rPr>
        <w:t>年度</w:t>
      </w:r>
    </w:p>
    <w:p>
      <w:pPr>
        <w:pStyle w:val="21"/>
        <w:jc w:val="center"/>
        <w:rPr>
          <w:rFonts w:hint="eastAsia" w:ascii="Times New Roman" w:hAnsi="Times New Roman" w:eastAsia="方正小标宋简体" w:cs="方正小标宋简体"/>
          <w:sz w:val="72"/>
          <w:szCs w:val="72"/>
          <w:lang w:eastAsia="zh-CN"/>
        </w:rPr>
      </w:pPr>
      <w:r>
        <w:rPr>
          <w:rFonts w:hint="eastAsia" w:ascii="Times New Roman" w:hAnsi="Times New Roman" w:eastAsia="方正小标宋简体" w:cs="方正小标宋简体"/>
          <w:sz w:val="72"/>
          <w:szCs w:val="72"/>
          <w:lang w:eastAsia="zh-CN"/>
        </w:rPr>
        <w:t>株洲市石峰区财政局</w:t>
      </w:r>
    </w:p>
    <w:p>
      <w:pPr>
        <w:pStyle w:val="21"/>
        <w:jc w:val="center"/>
        <w:rPr>
          <w:rFonts w:ascii="Times New Roman" w:hAnsi="Times New Roman" w:cs="Times New Roman"/>
        </w:rPr>
      </w:pPr>
    </w:p>
    <w:p>
      <w:pPr>
        <w:pStyle w:val="21"/>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21"/>
        <w:jc w:val="both"/>
        <w:rPr>
          <w:rFonts w:ascii="Times New Roman" w:hAnsi="Times New Roman" w:cs="Times New Roman"/>
          <w:sz w:val="32"/>
          <w:szCs w:val="32"/>
        </w:rPr>
      </w:pPr>
    </w:p>
    <w:p>
      <w:pPr>
        <w:pStyle w:val="21"/>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21"/>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株洲市石峰区财政局</w:t>
      </w:r>
      <w:r>
        <w:rPr>
          <w:rFonts w:ascii="Times New Roman" w:hAnsi="Times New Roman" w:cs="Times New Roman"/>
          <w:sz w:val="32"/>
          <w:szCs w:val="32"/>
        </w:rPr>
        <w:t>概况</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21"/>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21"/>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21"/>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21"/>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21"/>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center"/>
        <w:rPr>
          <w:rFonts w:ascii="Times New Roman" w:hAnsi="Times New Roman" w:eastAsia="方正小标宋简体" w:cs="Times New Roman"/>
          <w:w w:val="90"/>
          <w:sz w:val="76"/>
          <w:szCs w:val="76"/>
        </w:rPr>
      </w:pPr>
    </w:p>
    <w:p>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21"/>
        <w:jc w:val="center"/>
        <w:rPr>
          <w:rFonts w:ascii="Times New Roman" w:hAnsi="Times New Roman" w:eastAsia="方正小标宋简体" w:cs="Times New Roman"/>
          <w:sz w:val="76"/>
          <w:szCs w:val="76"/>
        </w:rPr>
      </w:pPr>
    </w:p>
    <w:p>
      <w:pPr>
        <w:pStyle w:val="21"/>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株洲市石峰区财政局</w:t>
      </w:r>
    </w:p>
    <w:p>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22"/>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株洲市石峰区财政局是区人民政府综合管理全区财政收支、主管财税政策、实施财政监督，参与国民经济进行宏观调控的组成部门，主要职能职责是：</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一）贯彻执行国家、省、市有关财政工作的法律、法规和方针、政策；拟订和执行全区财政政策、改革方案，指导全区财政工作；分析、预测宏观经济形势，参与拟定各项宏观经济政策；提出运用财税政策实施宏观调控和综合平衡社会财力的建议；拟定和执行区政府以及政府与企业间的分配政策，完善鼓励公益事业发展的财税政策。</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（二）拟定和执行财政、财务、会计管理的制度和办法；检查反映财政收支管理中的重大问题，提出加强财政管理的政策和建议。</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三）承担区级各项财政收支管理的责任；负责编制区及年度财政预算草案并组织执行；汇总全区财政总决算与部门决算；负责向区人民代表大会报告全区和区级预算及其执行情况，向区人大常委会报告财政决算情况；负责审核批复部门（单位）的年度预、决算；深化预算改革，推进财政支出绩效评价工作。</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（四）组织拟订国库管理、国库集中支付制度，指导和监督区级国库业务，开展国库现金管理工作；拟定政府采购制度并实施监督管理。</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（五）负责政府非税收入、政府性资金、行政事业性收费、财政票据等管理工作。</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（六）指导区级的农村综合配套改革和乡镇财政管理工作；负责财政涉农补贴资金的发放和监督工作。</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（七）负责政府融资与债务管理，防范财政风险；负责管理外国政府和国际金融组织贷款。</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八）负责办理和监督区财政的经济发展的支出、区级政府性投资项目的财政拨款；参与拟定城市基础设施建设投资的有关政策；组织实施基本建设财务制度；负责政府投资项目评审管理；负责区级的财政统发工资工作；负责有关政策性补贴和专项储备资金管理工作；负责财源建设资金的管理和财政有偿资金的回收管理工作；负责农业综合开发管理工作。</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（九）会同有关部门监督管理区财政社会保障、就业和医疗卫生支出；组织实施社会保障资金（基金）的财务管理制度，编报社区社会保障预、决算草案。</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（十）承办区人民政府交办的其他事项。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（一）内设机构设置。</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石峰区财政局内设机构包括：我单位属于全额拨款行政单位，石峰区一级预算单位，现有预算单位1个。本部门共有行政编制13名；事业编23名；机关工勤人员编制2名。实有人数40人，其中：在职人员31人，离休0人，退休9人。我单位内设处室10个，所属事业单位3个，分别是乡镇财政服务中心、国库集中支付核算中心、财政事务中心。纳入本年部门决算编制范围。</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 内设处室分别是办公室、预算股、国库股、行财股、社保股、经济产业股、国资采购股。</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从决算单位构成看，石峰区财政局2023年度部门决算汇总公开单位构成包括：石峰区财政局本级，我单位没有其他二级决算单位。</w:t>
      </w: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21"/>
        <w:jc w:val="center"/>
        <w:rPr>
          <w:rFonts w:ascii="Times New Roman" w:hAnsi="Times New Roman" w:eastAsia="方正小标宋简体" w:cs="Times New Roman"/>
          <w:sz w:val="76"/>
          <w:szCs w:val="76"/>
        </w:rPr>
      </w:pPr>
    </w:p>
    <w:p>
      <w:pPr>
        <w:pStyle w:val="21"/>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21"/>
        <w:jc w:val="center"/>
        <w:rPr>
          <w:rFonts w:ascii="Times New Roman" w:hAnsi="Times New Roman" w:eastAsia="方正小标宋简体" w:cs="Times New Roman"/>
          <w:sz w:val="76"/>
          <w:szCs w:val="76"/>
        </w:rPr>
      </w:pPr>
    </w:p>
    <w:p>
      <w:pPr>
        <w:pStyle w:val="21"/>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21"/>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pPr>
        <w:pStyle w:val="2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731.49</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17.75</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2.49</w:t>
      </w:r>
      <w:r>
        <w:rPr>
          <w:rFonts w:hint="eastAsia" w:ascii="仿宋" w:hAnsi="仿宋" w:eastAsia="仿宋" w:cs="仿宋"/>
          <w:sz w:val="32"/>
          <w:szCs w:val="32"/>
        </w:rPr>
        <w:t>%，主要是因为</w:t>
      </w:r>
      <w:r>
        <w:rPr>
          <w:rFonts w:hint="eastAsia" w:ascii="仿宋" w:hAnsi="仿宋" w:eastAsia="仿宋" w:cs="仿宋"/>
          <w:sz w:val="32"/>
          <w:szCs w:val="32"/>
          <w:lang w:eastAsia="zh-CN"/>
        </w:rPr>
        <w:t>人员工资正常进档进组及保险基数提高，</w:t>
      </w:r>
      <w:r>
        <w:rPr>
          <w:rFonts w:hint="eastAsia" w:ascii="仿宋" w:hAnsi="仿宋" w:eastAsia="仿宋" w:cs="仿宋"/>
          <w:sz w:val="32"/>
          <w:szCs w:val="32"/>
          <w:lang w:val="en-US" w:eastAsia="zh-CN"/>
        </w:rPr>
        <w:t>项目经费增加。</w:t>
      </w:r>
    </w:p>
    <w:p>
      <w:pPr>
        <w:pStyle w:val="21"/>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pPr>
        <w:pStyle w:val="21"/>
        <w:spacing w:line="57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年度收入合计</w:t>
      </w:r>
      <w:r>
        <w:rPr>
          <w:rFonts w:hint="eastAsia" w:ascii="仿宋" w:hAnsi="仿宋" w:eastAsia="仿宋" w:cs="仿宋"/>
          <w:sz w:val="32"/>
          <w:szCs w:val="32"/>
          <w:lang w:val="en-US" w:eastAsia="zh-CN"/>
        </w:rPr>
        <w:t>731.49</w:t>
      </w:r>
      <w:r>
        <w:rPr>
          <w:rFonts w:hint="eastAsia" w:ascii="仿宋" w:hAnsi="仿宋" w:eastAsia="仿宋" w:cs="仿宋"/>
          <w:sz w:val="32"/>
          <w:szCs w:val="32"/>
          <w:lang w:eastAsia="zh-CN"/>
        </w:rPr>
        <w:t>万元，其中：财政拨款收入</w:t>
      </w:r>
      <w:r>
        <w:rPr>
          <w:rFonts w:hint="eastAsia" w:ascii="仿宋" w:hAnsi="仿宋" w:eastAsia="仿宋" w:cs="仿宋"/>
          <w:sz w:val="32"/>
          <w:szCs w:val="32"/>
          <w:lang w:val="en-US" w:eastAsia="zh-CN"/>
        </w:rPr>
        <w:t>728.91</w:t>
      </w:r>
      <w:r>
        <w:rPr>
          <w:rFonts w:hint="eastAsia" w:ascii="仿宋" w:hAnsi="仿宋" w:eastAsia="仿宋" w:cs="仿宋"/>
          <w:sz w:val="32"/>
          <w:szCs w:val="32"/>
          <w:lang w:eastAsia="zh-CN"/>
        </w:rPr>
        <w:t>万元，占</w:t>
      </w:r>
      <w:r>
        <w:rPr>
          <w:rFonts w:hint="eastAsia" w:ascii="仿宋" w:hAnsi="仿宋" w:eastAsia="仿宋" w:cs="仿宋"/>
          <w:sz w:val="32"/>
          <w:szCs w:val="32"/>
          <w:lang w:val="en-US" w:eastAsia="zh-CN"/>
        </w:rPr>
        <w:t>99.65</w:t>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2.58万元，占0.35%。</w:t>
      </w:r>
    </w:p>
    <w:p>
      <w:pPr>
        <w:pStyle w:val="21"/>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pPr>
        <w:pStyle w:val="21"/>
        <w:ind w:firstLine="640" w:firstLineChars="200"/>
        <w:rPr>
          <w:rFonts w:asciiTheme="minorEastAsia" w:hAnsiTheme="minorEastAsia" w:eastAsiaTheme="minorEastAsia"/>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年度支出合计</w:t>
      </w:r>
      <w:r>
        <w:rPr>
          <w:rFonts w:hint="eastAsia" w:ascii="仿宋" w:hAnsi="仿宋" w:eastAsia="仿宋" w:cs="仿宋"/>
          <w:sz w:val="32"/>
          <w:szCs w:val="32"/>
          <w:lang w:val="en-US" w:eastAsia="zh-CN"/>
        </w:rPr>
        <w:t>731.49</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val="en-US" w:eastAsia="zh-CN"/>
        </w:rPr>
        <w:t>516.27</w:t>
      </w:r>
      <w:r>
        <w:rPr>
          <w:rFonts w:hint="eastAsia" w:ascii="仿宋" w:hAnsi="仿宋" w:eastAsia="仿宋" w:cs="仿宋"/>
          <w:sz w:val="32"/>
          <w:szCs w:val="32"/>
          <w:lang w:eastAsia="zh-CN"/>
        </w:rPr>
        <w:t>万元，占</w:t>
      </w:r>
      <w:r>
        <w:rPr>
          <w:rFonts w:hint="eastAsia" w:ascii="仿宋" w:hAnsi="仿宋" w:eastAsia="仿宋" w:cs="仿宋"/>
          <w:sz w:val="32"/>
          <w:szCs w:val="32"/>
          <w:lang w:val="en-US" w:eastAsia="zh-CN"/>
        </w:rPr>
        <w:t>70.58</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215.21</w:t>
      </w:r>
      <w:r>
        <w:rPr>
          <w:rFonts w:hint="eastAsia" w:ascii="仿宋" w:hAnsi="仿宋" w:eastAsia="仿宋" w:cs="仿宋"/>
          <w:sz w:val="32"/>
          <w:szCs w:val="32"/>
          <w:lang w:eastAsia="zh-CN"/>
        </w:rPr>
        <w:t>万元，占</w:t>
      </w:r>
      <w:r>
        <w:rPr>
          <w:rFonts w:hint="eastAsia" w:ascii="仿宋" w:hAnsi="仿宋" w:eastAsia="仿宋" w:cs="仿宋"/>
          <w:sz w:val="32"/>
          <w:szCs w:val="32"/>
          <w:lang w:val="en-US" w:eastAsia="zh-CN"/>
        </w:rPr>
        <w:t>29.42</w:t>
      </w:r>
      <w:r>
        <w:rPr>
          <w:rFonts w:hint="eastAsia" w:ascii="仿宋" w:hAnsi="仿宋" w:eastAsia="仿宋" w:cs="仿宋"/>
          <w:sz w:val="32"/>
          <w:szCs w:val="32"/>
          <w:lang w:eastAsia="zh-CN"/>
        </w:rPr>
        <w:t>%。</w:t>
      </w:r>
    </w:p>
    <w:p>
      <w:pPr>
        <w:pStyle w:val="21"/>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pPr>
        <w:pStyle w:val="10"/>
        <w:autoSpaceDE w:val="0"/>
        <w:autoSpaceDN w:val="0"/>
        <w:adjustRightInd w:val="0"/>
        <w:spacing w:line="57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年度财政拨款收、支总计</w:t>
      </w:r>
      <w:r>
        <w:rPr>
          <w:rFonts w:hint="eastAsia" w:ascii="仿宋" w:hAnsi="仿宋" w:eastAsia="仿宋" w:cs="仿宋"/>
          <w:sz w:val="32"/>
          <w:szCs w:val="32"/>
          <w:lang w:val="en-US" w:eastAsia="zh-CN"/>
        </w:rPr>
        <w:t>728.91</w:t>
      </w:r>
      <w:r>
        <w:rPr>
          <w:rFonts w:hint="eastAsia" w:ascii="仿宋" w:hAnsi="仿宋" w:eastAsia="仿宋" w:cs="仿宋"/>
          <w:sz w:val="32"/>
          <w:szCs w:val="32"/>
          <w:lang w:eastAsia="zh-CN"/>
        </w:rPr>
        <w:t>万元，与上年相比，增加</w:t>
      </w:r>
      <w:r>
        <w:rPr>
          <w:rFonts w:hint="eastAsia" w:ascii="仿宋" w:hAnsi="仿宋" w:eastAsia="仿宋" w:cs="仿宋"/>
          <w:sz w:val="32"/>
          <w:szCs w:val="32"/>
          <w:lang w:val="en-US" w:eastAsia="zh-CN"/>
        </w:rPr>
        <w:t>15.17</w:t>
      </w:r>
      <w:r>
        <w:rPr>
          <w:rFonts w:hint="eastAsia" w:ascii="仿宋" w:hAnsi="仿宋" w:eastAsia="仿宋" w:cs="仿宋"/>
          <w:sz w:val="32"/>
          <w:szCs w:val="32"/>
          <w:lang w:eastAsia="zh-CN"/>
        </w:rPr>
        <w:t>万元，增加</w:t>
      </w:r>
      <w:r>
        <w:rPr>
          <w:rFonts w:hint="eastAsia" w:ascii="仿宋" w:hAnsi="仿宋" w:eastAsia="仿宋" w:cs="仿宋"/>
          <w:sz w:val="32"/>
          <w:szCs w:val="32"/>
          <w:lang w:val="en-US" w:eastAsia="zh-CN"/>
        </w:rPr>
        <w:t>2.13</w:t>
      </w:r>
      <w:r>
        <w:rPr>
          <w:rFonts w:hint="eastAsia" w:ascii="仿宋" w:hAnsi="仿宋" w:eastAsia="仿宋" w:cs="仿宋"/>
          <w:sz w:val="32"/>
          <w:szCs w:val="32"/>
          <w:lang w:eastAsia="zh-CN"/>
        </w:rPr>
        <w:t>%，</w:t>
      </w:r>
      <w:r>
        <w:rPr>
          <w:rFonts w:hint="eastAsia" w:ascii="仿宋" w:hAnsi="仿宋" w:eastAsia="仿宋" w:cs="仿宋"/>
          <w:sz w:val="32"/>
          <w:szCs w:val="32"/>
        </w:rPr>
        <w:t>主要是因为</w:t>
      </w:r>
      <w:r>
        <w:rPr>
          <w:rFonts w:hint="eastAsia" w:ascii="仿宋" w:hAnsi="仿宋" w:eastAsia="仿宋" w:cs="仿宋"/>
          <w:sz w:val="32"/>
          <w:szCs w:val="32"/>
          <w:lang w:eastAsia="zh-CN"/>
        </w:rPr>
        <w:t>人员工资正常进档进组及保险基数提高，</w:t>
      </w:r>
      <w:r>
        <w:rPr>
          <w:rFonts w:hint="eastAsia" w:ascii="仿宋" w:hAnsi="仿宋" w:eastAsia="仿宋" w:cs="仿宋"/>
          <w:sz w:val="32"/>
          <w:szCs w:val="32"/>
          <w:lang w:val="en-US" w:eastAsia="zh-CN"/>
        </w:rPr>
        <w:t>项目经费增加。</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10"/>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pPr>
        <w:pStyle w:val="10"/>
        <w:autoSpaceDE w:val="0"/>
        <w:autoSpaceDN w:val="0"/>
        <w:adjustRightInd w:val="0"/>
        <w:spacing w:line="57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2023年度财政拨款支出728.91万元，占本年支出合计的99.65%，与上年相比，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15.17</w:t>
      </w:r>
      <w:r>
        <w:rPr>
          <w:rFonts w:hint="eastAsia" w:ascii="仿宋" w:hAnsi="仿宋" w:eastAsia="仿宋" w:cs="仿宋"/>
          <w:sz w:val="32"/>
          <w:szCs w:val="32"/>
          <w:lang w:eastAsia="zh-CN"/>
        </w:rPr>
        <w:t>万元，增加</w:t>
      </w:r>
      <w:r>
        <w:rPr>
          <w:rFonts w:hint="eastAsia" w:ascii="仿宋" w:hAnsi="仿宋" w:eastAsia="仿宋" w:cs="仿宋"/>
          <w:sz w:val="32"/>
          <w:szCs w:val="32"/>
          <w:lang w:val="en-US" w:eastAsia="zh-CN"/>
        </w:rPr>
        <w:t>2.13</w:t>
      </w:r>
      <w:r>
        <w:rPr>
          <w:rFonts w:hint="eastAsia" w:ascii="仿宋" w:hAnsi="仿宋" w:eastAsia="仿宋" w:cs="仿宋"/>
          <w:sz w:val="32"/>
          <w:szCs w:val="32"/>
          <w:lang w:eastAsia="zh-CN"/>
        </w:rPr>
        <w:t>%，</w:t>
      </w:r>
      <w:r>
        <w:rPr>
          <w:rFonts w:hint="eastAsia" w:ascii="仿宋" w:hAnsi="仿宋" w:eastAsia="仿宋" w:cs="仿宋"/>
          <w:sz w:val="32"/>
          <w:szCs w:val="32"/>
        </w:rPr>
        <w:t>主要是因为</w:t>
      </w:r>
      <w:r>
        <w:rPr>
          <w:rFonts w:hint="eastAsia" w:ascii="仿宋" w:hAnsi="仿宋" w:eastAsia="仿宋" w:cs="仿宋"/>
          <w:sz w:val="32"/>
          <w:szCs w:val="32"/>
          <w:lang w:eastAsia="zh-CN"/>
        </w:rPr>
        <w:t>人员工资正常进档进组及保险基数提高，</w:t>
      </w:r>
      <w:r>
        <w:rPr>
          <w:rFonts w:hint="eastAsia" w:ascii="仿宋" w:hAnsi="仿宋" w:eastAsia="仿宋" w:cs="仿宋"/>
          <w:sz w:val="32"/>
          <w:szCs w:val="32"/>
          <w:lang w:val="en-US" w:eastAsia="zh-CN"/>
        </w:rPr>
        <w:t>项目经费增加。</w:t>
      </w:r>
    </w:p>
    <w:p>
      <w:pPr>
        <w:pStyle w:val="10"/>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pPr>
        <w:pStyle w:val="2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2023年度财政拨款支出728.91万元，主要用于以下方面：一般公共服务（类）支出726.53万元，占99.67%；金融（类）支出2.38万元，占0.33%。</w:t>
      </w:r>
    </w:p>
    <w:p>
      <w:pPr>
        <w:pStyle w:val="10"/>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pPr>
        <w:pStyle w:val="2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2023年度财政拨款支出年初预算数为507.85万元，支出决算数为728.91万元，完成年初预算的143.53%，其中：</w:t>
      </w:r>
    </w:p>
    <w:p>
      <w:pPr>
        <w:pStyle w:val="2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1、一般公共服务支出（类）财政事务（款）行政运行（项）。</w:t>
      </w:r>
    </w:p>
    <w:p>
      <w:pPr>
        <w:pStyle w:val="21"/>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年初预算为498.85万元，支出决算为513.69万元，完成年初预算的102.97%，决算数大于年初预算数的主要原因是：</w:t>
      </w:r>
      <w:r>
        <w:rPr>
          <w:rFonts w:hint="eastAsia" w:ascii="仿宋" w:hAnsi="仿宋" w:eastAsia="仿宋" w:cs="仿宋"/>
          <w:sz w:val="32"/>
          <w:szCs w:val="32"/>
        </w:rPr>
        <w:t>主要是因为</w:t>
      </w:r>
      <w:r>
        <w:rPr>
          <w:rFonts w:hint="eastAsia" w:ascii="仿宋" w:hAnsi="仿宋" w:eastAsia="仿宋" w:cs="仿宋"/>
          <w:sz w:val="32"/>
          <w:szCs w:val="32"/>
          <w:lang w:eastAsia="zh-CN"/>
        </w:rPr>
        <w:t>人员工资正常进档进组及保险基数提高。</w:t>
      </w:r>
    </w:p>
    <w:p>
      <w:pPr>
        <w:pStyle w:val="2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2、一般公共服务支出（类）财政事务（款）一般行政管理事务（项）。</w:t>
      </w:r>
    </w:p>
    <w:p>
      <w:pPr>
        <w:pStyle w:val="21"/>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年初预算为9万元，支出决算为175.49万元，完成年初预算的0%，决算数大于年初预算数的主要原因是：2023年度项目增加。</w:t>
      </w:r>
    </w:p>
    <w:p>
      <w:pPr>
        <w:pStyle w:val="2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3、一般公共服务支出（类）财政事务（款）其他财政事务支出（项）。</w:t>
      </w:r>
    </w:p>
    <w:p>
      <w:pPr>
        <w:pStyle w:val="2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年初预算为0万元，支出决算为27.32万元，完成年初预算的0%，决算数大于年初预算数的主要原因是：2023年度项目增加。</w:t>
      </w:r>
    </w:p>
    <w:p>
      <w:pPr>
        <w:pStyle w:val="2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4、一般公共服务支出（类）财政事务（款）财政委托业务支出（项）。</w:t>
      </w:r>
    </w:p>
    <w:p>
      <w:pPr>
        <w:pStyle w:val="2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年初预算为0万元，支出决算为10.02万元，完成年初预算的0%，决算数大于年初预算数的主要原因是：2023年度项目增加。</w:t>
      </w:r>
    </w:p>
    <w:p>
      <w:pPr>
        <w:pStyle w:val="2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5、金融支出（类）其他金融支出（款）其他金融支出（项）。</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hint="eastAsia" w:ascii="仿宋" w:hAnsi="仿宋" w:eastAsia="仿宋" w:cs="仿宋"/>
          <w:sz w:val="32"/>
          <w:szCs w:val="32"/>
          <w:lang w:val="en-US" w:eastAsia="zh-CN"/>
        </w:rPr>
        <w:t xml:space="preserve">年初预算为0万元，支出决算为2.38万元，完成年初预算的0%，决算数大于年初预算数的主要原因是：2023年度项目增加。   </w:t>
      </w:r>
      <w:r>
        <w:rPr>
          <w:rFonts w:ascii="Times New Roman" w:hAnsi="Times New Roman" w:eastAsia="黑体" w:cs="Times New Roman"/>
          <w:color w:val="000000"/>
          <w:kern w:val="0"/>
          <w:sz w:val="32"/>
          <w:szCs w:val="32"/>
        </w:rPr>
        <w:t>六、一般公共预算财政拨款基本支出决算情况说明</w:t>
      </w:r>
    </w:p>
    <w:p>
      <w:pPr>
        <w:pStyle w:val="10"/>
        <w:autoSpaceDE w:val="0"/>
        <w:autoSpaceDN w:val="0"/>
        <w:adjustRightInd w:val="0"/>
        <w:spacing w:line="570" w:lineRule="exact"/>
        <w:ind w:firstLine="640" w:firstLineChars="200"/>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2023年度财政拨款基本支出513.70万元，其中：人员经费439.81万元，占基本支出的85.62%,主要包括基本工资、津贴补贴、奖金、伙食补助费、机关事业单位基本养老保险缴费、住房公积金其他工资福利支出等；公用经费73.89万元，占基本支出的14.38%，主要包括办公费、印刷费、邮电费、差旅费、工会经费、其他交通费等。</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10"/>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21"/>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2023年度“三公”经费财政拨款支出预算为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万元，决算数等于预算数,其中：</w:t>
      </w:r>
    </w:p>
    <w:p>
      <w:pPr>
        <w:pStyle w:val="21"/>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21"/>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21"/>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公务用车购置费支出预算为0万元，支出决算为0万元，决算数等于预算数。与</w:t>
      </w:r>
    </w:p>
    <w:p>
      <w:pPr>
        <w:pStyle w:val="21"/>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21"/>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21"/>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pPr>
        <w:pStyle w:val="21"/>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21"/>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pPr>
        <w:pStyle w:val="21"/>
        <w:ind w:firstLine="640" w:firstLineChars="200"/>
        <w:rPr>
          <w:rFonts w:hint="eastAsia" w:ascii="Times New Roman" w:hAnsi="Times New Roman" w:eastAsia="黑体" w:cs="黑体"/>
          <w:color w:val="000000"/>
          <w:kern w:val="0"/>
          <w:sz w:val="32"/>
          <w:szCs w:val="32"/>
        </w:rPr>
      </w:pPr>
      <w:r>
        <w:rPr>
          <w:rFonts w:hint="eastAsia" w:ascii="仿宋" w:hAnsi="仿宋" w:eastAsia="仿宋" w:cs="黑体"/>
          <w:color w:val="000000"/>
          <w:kern w:val="0"/>
          <w:sz w:val="32"/>
          <w:szCs w:val="32"/>
          <w:lang w:val="en-US" w:eastAsia="zh-CN" w:bidi="ar-SA"/>
        </w:rPr>
        <w:t>2023年度政府性基金预算财政拨款收入0万元；年初结转和结余0万元；支出0万元，其中基本支出0万元，项目支出0万元；年末结转和结余0万元。</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10"/>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pPr>
        <w:pStyle w:val="21"/>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本部门2023年度机关运行经费支出73.89万元，比上年决算数增加19.69万元，增加36.33%。主要原因是：人员增加。</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pPr>
        <w:pStyle w:val="21"/>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2023年本部门开支会议费0.18万元，用于开展日常工作会议开支；开支培训费0.81万元，用于开展事业单位人员培训，人数19人。</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pPr>
        <w:pStyle w:val="21"/>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本部门2023年度政府采购支出总额0万元，其中：政府采购货物支出0 万元、政府采购工程支出0 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pPr>
        <w:pStyle w:val="10"/>
        <w:autoSpaceDE w:val="0"/>
        <w:autoSpaceDN w:val="0"/>
        <w:adjustRightInd w:val="0"/>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10"/>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pPr>
        <w:autoSpaceDE w:val="0"/>
        <w:autoSpaceDN w:val="0"/>
        <w:adjustRightInd w:val="0"/>
        <w:ind w:firstLine="640" w:firstLineChars="200"/>
        <w:jc w:val="left"/>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根据预算绩效管理要求，我单位组织对2023年度一般公共预算项目支出全面开展绩效自评，其中，一级项目7个，二级项目0 个，共涉及资金</w:t>
      </w:r>
      <w:r>
        <w:rPr>
          <w:rFonts w:hint="eastAsia" w:ascii="仿宋" w:hAnsi="仿宋" w:eastAsia="仿宋" w:cs="仿宋"/>
          <w:sz w:val="32"/>
          <w:szCs w:val="32"/>
          <w:lang w:val="en-US" w:eastAsia="zh-CN"/>
        </w:rPr>
        <w:t>215.21</w:t>
      </w:r>
      <w:r>
        <w:rPr>
          <w:rFonts w:hint="eastAsia" w:ascii="Times New Roman" w:hAnsi="Times New Roman" w:eastAsia="仿宋_GB2312" w:cs="仿宋_GB2312"/>
          <w:color w:val="000000"/>
          <w:kern w:val="0"/>
          <w:sz w:val="32"/>
          <w:szCs w:val="32"/>
          <w:lang w:val="en-US" w:eastAsia="zh-CN" w:bidi="ar-SA"/>
        </w:rPr>
        <w:t>万元，占一般公共预算项目支出总额的100%。组织对“绩效监督”等7个项目开展了部门评价，涉及一般公共预算支出215.21万元，政府性基金预算支出0万元，国有资本经营预算支出0万元。</w:t>
      </w:r>
    </w:p>
    <w:p>
      <w:pPr>
        <w:pStyle w:val="10"/>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pPr>
        <w:pStyle w:val="12"/>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项目“</w:t>
      </w:r>
      <w:r>
        <w:rPr>
          <w:rFonts w:hint="eastAsia" w:ascii="仿宋_GB2312" w:hAnsi="仿宋_GB2312" w:eastAsia="仿宋_GB2312" w:cs="仿宋_GB2312"/>
          <w:b/>
          <w:bCs/>
          <w:color w:val="auto"/>
          <w:kern w:val="2"/>
          <w:sz w:val="32"/>
          <w:szCs w:val="32"/>
          <w:lang w:val="en-US" w:eastAsia="zh-CN" w:bidi="ar-SA"/>
        </w:rPr>
        <w:t>业务性专项</w:t>
      </w:r>
      <w:r>
        <w:rPr>
          <w:rFonts w:hint="eastAsia" w:ascii="仿宋_GB2312" w:hAnsi="仿宋_GB2312" w:eastAsia="仿宋_GB2312" w:cs="仿宋_GB2312"/>
          <w:b/>
          <w:bCs/>
          <w:color w:val="auto"/>
          <w:sz w:val="32"/>
          <w:szCs w:val="32"/>
        </w:rPr>
        <w:t>”年初预算金额</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万元，年中调增</w:t>
      </w:r>
      <w:r>
        <w:rPr>
          <w:rFonts w:hint="eastAsia" w:ascii="仿宋_GB2312" w:hAnsi="仿宋_GB2312" w:eastAsia="仿宋_GB2312" w:cs="仿宋_GB2312"/>
          <w:b/>
          <w:bCs/>
          <w:color w:val="auto"/>
          <w:sz w:val="32"/>
          <w:szCs w:val="32"/>
          <w:lang w:val="en-US" w:eastAsia="zh-CN"/>
        </w:rPr>
        <w:t>17.91</w:t>
      </w:r>
      <w:r>
        <w:rPr>
          <w:rFonts w:hint="eastAsia" w:ascii="仿宋_GB2312" w:hAnsi="仿宋_GB2312" w:eastAsia="仿宋_GB2312" w:cs="仿宋_GB2312"/>
          <w:b/>
          <w:bCs/>
          <w:color w:val="auto"/>
          <w:sz w:val="32"/>
          <w:szCs w:val="32"/>
        </w:rPr>
        <w:t>万元，实际支出</w:t>
      </w:r>
      <w:r>
        <w:rPr>
          <w:rFonts w:hint="eastAsia" w:ascii="仿宋_GB2312" w:hAnsi="仿宋_GB2312" w:eastAsia="仿宋_GB2312" w:cs="仿宋_GB2312"/>
          <w:b/>
          <w:bCs/>
          <w:color w:val="auto"/>
          <w:sz w:val="32"/>
          <w:szCs w:val="32"/>
          <w:lang w:val="en-US" w:eastAsia="zh-CN"/>
        </w:rPr>
        <w:t>25.91</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项目实施及绩效情况如下：</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（1）绩效监督</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32"/>
          <w:szCs w:val="32"/>
          <w:lang w:val="en-US" w:eastAsia="zh-CN" w:bidi="ar-SA"/>
        </w:rPr>
        <w:t>项目支出11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，结余</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color w:val="000000"/>
          <w:spacing w:val="0"/>
          <w:kern w:val="1"/>
          <w:sz w:val="32"/>
          <w:szCs w:val="32"/>
          <w:highlight w:val="none"/>
          <w:lang w:val="en-US" w:eastAsia="zh-CN" w:bidi="ar-SA"/>
        </w:rPr>
        <w:t>建</w:t>
      </w:r>
      <w:r>
        <w:rPr>
          <w:rFonts w:hint="eastAsia" w:ascii="仿宋_GB2312" w:hAnsi="仿宋_GB2312" w:eastAsia="仿宋_GB2312" w:cs="仿宋_GB2312"/>
          <w:sz w:val="32"/>
          <w:szCs w:val="32"/>
          <w:lang w:val="en-US" w:eastAsia="zh-CN"/>
        </w:rPr>
        <w:t>立“纪巡财审”联动监督工作机制，构建多维度、立体化的监管格局，加强区域内协同监管。严肃财经纪律，制定《石峰区突破财经纪律“红线”风险明白卡》，整理归类五十条风险提示点，让财经纪律成为“带电的高压线”。聘请第三方中介机构对田心、响石玲片区老旧小区市政环卫配套基础设施项目、井龙街道部门整体绩效评价、学前教育发展专项资金、义务教育薄弱环节改造专项资金等项目进行年度绩效评价。通过绩效评价，加强了项目资金监督，提升了资金的使用效率。</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（2）财政系统运维</w:t>
      </w:r>
    </w:p>
    <w:p>
      <w:pPr>
        <w:pStyle w:val="11"/>
        <w:keepNext w:val="0"/>
        <w:keepLines w:val="0"/>
        <w:pageBreakBefore w:val="0"/>
        <w:kinsoku/>
        <w:overflowPunct/>
        <w:topLinePunct w:val="0"/>
        <w:autoSpaceDE/>
        <w:autoSpaceDN/>
        <w:bidi w:val="0"/>
        <w:spacing w:line="560" w:lineRule="exact"/>
        <w:ind w:left="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项目支出14.91万元。主要用于</w:t>
      </w:r>
      <w:r>
        <w:rPr>
          <w:rFonts w:hint="eastAsia" w:ascii="仿宋_GB2312" w:hAnsi="仿宋_GB2312" w:eastAsia="仿宋_GB2312" w:cs="仿宋_GB2312"/>
          <w:color w:val="auto"/>
          <w:kern w:val="2"/>
          <w:sz w:val="32"/>
          <w:szCs w:val="32"/>
          <w:lang w:val="en-US" w:eastAsia="zh-CN" w:bidi="ar-SA"/>
        </w:rPr>
        <w:t>保障财政系统运行，促进工作正常开展，系统运行维护及相关工作经费。</w:t>
      </w:r>
    </w:p>
    <w:p>
      <w:pPr>
        <w:pStyle w:val="12"/>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年中追加</w:t>
      </w:r>
      <w:r>
        <w:rPr>
          <w:rFonts w:hint="eastAsia" w:ascii="仿宋_GB2312" w:hAnsi="仿宋_GB2312" w:eastAsia="仿宋_GB2312" w:cs="仿宋_GB2312"/>
          <w:b/>
          <w:bCs/>
          <w:color w:val="auto"/>
          <w:sz w:val="32"/>
          <w:szCs w:val="32"/>
        </w:rPr>
        <w:t>项目金额</w:t>
      </w:r>
      <w:r>
        <w:rPr>
          <w:rFonts w:hint="eastAsia" w:ascii="仿宋_GB2312" w:hAnsi="仿宋_GB2312" w:eastAsia="仿宋_GB2312" w:cs="仿宋_GB2312"/>
          <w:b/>
          <w:bCs/>
          <w:color w:val="auto"/>
          <w:sz w:val="32"/>
          <w:szCs w:val="32"/>
          <w:lang w:val="en-US" w:eastAsia="zh-CN"/>
        </w:rPr>
        <w:t>261.23</w:t>
      </w:r>
      <w:r>
        <w:rPr>
          <w:rFonts w:hint="eastAsia" w:ascii="仿宋_GB2312" w:hAnsi="仿宋_GB2312" w:eastAsia="仿宋_GB2312" w:cs="仿宋_GB2312"/>
          <w:b/>
          <w:bCs/>
          <w:color w:val="auto"/>
          <w:sz w:val="32"/>
          <w:szCs w:val="32"/>
        </w:rPr>
        <w:t>万元，实际支出</w:t>
      </w:r>
      <w:r>
        <w:rPr>
          <w:rFonts w:hint="eastAsia" w:ascii="仿宋_GB2312" w:hAnsi="仿宋_GB2312" w:eastAsia="仿宋_GB2312" w:cs="仿宋_GB2312"/>
          <w:b/>
          <w:bCs/>
          <w:color w:val="auto"/>
          <w:sz w:val="32"/>
          <w:szCs w:val="32"/>
          <w:lang w:val="en-US" w:eastAsia="zh-CN"/>
        </w:rPr>
        <w:t>189.3</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b/>
          <w:bCs/>
          <w:color w:val="auto"/>
          <w:sz w:val="32"/>
          <w:szCs w:val="32"/>
          <w:lang w:eastAsia="zh-CN"/>
        </w:rPr>
        <w:t>，结余</w:t>
      </w:r>
      <w:r>
        <w:rPr>
          <w:rFonts w:hint="eastAsia" w:ascii="仿宋_GB2312" w:hAnsi="仿宋_GB2312" w:eastAsia="仿宋_GB2312" w:cs="仿宋_GB2312"/>
          <w:b/>
          <w:bCs/>
          <w:color w:val="auto"/>
          <w:sz w:val="32"/>
          <w:szCs w:val="32"/>
          <w:lang w:val="en-US" w:eastAsia="zh-CN"/>
        </w:rPr>
        <w:t>71.93万元</w:t>
      </w:r>
      <w:r>
        <w:rPr>
          <w:rFonts w:hint="eastAsia" w:ascii="仿宋_GB2312" w:hAnsi="仿宋_GB2312" w:eastAsia="仿宋_GB2312" w:cs="仿宋_GB2312"/>
          <w:b/>
          <w:bCs/>
          <w:color w:val="auto"/>
          <w:sz w:val="32"/>
          <w:szCs w:val="32"/>
        </w:rPr>
        <w:t>。项目实施及绩效情况如下：</w:t>
      </w:r>
    </w:p>
    <w:p>
      <w:pPr>
        <w:pStyle w:val="12"/>
        <w:keepNext w:val="0"/>
        <w:keepLines w:val="0"/>
        <w:pageBreakBefore w:val="0"/>
        <w:numPr>
          <w:ilvl w:val="0"/>
          <w:numId w:val="0"/>
        </w:numPr>
        <w:kinsoku/>
        <w:overflowPunct/>
        <w:topLinePunct w:val="0"/>
        <w:autoSpaceDE/>
        <w:autoSpaceDN/>
        <w:bidi w:val="0"/>
        <w:spacing w:line="560" w:lineRule="exact"/>
        <w:ind w:left="420" w:left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（1）财政系统干部教育培训经费</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3.43万元，结余0万元。主要用于财政干部培训工作。搭建以股室（中心）为单位组织，全体财政干部参加的学习交流、能力锻炼“财经小讲堂”平台，围绕财政相关政策法规的学习和研讨，全面提升队伍整体素质，推动财政工作高质量发展，全局已开展4次“财经小讲堂活动”。</w:t>
      </w:r>
    </w:p>
    <w:p>
      <w:pPr>
        <w:pStyle w:val="12"/>
        <w:keepNext w:val="0"/>
        <w:keepLines w:val="0"/>
        <w:pageBreakBefore w:val="0"/>
        <w:numPr>
          <w:ilvl w:val="0"/>
          <w:numId w:val="0"/>
        </w:numPr>
        <w:kinsoku/>
        <w:overflowPunct/>
        <w:topLinePunct w:val="0"/>
        <w:autoSpaceDE/>
        <w:autoSpaceDN/>
        <w:bidi w:val="0"/>
        <w:spacing w:line="560" w:lineRule="exact"/>
        <w:ind w:left="420" w:leftChars="0"/>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（2）财政管理经费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项目支出157.28万元，结余57.22万元。“聚焦机制、聚焦重点、聚焦增收”推进财源建设工作；</w:t>
      </w:r>
      <w:r>
        <w:rPr>
          <w:rFonts w:hint="eastAsia" w:ascii="仿宋_GB2312" w:hAnsi="仿宋_GB2312" w:eastAsia="仿宋_GB2312" w:cs="仿宋_GB2312"/>
          <w:b w:val="0"/>
          <w:bCs w:val="0"/>
          <w:kern w:val="2"/>
          <w:sz w:val="32"/>
          <w:szCs w:val="32"/>
          <w:lang w:val="en-US" w:eastAsia="zh-CN" w:bidi="ar-SA"/>
        </w:rPr>
        <w:t>强化国资监管，</w:t>
      </w:r>
      <w:r>
        <w:rPr>
          <w:rFonts w:hint="eastAsia" w:ascii="仿宋_GB2312" w:hAnsi="仿宋_GB2312" w:eastAsia="仿宋_GB2312" w:cs="仿宋_GB2312"/>
          <w:kern w:val="2"/>
          <w:sz w:val="32"/>
          <w:szCs w:val="32"/>
          <w:lang w:val="en-US" w:eastAsia="zh-CN" w:bidi="ar-SA"/>
        </w:rPr>
        <w:t>出台《区属国有企业重大事项监督管理办法（试行）》，对区属国有企业重大事项优化至8大类，调整投资项目、资产购置及处置、人事及薪酬管理等监管事项，理顺国资管理机制，规范国有企业决策行为；</w:t>
      </w:r>
      <w:r>
        <w:rPr>
          <w:rFonts w:hint="eastAsia" w:ascii="仿宋" w:hAnsi="仿宋" w:eastAsia="仿宋" w:cs="仿宋"/>
          <w:sz w:val="32"/>
          <w:szCs w:val="32"/>
          <w:lang w:val="en-US" w:eastAsia="zh-CN"/>
        </w:rPr>
        <w:t>加强</w:t>
      </w:r>
      <w:r>
        <w:rPr>
          <w:rFonts w:hint="default" w:ascii="仿宋" w:hAnsi="仿宋" w:eastAsia="仿宋" w:cs="仿宋"/>
          <w:sz w:val="32"/>
          <w:szCs w:val="32"/>
          <w:lang w:val="en-US" w:eastAsia="zh-CN"/>
        </w:rPr>
        <w:t>财政投资评审管理</w:t>
      </w:r>
      <w:r>
        <w:rPr>
          <w:rFonts w:hint="eastAsia" w:ascii="仿宋" w:hAnsi="仿宋" w:eastAsia="仿宋" w:cs="仿宋"/>
          <w:sz w:val="32"/>
          <w:szCs w:val="32"/>
          <w:lang w:val="en-US" w:eastAsia="zh-CN"/>
        </w:rPr>
        <w:t>，不断提高评审质量，</w:t>
      </w:r>
      <w:r>
        <w:rPr>
          <w:rFonts w:hint="default" w:ascii="仿宋" w:hAnsi="仿宋" w:eastAsia="仿宋" w:cs="仿宋"/>
          <w:sz w:val="32"/>
          <w:szCs w:val="32"/>
          <w:lang w:val="en-US" w:eastAsia="zh-CN"/>
        </w:rPr>
        <w:t>出台</w:t>
      </w:r>
      <w:r>
        <w:rPr>
          <w:rFonts w:hint="eastAsia" w:ascii="仿宋" w:hAnsi="仿宋" w:eastAsia="仿宋" w:cs="仿宋"/>
          <w:sz w:val="32"/>
          <w:szCs w:val="32"/>
          <w:lang w:val="en-US" w:eastAsia="zh-CN"/>
        </w:rPr>
        <w:t>了</w:t>
      </w:r>
      <w:r>
        <w:rPr>
          <w:rFonts w:hint="default" w:ascii="仿宋" w:hAnsi="仿宋" w:eastAsia="仿宋" w:cs="仿宋"/>
          <w:sz w:val="32"/>
          <w:szCs w:val="32"/>
          <w:lang w:val="en-US" w:eastAsia="zh-CN"/>
        </w:rPr>
        <w:t>《石峰区工程建设项目评审工作底稿》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切实加强评审中介机构管理工作，出台</w:t>
      </w:r>
      <w:r>
        <w:rPr>
          <w:rFonts w:hint="eastAsia" w:ascii="仿宋" w:hAnsi="仿宋" w:eastAsia="仿宋" w:cs="仿宋"/>
          <w:sz w:val="32"/>
          <w:szCs w:val="32"/>
          <w:lang w:val="en-US" w:eastAsia="zh-CN"/>
        </w:rPr>
        <w:t>了《株洲市石峰区财政投资评审项目造价咨询中介机构管理办法》；完成预结算评审项目合计53个，其中预算评审项目26个，送审金额13791.73万元，审定金额11716.18万元，核减金额2075.55万元；结算审核项目27个，送审金额3493.87万元，审定金额3171.78万元，核减金额322.09万元。</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kern w:val="2"/>
          <w:sz w:val="32"/>
          <w:szCs w:val="32"/>
          <w:lang w:val="en-US" w:eastAsia="zh-CN" w:bidi="ar-SA"/>
        </w:rPr>
        <w:t>乡镇财政管理经费</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10.8万元，结余6.2万元。主要用于全区8个镇街财政所各项财政收支监管，确保街道财政资金安全。开展省级先进财政所创建，推荐硬件设施达标，内部管理完善的云田镇财政所申报省级先进财政所建设。狠抓业务培训，组织全区160余名社区、村书记、报账员、财务人员就社区（村）财务知识、财政支农政策举办专题培训班，切实提高基层财务人员岗位履职能力；组织惠农补贴系统操作培训，减少系统操作差错率。开展清廉财政所建设，通过会议传达、检查提醒，宣传标牌等多种形式，将廉政教育在基层财政人员中入心入脑，让廉政教育在基层财政所开花结果。</w:t>
      </w:r>
    </w:p>
    <w:p>
      <w:pPr>
        <w:pStyle w:val="12"/>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（4）代理记账</w:t>
      </w:r>
    </w:p>
    <w:p>
      <w:pPr>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，结余</w:t>
      </w:r>
      <w:r>
        <w:rPr>
          <w:rFonts w:hint="eastAsia" w:ascii="仿宋_GB2312" w:hAnsi="仿宋_GB2312" w:eastAsia="仿宋_GB2312" w:cs="仿宋_GB2312"/>
          <w:sz w:val="32"/>
          <w:szCs w:val="32"/>
          <w:lang w:val="en-US" w:eastAsia="zh-CN"/>
        </w:rPr>
        <w:t>0万元。</w:t>
      </w:r>
      <w:r>
        <w:rPr>
          <w:rFonts w:hint="eastAsia" w:ascii="仿宋_GB2312" w:hAnsi="Times New Roman" w:eastAsia="仿宋_GB2312" w:cs="Times New Roman"/>
          <w:sz w:val="32"/>
          <w:szCs w:val="22"/>
        </w:rPr>
        <w:t>与32家预算单位签订代理记账委托合同协议书，根据《会计法》等法律法规和委托单位的要求，全面、真实、合法地开展预算单位各项委托代理记账业务。</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（5）债务管理经费</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2.38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，结余</w:t>
      </w:r>
      <w:r>
        <w:rPr>
          <w:rFonts w:hint="eastAsia" w:ascii="仿宋_GB2312" w:hAnsi="仿宋_GB2312" w:eastAsia="仿宋_GB2312" w:cs="仿宋_GB2312"/>
          <w:sz w:val="32"/>
          <w:szCs w:val="32"/>
          <w:lang w:val="en-US" w:eastAsia="zh-CN"/>
        </w:rPr>
        <w:t>8.51万元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pacing w:val="0"/>
          <w:sz w:val="32"/>
          <w:szCs w:val="32"/>
          <w:highlight w:val="none"/>
          <w:lang w:val="en-US" w:eastAsia="zh-CN"/>
        </w:rPr>
        <w:t>守牢“隐性债务不新增”底线，</w:t>
      </w:r>
      <w:r>
        <w:rPr>
          <w:rFonts w:hint="eastAsia" w:ascii="仿宋_GB2312" w:hAnsi="仿宋_GB2312" w:eastAsia="仿宋_GB2312" w:cs="仿宋_GB2312"/>
          <w:b w:val="0"/>
          <w:bCs w:val="0"/>
          <w:color w:val="000000"/>
          <w:spacing w:val="0"/>
          <w:sz w:val="32"/>
          <w:szCs w:val="32"/>
          <w:highlight w:val="none"/>
          <w:lang w:val="en-US" w:eastAsia="zh-CN"/>
        </w:rPr>
        <w:t>抓好以</w:t>
      </w:r>
      <w:r>
        <w:rPr>
          <w:rFonts w:hint="eastAsia" w:ascii="仿宋_GB2312" w:hAnsi="仿宋_GB2312" w:eastAsia="仿宋_GB2312" w:cs="仿宋_GB2312"/>
          <w:color w:val="000000"/>
          <w:spacing w:val="0"/>
          <w:sz w:val="32"/>
          <w:szCs w:val="32"/>
          <w:highlight w:val="none"/>
          <w:lang w:val="en-US" w:eastAsia="zh-CN"/>
        </w:rPr>
        <w:t>资金来源审核为重点的</w:t>
      </w:r>
      <w:r>
        <w:rPr>
          <w:rFonts w:hint="eastAsia" w:ascii="仿宋_GB2312" w:hAnsi="仿宋_GB2312" w:eastAsia="仿宋_GB2312" w:cs="仿宋_GB2312"/>
          <w:b w:val="0"/>
          <w:bCs w:val="0"/>
          <w:color w:val="000000"/>
          <w:spacing w:val="0"/>
          <w:sz w:val="32"/>
          <w:szCs w:val="32"/>
          <w:highlight w:val="none"/>
          <w:lang w:val="en-US" w:eastAsia="zh-CN"/>
        </w:rPr>
        <w:t>项目立项审批。提前落实合规的化</w:t>
      </w:r>
      <w:r>
        <w:rPr>
          <w:rFonts w:hint="eastAsia" w:ascii="仿宋_GB2312" w:hAnsi="仿宋_GB2312" w:eastAsia="仿宋_GB2312" w:cs="仿宋_GB2312"/>
          <w:sz w:val="32"/>
          <w:szCs w:val="32"/>
          <w:lang w:val="en-US" w:eastAsia="zh-CN"/>
        </w:rPr>
        <w:t>债资金来源或缓释措施，积极争取财政部降低债务风险政策支持。制定“一债一策”还款措施，在偿债高峰期时，实行一个项目、一位县级领导、一位区直部门负责人和公司高管及经办人形成AB角，逐笔攻坚克难。2023年债务率按财政部和省财政厅口径分别下降16个百分点和68个百分点。</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21"/>
        <w:jc w:val="center"/>
        <w:rPr>
          <w:rFonts w:ascii="Times New Roman" w:hAnsi="Times New Roman" w:eastAsia="方正小标宋简体" w:cs="Times New Roman"/>
          <w:sz w:val="76"/>
          <w:szCs w:val="76"/>
        </w:rPr>
      </w:pPr>
    </w:p>
    <w:p>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21"/>
        <w:jc w:val="both"/>
        <w:rPr>
          <w:rFonts w:hint="eastAsia" w:ascii="Times New Roman" w:hAnsi="Times New Roman" w:cs="Times New Roman"/>
          <w:sz w:val="72"/>
          <w:szCs w:val="72"/>
        </w:rPr>
      </w:pPr>
    </w:p>
    <w:p>
      <w:pPr>
        <w:pStyle w:val="21"/>
        <w:jc w:val="both"/>
        <w:rPr>
          <w:rFonts w:ascii="Times New Roman" w:hAnsi="Times New Roman" w:cs="Times New Roman"/>
          <w:sz w:val="84"/>
          <w:szCs w:val="84"/>
        </w:rPr>
      </w:pPr>
    </w:p>
    <w:p>
      <w:pPr>
        <w:pStyle w:val="21"/>
        <w:jc w:val="both"/>
        <w:rPr>
          <w:rFonts w:ascii="Times New Roman" w:hAnsi="Times New Roman" w:cs="Times New Roman"/>
          <w:sz w:val="84"/>
          <w:szCs w:val="84"/>
        </w:rPr>
      </w:pPr>
    </w:p>
    <w:p>
      <w:pPr>
        <w:pStyle w:val="21"/>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21"/>
        <w:jc w:val="center"/>
        <w:rPr>
          <w:rFonts w:ascii="Times New Roman" w:hAnsi="Times New Roman" w:eastAsia="方正小标宋简体" w:cs="Times New Roman"/>
          <w:sz w:val="56"/>
          <w:szCs w:val="56"/>
        </w:rPr>
      </w:pPr>
    </w:p>
    <w:p>
      <w:pPr>
        <w:pStyle w:val="21"/>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21"/>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21"/>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21"/>
        <w:spacing w:line="596" w:lineRule="exact"/>
        <w:jc w:val="center"/>
        <w:rPr>
          <w:rFonts w:hint="eastAsia" w:ascii="Times New Roman" w:hAnsi="Times New Roman" w:eastAsia="方正小标宋简体" w:cs="Times New Roman"/>
          <w:sz w:val="32"/>
          <w:szCs w:val="32"/>
          <w:lang w:eastAsia="zh-CN"/>
        </w:rPr>
      </w:pPr>
    </w:p>
    <w:p>
      <w:pPr>
        <w:pStyle w:val="21"/>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8"/>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NjFlYzQ2YjlhNWJkYTAzNzUyYzZkMTQzM2M4M2I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31372B0"/>
    <w:rsid w:val="06915006"/>
    <w:rsid w:val="0751274D"/>
    <w:rsid w:val="07634BF4"/>
    <w:rsid w:val="07A77932"/>
    <w:rsid w:val="08F14AE1"/>
    <w:rsid w:val="0A9037EA"/>
    <w:rsid w:val="0B567F72"/>
    <w:rsid w:val="0C7C6B53"/>
    <w:rsid w:val="0D3F15F5"/>
    <w:rsid w:val="0EF6245F"/>
    <w:rsid w:val="11E43B98"/>
    <w:rsid w:val="13692089"/>
    <w:rsid w:val="16D9595B"/>
    <w:rsid w:val="18985D2F"/>
    <w:rsid w:val="18FA38C9"/>
    <w:rsid w:val="1B323160"/>
    <w:rsid w:val="1B714E5F"/>
    <w:rsid w:val="1E532BCB"/>
    <w:rsid w:val="1EBE63A2"/>
    <w:rsid w:val="1F041D62"/>
    <w:rsid w:val="1F6317DE"/>
    <w:rsid w:val="1F745786"/>
    <w:rsid w:val="21B1218A"/>
    <w:rsid w:val="238B2E7B"/>
    <w:rsid w:val="29292B23"/>
    <w:rsid w:val="2AD95BF4"/>
    <w:rsid w:val="2F101369"/>
    <w:rsid w:val="2F200524"/>
    <w:rsid w:val="321612FC"/>
    <w:rsid w:val="32B56379"/>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DC2177C"/>
    <w:rsid w:val="7EAA7C1A"/>
    <w:rsid w:val="7F030E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before="100" w:beforeAutospacing="1" w:after="120"/>
    </w:pPr>
  </w:style>
  <w:style w:type="paragraph" w:styleId="3">
    <w:name w:val="annotation text"/>
    <w:basedOn w:val="1"/>
    <w:link w:val="16"/>
    <w:semiHidden/>
    <w:qFormat/>
    <w:uiPriority w:val="99"/>
    <w:pPr>
      <w:jc w:val="left"/>
    </w:pPr>
  </w:style>
  <w:style w:type="paragraph" w:styleId="4">
    <w:name w:val="Body Text"/>
    <w:basedOn w:val="1"/>
    <w:link w:val="17"/>
    <w:qFormat/>
    <w:uiPriority w:val="99"/>
    <w:pPr>
      <w:spacing w:before="100" w:beforeAutospacing="1" w:after="120"/>
    </w:pPr>
    <w:rPr>
      <w:rFonts w:ascii="Times New Roman" w:hAnsi="Times New Roman" w:cs="Times New Roman"/>
    </w:rPr>
  </w:style>
  <w:style w:type="paragraph" w:styleId="5">
    <w:name w:val="Body Text Indent"/>
    <w:basedOn w:val="1"/>
    <w:next w:val="6"/>
    <w:qFormat/>
    <w:uiPriority w:val="0"/>
    <w:pPr>
      <w:tabs>
        <w:tab w:val="left" w:pos="630"/>
      </w:tabs>
      <w:adjustRightInd w:val="0"/>
      <w:ind w:firstLine="630"/>
      <w:textAlignment w:val="baseline"/>
    </w:pPr>
    <w:rPr>
      <w:szCs w:val="21"/>
    </w:rPr>
  </w:style>
  <w:style w:type="paragraph" w:styleId="6">
    <w:name w:val="Body Text Indent 2"/>
    <w:basedOn w:val="1"/>
    <w:next w:val="1"/>
    <w:qFormat/>
    <w:uiPriority w:val="0"/>
    <w:rPr>
      <w:rFonts w:ascii="楷体_GB2312" w:hAnsi="Times New Roman" w:eastAsia="楷体_GB2312" w:cs="Times New Roman"/>
    </w:rPr>
  </w:style>
  <w:style w:type="paragraph" w:styleId="7">
    <w:name w:val="Balloon Text"/>
    <w:basedOn w:val="1"/>
    <w:link w:val="18"/>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Body Text First Indent"/>
    <w:basedOn w:val="4"/>
    <w:qFormat/>
    <w:uiPriority w:val="0"/>
    <w:pPr>
      <w:ind w:firstLine="100" w:firstLineChars="100"/>
    </w:pPr>
  </w:style>
  <w:style w:type="paragraph" w:styleId="12">
    <w:name w:val="Body Text First Indent 2"/>
    <w:basedOn w:val="5"/>
    <w:next w:val="1"/>
    <w:qFormat/>
    <w:uiPriority w:val="0"/>
    <w:pPr>
      <w:adjustRightInd/>
      <w:ind w:firstLine="420"/>
    </w:pPr>
    <w:rPr>
      <w:rFonts w:ascii="Times New Roman" w:hAnsi="Times New Roman"/>
    </w:rPr>
  </w:style>
  <w:style w:type="character" w:styleId="15">
    <w:name w:val="annotation reference"/>
    <w:basedOn w:val="14"/>
    <w:semiHidden/>
    <w:qFormat/>
    <w:uiPriority w:val="99"/>
    <w:rPr>
      <w:sz w:val="21"/>
      <w:szCs w:val="21"/>
    </w:rPr>
  </w:style>
  <w:style w:type="character" w:customStyle="1" w:styleId="16">
    <w:name w:val="批注文字 Char"/>
    <w:basedOn w:val="14"/>
    <w:link w:val="3"/>
    <w:semiHidden/>
    <w:qFormat/>
    <w:locked/>
    <w:uiPriority w:val="99"/>
    <w:rPr>
      <w:rFonts w:ascii="Calibri" w:hAnsi="Calibri" w:cs="Calibri"/>
      <w:sz w:val="21"/>
      <w:szCs w:val="21"/>
    </w:rPr>
  </w:style>
  <w:style w:type="character" w:customStyle="1" w:styleId="17">
    <w:name w:val="正文文本 Char"/>
    <w:basedOn w:val="14"/>
    <w:link w:val="4"/>
    <w:qFormat/>
    <w:locked/>
    <w:uiPriority w:val="99"/>
    <w:rPr>
      <w:rFonts w:eastAsia="宋体"/>
      <w:kern w:val="2"/>
      <w:sz w:val="21"/>
      <w:szCs w:val="21"/>
      <w:lang w:val="en-US" w:eastAsia="zh-CN"/>
    </w:rPr>
  </w:style>
  <w:style w:type="character" w:customStyle="1" w:styleId="18">
    <w:name w:val="批注框文本 Char"/>
    <w:basedOn w:val="14"/>
    <w:link w:val="7"/>
    <w:semiHidden/>
    <w:qFormat/>
    <w:locked/>
    <w:uiPriority w:val="99"/>
    <w:rPr>
      <w:sz w:val="18"/>
      <w:szCs w:val="18"/>
    </w:rPr>
  </w:style>
  <w:style w:type="character" w:customStyle="1" w:styleId="19">
    <w:name w:val="页脚 Char"/>
    <w:basedOn w:val="14"/>
    <w:link w:val="8"/>
    <w:qFormat/>
    <w:locked/>
    <w:uiPriority w:val="99"/>
    <w:rPr>
      <w:sz w:val="18"/>
      <w:szCs w:val="18"/>
    </w:rPr>
  </w:style>
  <w:style w:type="character" w:customStyle="1" w:styleId="20">
    <w:name w:val="页眉 Char"/>
    <w:basedOn w:val="14"/>
    <w:link w:val="9"/>
    <w:qFormat/>
    <w:locked/>
    <w:uiPriority w:val="99"/>
    <w:rPr>
      <w:sz w:val="18"/>
      <w:szCs w:val="18"/>
    </w:rPr>
  </w:style>
  <w:style w:type="paragraph" w:customStyle="1" w:styleId="2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2">
    <w:name w:val="List Paragraph"/>
    <w:basedOn w:val="1"/>
    <w:qFormat/>
    <w:uiPriority w:val="99"/>
    <w:pPr>
      <w:ind w:firstLine="420" w:firstLineChars="200"/>
    </w:pPr>
  </w:style>
  <w:style w:type="paragraph" w:customStyle="1" w:styleId="23">
    <w:name w:val="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2095</Words>
  <Characters>2206</Characters>
  <Lines>56</Lines>
  <Paragraphs>15</Paragraphs>
  <TotalTime>4</TotalTime>
  <ScaleCrop>false</ScaleCrop>
  <LinksUpToDate>false</LinksUpToDate>
  <CharactersWithSpaces>2224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2024-11-15T08:10:44Z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