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eastAsia="zh-CN"/>
        </w:rPr>
        <w:t>职能：</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区财政局贯彻落实党中央关于财政工作的方针政策和决策部署，全面落实省委、市委和区委关于财政工作部署要求，在履行职责过程中坚持和加强党对财政工作的集中统一领导。主要职责是：（一）拟订和执行财政政策、改革方案，指导全区财政工作，拟订和执行财政、财务、会计管理的制度和办法，提出加强财政管理的政策和建议。（二）承担本级各项财政收支管理的责任；负责编制本级年度财政预算草案并组织执行；汇总全区财政总决算与部门决算；负责向区人民代表大会报告全区和本级预算及其执行情况，向区人大常委会报告财政决算情况；负责审核批复部门（单位）的年度预、决算；负责全面实施预算绩效管理相关工作。（三）拟订国库管理、国库集中支付制度，指导和监督区本级国库业务。（四）贯彻执行国家税收法律、行政法规和税收调整政策，反馈政策执行情况，提出调整建议；研究制定区管理权限内有关税收政策及税收政策调整方案并组织实施。（五）牵头拟订政府采购制度并实施监督管理。（六）负责政府非税收入、财政票据等管理工作。（七）拟订全区行政事业单位国有资产管理制度，负责管理行政事业单位国有资产；负责收取区本级企业国有资本收益；负责牵头编制国有资产管理有关情况报告，负责审核和汇总编制区本级国有资本经营预、决算草案。（八）指导街道财政管理工作；负责财政涉农补贴资金的发放和监督工作。（九）负责政府债务管理，防范财政风险; 承担地方政府债务核查、监督等相关职责。（十）负责办理和监督区财政的经济发展支出、区级政府性投资项目的财政拨款；参与拟订区政府基础设施建设投资的有关政策；负责政府投资项目评审管理；负责区本级的财政统发工资工作；负责有关政策性补贴财政管理工作。（十一）会同有关部门监督管理区财政社会保障、就业和医疗卫生支出；组织实施社会保障资金的财务管理制度，编报区社会保障预、决算草案。（十二）负责管理全区会计工作，监督和规范会计行为，组织实施国家统一的会计制度。（十三）接受区人大常委会监督，承担预算联网监督工作。（十四）会同区纪委开展“互联网+监督”工作。（十五）完成区委、区人民政府和区委财经委员会交办的其他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20" w:firstLineChars="200"/>
        <w:jc w:val="left"/>
        <w:textAlignment w:val="center"/>
        <w:rPr>
          <w:rFonts w:hint="eastAsia" w:ascii="仿宋_GB2312" w:hAnsi="仿宋_GB2312" w:eastAsia="仿宋_GB2312" w:cs="仿宋_GB2312"/>
          <w:i w:val="0"/>
          <w:iCs w:val="0"/>
          <w:caps w:val="0"/>
          <w:color w:val="000000"/>
          <w:spacing w:val="0"/>
          <w:sz w:val="31"/>
          <w:szCs w:val="31"/>
          <w:shd w:val="clear" w:fill="FFFFFF"/>
        </w:rPr>
      </w:pPr>
      <w:r>
        <w:rPr>
          <w:rFonts w:hint="eastAsia" w:ascii="仿宋_GB2312" w:hAnsi="仿宋_GB2312" w:eastAsia="仿宋_GB2312" w:cs="仿宋_GB2312"/>
          <w:i w:val="0"/>
          <w:iCs w:val="0"/>
          <w:caps w:val="0"/>
          <w:color w:val="000000"/>
          <w:spacing w:val="0"/>
          <w:sz w:val="31"/>
          <w:szCs w:val="31"/>
          <w:shd w:val="clear" w:fill="FFFFFF"/>
          <w:lang w:val="en-US" w:eastAsia="zh-CN"/>
        </w:rPr>
        <w:t>机构设置及人员情况：</w:t>
      </w:r>
      <w:r>
        <w:rPr>
          <w:rFonts w:hint="eastAsia" w:ascii="仿宋_GB2312" w:hAnsi="仿宋_GB2312" w:eastAsia="仿宋_GB2312" w:cs="仿宋_GB2312"/>
          <w:sz w:val="32"/>
          <w:szCs w:val="32"/>
        </w:rPr>
        <w:t>石峰区</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是区政府</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正科级行政机关，一级预算单位，本部门无下属预算单位。</w:t>
      </w:r>
      <w:r>
        <w:rPr>
          <w:rFonts w:hint="eastAsia" w:ascii="仿宋_GB2312" w:hAnsi="仿宋_GB2312" w:eastAsia="仿宋_GB2312" w:cs="仿宋_GB2312"/>
          <w:sz w:val="32"/>
          <w:szCs w:val="32"/>
          <w:lang w:val="en-US" w:eastAsia="zh-CN"/>
        </w:rPr>
        <w:t>内设职能机构7个，分别是办公室、预算股、国库股、社保股、行财股、经济产业股、国资采购股。下设3个副科级二级机构事业单位分别为区国库集中支付核算中心、区财政事务中心、区乡镇财政服务中心。核定编制人数36人，其中行政编制13人、事业编制21人、工勤编制2人。2023年单位实</w:t>
      </w:r>
      <w:r>
        <w:rPr>
          <w:rFonts w:hint="eastAsia" w:ascii="仿宋_GB2312" w:hAnsi="仿宋_GB2312" w:eastAsia="仿宋_GB2312" w:cs="仿宋_GB2312"/>
          <w:sz w:val="32"/>
          <w:szCs w:val="32"/>
          <w:highlight w:val="none"/>
          <w:lang w:val="en-US" w:eastAsia="zh-CN"/>
        </w:rPr>
        <w:t>有在</w:t>
      </w:r>
      <w:r>
        <w:rPr>
          <w:rFonts w:hint="eastAsia" w:ascii="仿宋_GB2312" w:hAnsi="仿宋_GB2312" w:eastAsia="仿宋_GB2312" w:cs="仿宋_GB2312"/>
          <w:color w:val="auto"/>
          <w:sz w:val="32"/>
          <w:szCs w:val="32"/>
          <w:highlight w:val="none"/>
          <w:lang w:val="en-US" w:eastAsia="zh-CN"/>
        </w:rPr>
        <w:t>职工30人</w:t>
      </w:r>
      <w:r>
        <w:rPr>
          <w:rFonts w:hint="eastAsia" w:ascii="仿宋_GB2312" w:hAnsi="仿宋_GB2312" w:eastAsia="仿宋_GB2312" w:cs="仿宋_GB2312"/>
          <w:sz w:val="32"/>
          <w:szCs w:val="32"/>
          <w:highlight w:val="none"/>
          <w:lang w:val="en-US" w:eastAsia="zh-CN"/>
        </w:rPr>
        <w:t>，退休人员14人。</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年预算收入</w:t>
      </w:r>
      <w:r>
        <w:rPr>
          <w:rFonts w:hint="eastAsia" w:ascii="仿宋_GB2312" w:hAnsi="仿宋_GB2312" w:eastAsia="仿宋_GB2312" w:cs="仿宋_GB2312"/>
          <w:color w:val="auto"/>
          <w:sz w:val="32"/>
          <w:szCs w:val="32"/>
          <w:lang w:val="en-US" w:eastAsia="zh-CN"/>
        </w:rPr>
        <w:t>803.42</w:t>
      </w:r>
      <w:r>
        <w:rPr>
          <w:rFonts w:hint="eastAsia" w:ascii="仿宋_GB2312" w:hAnsi="仿宋_GB2312" w:eastAsia="仿宋_GB2312" w:cs="仿宋_GB2312"/>
          <w:color w:val="auto"/>
          <w:sz w:val="32"/>
          <w:szCs w:val="32"/>
        </w:rPr>
        <w:t>万元，其中年初预算</w:t>
      </w:r>
      <w:r>
        <w:rPr>
          <w:rFonts w:hint="eastAsia" w:ascii="仿宋_GB2312" w:hAnsi="仿宋_GB2312" w:eastAsia="仿宋_GB2312" w:cs="仿宋_GB2312"/>
          <w:color w:val="auto"/>
          <w:sz w:val="32"/>
          <w:szCs w:val="32"/>
          <w:lang w:val="en-US" w:eastAsia="zh-CN"/>
        </w:rPr>
        <w:t>507.85</w:t>
      </w:r>
      <w:r>
        <w:rPr>
          <w:rFonts w:hint="eastAsia" w:ascii="仿宋_GB2312" w:hAnsi="仿宋_GB2312" w:eastAsia="仿宋_GB2312" w:cs="仿宋_GB2312"/>
          <w:color w:val="auto"/>
          <w:sz w:val="32"/>
          <w:szCs w:val="32"/>
        </w:rPr>
        <w:t>万元，调整追加</w:t>
      </w:r>
      <w:r>
        <w:rPr>
          <w:rFonts w:hint="eastAsia" w:ascii="仿宋_GB2312" w:hAnsi="仿宋_GB2312" w:eastAsia="仿宋_GB2312" w:cs="仿宋_GB2312"/>
          <w:color w:val="auto"/>
          <w:sz w:val="32"/>
          <w:szCs w:val="32"/>
          <w:lang w:val="en-US" w:eastAsia="zh-CN"/>
        </w:rPr>
        <w:t>295.57</w:t>
      </w:r>
      <w:r>
        <w:rPr>
          <w:rFonts w:hint="eastAsia" w:ascii="仿宋_GB2312" w:hAnsi="仿宋_GB2312" w:eastAsia="仿宋_GB2312" w:cs="仿宋_GB2312"/>
          <w:color w:val="auto"/>
          <w:sz w:val="32"/>
          <w:szCs w:val="32"/>
        </w:rPr>
        <w:t>万元。其他资金来源</w:t>
      </w:r>
      <w:r>
        <w:rPr>
          <w:rFonts w:hint="eastAsia" w:ascii="仿宋_GB2312" w:hAnsi="仿宋_GB2312" w:eastAsia="仿宋_GB2312" w:cs="仿宋_GB2312"/>
          <w:color w:val="auto"/>
          <w:sz w:val="32"/>
          <w:szCs w:val="32"/>
          <w:lang w:val="en-US" w:eastAsia="zh-CN"/>
        </w:rPr>
        <w:t>2.58</w:t>
      </w:r>
      <w:r>
        <w:rPr>
          <w:rFonts w:hint="eastAsia" w:ascii="仿宋_GB2312" w:hAnsi="仿宋_GB2312" w:eastAsia="仿宋_GB2312" w:cs="仿宋_GB2312"/>
          <w:color w:val="auto"/>
          <w:sz w:val="32"/>
          <w:szCs w:val="32"/>
        </w:rPr>
        <w:t>万元。</w:t>
      </w:r>
    </w:p>
    <w:p>
      <w:pPr>
        <w:tabs>
          <w:tab w:val="left" w:pos="7560"/>
        </w:tabs>
        <w:adjustRightInd w:val="0"/>
        <w:snapToGrid w:val="0"/>
        <w:spacing w:line="54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2023</w:t>
      </w:r>
      <w:r>
        <w:rPr>
          <w:rFonts w:hint="eastAsia" w:ascii="仿宋_GB2312" w:hAnsi="仿宋_GB2312" w:eastAsia="仿宋_GB2312" w:cs="仿宋_GB2312"/>
          <w:color w:val="auto"/>
          <w:sz w:val="32"/>
          <w:szCs w:val="32"/>
        </w:rPr>
        <w:t>年支出</w:t>
      </w:r>
      <w:r>
        <w:rPr>
          <w:rFonts w:hint="eastAsia" w:ascii="仿宋_GB2312" w:hAnsi="仿宋_GB2312" w:eastAsia="仿宋_GB2312" w:cs="仿宋_GB2312"/>
          <w:color w:val="auto"/>
          <w:sz w:val="32"/>
          <w:szCs w:val="32"/>
          <w:lang w:val="en-US" w:eastAsia="zh-CN"/>
        </w:rPr>
        <w:t>731.48</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516.27</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215.21</w:t>
      </w:r>
      <w:r>
        <w:rPr>
          <w:rFonts w:hint="eastAsia" w:ascii="仿宋_GB2312" w:hAnsi="仿宋_GB2312" w:eastAsia="仿宋_GB2312" w:cs="仿宋_GB2312"/>
          <w:color w:val="auto"/>
          <w:sz w:val="32"/>
          <w:szCs w:val="32"/>
        </w:rPr>
        <w:t>万元，结余结转</w:t>
      </w:r>
      <w:r>
        <w:rPr>
          <w:rFonts w:hint="eastAsia" w:ascii="仿宋_GB2312" w:hAnsi="仿宋_GB2312" w:eastAsia="仿宋_GB2312" w:cs="仿宋_GB2312"/>
          <w:color w:val="auto"/>
          <w:sz w:val="32"/>
          <w:szCs w:val="32"/>
          <w:lang w:val="en-US" w:eastAsia="zh-CN"/>
        </w:rPr>
        <w:t>71.93</w:t>
      </w:r>
      <w:r>
        <w:rPr>
          <w:rFonts w:hint="eastAsia" w:ascii="仿宋_GB2312" w:hAnsi="仿宋_GB2312" w:eastAsia="仿宋_GB2312" w:cs="仿宋_GB2312"/>
          <w:color w:val="auto"/>
          <w:sz w:val="32"/>
          <w:szCs w:val="32"/>
        </w:rPr>
        <w:t>万元。</w:t>
      </w:r>
      <w:bookmarkStart w:id="0" w:name="_GoBack"/>
      <w:bookmarkEnd w:id="0"/>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三、资金使用及绩效情况（包含单位管理的公共专项）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（一）整体支出绩效情况</w:t>
      </w:r>
    </w:p>
    <w:p>
      <w:pPr>
        <w:keepNext w:val="0"/>
        <w:keepLines w:val="0"/>
        <w:pageBreakBefore w:val="0"/>
        <w:numPr>
          <w:ilvl w:val="0"/>
          <w:numId w:val="0"/>
        </w:numPr>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000000"/>
          <w:sz w:val="32"/>
          <w:szCs w:val="32"/>
        </w:rPr>
        <w:t>年实际支出</w:t>
      </w:r>
      <w:r>
        <w:rPr>
          <w:rFonts w:hint="eastAsia" w:ascii="仿宋_GB2312" w:hAnsi="仿宋_GB2312" w:eastAsia="仿宋_GB2312" w:cs="仿宋_GB2312"/>
          <w:sz w:val="32"/>
          <w:szCs w:val="32"/>
          <w:highlight w:val="none"/>
          <w:lang w:val="en-US" w:eastAsia="zh-CN"/>
        </w:rPr>
        <w:t>731.48</w:t>
      </w:r>
      <w:r>
        <w:rPr>
          <w:rFonts w:hint="eastAsia" w:ascii="仿宋_GB2312" w:hAnsi="仿宋_GB2312" w:eastAsia="仿宋_GB2312" w:cs="仿宋_GB2312"/>
          <w:color w:val="000000"/>
          <w:sz w:val="32"/>
          <w:szCs w:val="32"/>
        </w:rPr>
        <w:t>万元，完成率</w:t>
      </w:r>
      <w:r>
        <w:rPr>
          <w:rFonts w:hint="eastAsia" w:ascii="仿宋_GB2312" w:hAnsi="仿宋_GB2312" w:eastAsia="仿宋_GB2312" w:cs="仿宋_GB2312"/>
          <w:color w:val="000000"/>
          <w:sz w:val="32"/>
          <w:szCs w:val="32"/>
          <w:lang w:val="en-US" w:eastAsia="zh-CN"/>
        </w:rPr>
        <w:t>91.05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，结余</w:t>
      </w:r>
      <w:r>
        <w:rPr>
          <w:rFonts w:hint="eastAsia" w:ascii="仿宋_GB2312" w:hAnsi="仿宋_GB2312" w:eastAsia="仿宋_GB2312" w:cs="仿宋_GB2312"/>
          <w:color w:val="000000"/>
          <w:sz w:val="32"/>
          <w:szCs w:val="32"/>
          <w:lang w:val="en-US" w:eastAsia="zh-CN"/>
        </w:rPr>
        <w:t>71.93万元，</w:t>
      </w:r>
      <w:r>
        <w:rPr>
          <w:rFonts w:hint="eastAsia" w:ascii="仿宋_GB2312" w:hAnsi="仿宋_GB2312" w:eastAsia="仿宋_GB2312" w:cs="仿宋_GB2312"/>
          <w:color w:val="000000"/>
          <w:sz w:val="32"/>
          <w:szCs w:val="32"/>
          <w:lang w:eastAsia="zh-CN"/>
        </w:rPr>
        <w:t>总结如下：</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kern w:val="2"/>
          <w:sz w:val="32"/>
          <w:szCs w:val="32"/>
          <w:lang w:val="en-US" w:eastAsia="zh-CN" w:bidi="ar-SA"/>
        </w:rPr>
        <w:t>1</w:t>
      </w:r>
      <w:r>
        <w:rPr>
          <w:rFonts w:hint="eastAsia" w:ascii="仿宋_GB2312" w:hAnsi="仿宋_GB2312" w:eastAsia="仿宋_GB2312" w:cs="仿宋_GB2312"/>
          <w:b/>
          <w:color w:val="000000"/>
          <w:szCs w:val="32"/>
          <w:lang w:val="en-US" w:eastAsia="zh-CN"/>
        </w:rPr>
        <w:t>．</w:t>
      </w:r>
      <w:r>
        <w:rPr>
          <w:rFonts w:hint="eastAsia" w:ascii="仿宋_GB2312" w:hAnsi="仿宋_GB2312" w:eastAsia="仿宋_GB2312" w:cs="仿宋_GB2312"/>
          <w:b/>
          <w:bCs/>
          <w:color w:val="000000"/>
          <w:spacing w:val="0"/>
          <w:kern w:val="2"/>
          <w:sz w:val="32"/>
          <w:szCs w:val="32"/>
          <w:lang w:val="en-US" w:eastAsia="zh-CN" w:bidi="ar-SA"/>
        </w:rPr>
        <w:t>在“稳”字中做增的文章，财政收入实现了稳中有升。</w:t>
      </w:r>
      <w:r>
        <w:rPr>
          <w:rFonts w:hint="eastAsia" w:ascii="仿宋_GB2312" w:hAnsi="仿宋_GB2312" w:eastAsia="仿宋_GB2312" w:cs="仿宋_GB2312"/>
          <w:b/>
          <w:bCs/>
          <w:color w:val="000000"/>
          <w:spacing w:val="0"/>
          <w:kern w:val="2"/>
          <w:sz w:val="32"/>
          <w:szCs w:val="32"/>
          <w:highlight w:val="none"/>
          <w:lang w:val="en-US" w:eastAsia="zh-CN" w:bidi="ar-SA"/>
        </w:rPr>
        <w:t>扎实培源。</w:t>
      </w:r>
      <w:r>
        <w:rPr>
          <w:rFonts w:hint="eastAsia" w:ascii="仿宋_GB2312" w:hAnsi="仿宋_GB2312" w:eastAsia="仿宋_GB2312" w:cs="仿宋_GB2312"/>
          <w:b w:val="0"/>
          <w:bCs w:val="0"/>
          <w:color w:val="000000"/>
          <w:spacing w:val="0"/>
          <w:sz w:val="32"/>
          <w:szCs w:val="32"/>
          <w:highlight w:val="none"/>
          <w:lang w:val="en-US" w:eastAsia="zh-CN"/>
        </w:rPr>
        <w:t>全年减税降费9.48亿元，</w:t>
      </w:r>
      <w:r>
        <w:rPr>
          <w:rFonts w:hint="eastAsia" w:ascii="仿宋_GB2312" w:hAnsi="仿宋_GB2312" w:eastAsia="仿宋_GB2312" w:cs="仿宋_GB2312"/>
          <w:color w:val="000000"/>
          <w:spacing w:val="0"/>
          <w:kern w:val="1"/>
          <w:sz w:val="32"/>
          <w:szCs w:val="32"/>
          <w:lang w:val="en-US" w:eastAsia="zh-CN"/>
        </w:rPr>
        <w:t>助推企业全面轻装上阵</w:t>
      </w:r>
      <w:r>
        <w:rPr>
          <w:rFonts w:hint="eastAsia" w:ascii="仿宋_GB2312" w:hAnsi="仿宋_GB2312" w:eastAsia="仿宋_GB2312" w:cs="仿宋_GB2312"/>
          <w:b w:val="0"/>
          <w:bCs w:val="0"/>
          <w:color w:val="000000"/>
          <w:spacing w:val="0"/>
          <w:sz w:val="32"/>
          <w:szCs w:val="32"/>
          <w:highlight w:val="none"/>
          <w:lang w:val="en-US" w:eastAsia="zh-CN"/>
        </w:rPr>
        <w:t>。</w:t>
      </w:r>
      <w:r>
        <w:rPr>
          <w:rFonts w:hint="eastAsia" w:ascii="仿宋_GB2312" w:hAnsi="仿宋_GB2312" w:eastAsia="仿宋_GB2312" w:cs="仿宋_GB2312"/>
          <w:b w:val="0"/>
          <w:bCs w:val="0"/>
          <w:color w:val="000000"/>
          <w:spacing w:val="0"/>
          <w:sz w:val="32"/>
          <w:szCs w:val="32"/>
          <w:lang w:val="en-US" w:eastAsia="zh-CN"/>
        </w:rPr>
        <w:t>亿元以</w:t>
      </w:r>
      <w:r>
        <w:rPr>
          <w:rFonts w:hint="eastAsia" w:ascii="仿宋_GB2312" w:hAnsi="仿宋_GB2312" w:eastAsia="仿宋_GB2312" w:cs="仿宋_GB2312"/>
          <w:b w:val="0"/>
          <w:bCs w:val="0"/>
          <w:color w:val="000000"/>
          <w:spacing w:val="0"/>
          <w:sz w:val="32"/>
          <w:szCs w:val="32"/>
          <w:highlight w:val="none"/>
          <w:lang w:val="en-US" w:eastAsia="zh-CN"/>
        </w:rPr>
        <w:t>上纳税大户5家，税收超500万元企业52家，同比增加5家，税收超20</w:t>
      </w:r>
      <w:r>
        <w:rPr>
          <w:rFonts w:hint="eastAsia" w:ascii="仿宋_GB2312" w:hAnsi="仿宋_GB2312" w:eastAsia="仿宋_GB2312" w:cs="仿宋_GB2312"/>
          <w:b w:val="0"/>
          <w:bCs w:val="0"/>
          <w:color w:val="000000"/>
          <w:spacing w:val="0"/>
          <w:kern w:val="2"/>
          <w:sz w:val="32"/>
          <w:szCs w:val="32"/>
          <w:highlight w:val="none"/>
          <w:lang w:val="en-US" w:eastAsia="zh-CN" w:bidi="ar-SA"/>
        </w:rPr>
        <w:t>0万元企业105家，同比增加18家，骨干税源占税收总量比重达81.67%，为稳住全区经济大盘提供了重要支撑。</w:t>
      </w:r>
      <w:r>
        <w:rPr>
          <w:rFonts w:hint="eastAsia" w:ascii="仿宋_GB2312" w:hAnsi="仿宋_GB2312" w:eastAsia="仿宋_GB2312" w:cs="仿宋_GB2312"/>
          <w:b/>
          <w:bCs/>
          <w:color w:val="000000"/>
          <w:spacing w:val="0"/>
          <w:sz w:val="32"/>
          <w:szCs w:val="32"/>
          <w:highlight w:val="none"/>
          <w:lang w:val="en-US" w:eastAsia="zh-CN"/>
        </w:rPr>
        <w:t>加力征管。</w:t>
      </w:r>
      <w:r>
        <w:rPr>
          <w:rFonts w:hint="eastAsia" w:ascii="仿宋_GB2312" w:hAnsi="仿宋_GB2312" w:eastAsia="仿宋_GB2312" w:cs="仿宋_GB2312"/>
          <w:b w:val="0"/>
          <w:bCs w:val="0"/>
          <w:color w:val="000000"/>
          <w:spacing w:val="0"/>
          <w:sz w:val="32"/>
          <w:szCs w:val="32"/>
          <w:highlight w:val="none"/>
          <w:lang w:val="en-US" w:eastAsia="zh-CN"/>
        </w:rPr>
        <w:t>全年我区</w:t>
      </w:r>
      <w:r>
        <w:rPr>
          <w:rFonts w:hint="eastAsia" w:ascii="仿宋_GB2312" w:hAnsi="仿宋_GB2312" w:eastAsia="仿宋_GB2312" w:cs="仿宋_GB2312"/>
          <w:b w:val="0"/>
          <w:bCs w:val="0"/>
          <w:color w:val="000000"/>
          <w:spacing w:val="0"/>
          <w:kern w:val="2"/>
          <w:sz w:val="32"/>
          <w:szCs w:val="32"/>
          <w:highlight w:val="none"/>
          <w:lang w:val="en-US" w:eastAsia="zh-CN" w:bidi="ar-SA"/>
        </w:rPr>
        <w:t>地方税收均保持连续稳定增长态势，各项指标均排名全市前列，</w:t>
      </w:r>
      <w:r>
        <w:rPr>
          <w:rFonts w:hint="eastAsia" w:ascii="仿宋_GB2312" w:hAnsi="仿宋_GB2312" w:eastAsia="仿宋_GB2312" w:cs="仿宋_GB2312"/>
          <w:b w:val="0"/>
          <w:bCs w:val="0"/>
          <w:color w:val="000000"/>
          <w:spacing w:val="0"/>
          <w:sz w:val="32"/>
          <w:szCs w:val="32"/>
          <w:highlight w:val="none"/>
          <w:lang w:val="en-US" w:eastAsia="zh-CN"/>
        </w:rPr>
        <w:t>2、3季度分别获得全市打造“三个高地”工作竞赛财源建设工作冠、亚军</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highlight w:val="none"/>
          <w:lang w:val="en-US" w:eastAsia="zh-CN"/>
        </w:rPr>
        <w:t>同时，我区获评2023年度省政府真抓实干实施财源建设工程成效明显地区。</w:t>
      </w:r>
      <w:r>
        <w:rPr>
          <w:rFonts w:hint="eastAsia" w:ascii="仿宋_GB2312" w:hAnsi="仿宋_GB2312" w:eastAsia="仿宋_GB2312" w:cs="仿宋_GB2312"/>
          <w:b/>
          <w:bCs/>
          <w:color w:val="000000"/>
          <w:spacing w:val="0"/>
          <w:sz w:val="32"/>
          <w:szCs w:val="32"/>
          <w:lang w:val="en-US" w:eastAsia="zh-CN"/>
        </w:rPr>
        <w:t>积极争资。</w:t>
      </w:r>
      <w:r>
        <w:rPr>
          <w:rFonts w:hint="eastAsia" w:ascii="仿宋_GB2312" w:hAnsi="仿宋_GB2312" w:eastAsia="仿宋_GB2312" w:cs="仿宋_GB2312"/>
          <w:color w:val="000000"/>
          <w:spacing w:val="0"/>
          <w:sz w:val="32"/>
          <w:szCs w:val="32"/>
          <w:highlight w:val="none"/>
          <w:lang w:val="en-US" w:eastAsia="zh-CN"/>
        </w:rPr>
        <w:t>全年</w:t>
      </w:r>
      <w:r>
        <w:rPr>
          <w:rFonts w:hint="eastAsia" w:ascii="仿宋_GB2312" w:hAnsi="仿宋_GB2312" w:eastAsia="仿宋_GB2312" w:cs="仿宋_GB2312"/>
          <w:color w:val="000000"/>
          <w:sz w:val="32"/>
          <w:szCs w:val="32"/>
          <w:highlight w:val="none"/>
          <w:lang w:val="en-US" w:eastAsia="zh-CN"/>
        </w:rPr>
        <w:t>我区共收到上级补助12.5亿元，其中</w:t>
      </w:r>
      <w:r>
        <w:rPr>
          <w:rFonts w:hint="eastAsia" w:ascii="仿宋_GB2312" w:hAnsi="仿宋_GB2312" w:eastAsia="仿宋_GB2312" w:cs="仿宋_GB2312"/>
          <w:color w:val="000000"/>
          <w:sz w:val="32"/>
          <w:szCs w:val="32"/>
          <w:highlight w:val="none"/>
          <w:lang w:eastAsia="zh-CN"/>
        </w:rPr>
        <w:t>争取中央、省级补助</w:t>
      </w:r>
      <w:r>
        <w:rPr>
          <w:rFonts w:hint="eastAsia" w:ascii="仿宋_GB2312" w:hAnsi="仿宋_GB2312" w:eastAsia="仿宋_GB2312" w:cs="仿宋_GB2312"/>
          <w:color w:val="000000"/>
          <w:sz w:val="32"/>
          <w:szCs w:val="32"/>
          <w:highlight w:val="none"/>
          <w:lang w:val="en-US" w:eastAsia="zh-CN"/>
        </w:rPr>
        <w:t>8.67亿元，完成市级年度目标的159.67%，</w:t>
      </w:r>
      <w:r>
        <w:rPr>
          <w:rFonts w:hint="eastAsia" w:ascii="仿宋_GB2312" w:hAnsi="仿宋_GB2312" w:eastAsia="仿宋_GB2312" w:cs="仿宋_GB2312"/>
          <w:color w:val="000000"/>
          <w:spacing w:val="0"/>
          <w:sz w:val="32"/>
          <w:szCs w:val="32"/>
          <w:highlight w:val="none"/>
          <w:lang w:val="en-US" w:eastAsia="zh-CN"/>
        </w:rPr>
        <w:t>排名全市第一</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b/>
          <w:bCs/>
          <w:color w:val="000000"/>
          <w:spacing w:val="0"/>
          <w:sz w:val="32"/>
          <w:szCs w:val="32"/>
          <w:highlight w:val="none"/>
          <w:lang w:val="en-US" w:eastAsia="zh-CN"/>
        </w:rPr>
        <w:t>盘活“三资”。</w:t>
      </w:r>
      <w:r>
        <w:rPr>
          <w:rFonts w:hint="eastAsia" w:ascii="仿宋_GB2312" w:hAnsi="仿宋_GB2312" w:eastAsia="仿宋_GB2312" w:cs="仿宋_GB2312"/>
          <w:color w:val="000000"/>
          <w:sz w:val="32"/>
          <w:szCs w:val="32"/>
          <w:highlight w:val="none"/>
          <w:lang w:val="en-US" w:eastAsia="zh-CN"/>
        </w:rPr>
        <w:t>全年实现盘活收益5.31亿元，完成市定目标的106.2%；实现入库收入3.91亿元，完成市定目标的156.4%，将“沉睡的资产”变为“增收的活水”。</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b/>
          <w:bCs/>
          <w:color w:val="000000"/>
          <w:spacing w:val="0"/>
          <w:kern w:val="2"/>
          <w:sz w:val="32"/>
          <w:szCs w:val="32"/>
          <w:lang w:val="en-US" w:eastAsia="zh-CN" w:bidi="ar-SA"/>
        </w:rPr>
      </w:pPr>
      <w:r>
        <w:rPr>
          <w:rFonts w:hint="eastAsia" w:ascii="仿宋_GB2312" w:hAnsi="仿宋_GB2312" w:eastAsia="仿宋_GB2312" w:cs="仿宋_GB2312"/>
          <w:b/>
          <w:bCs/>
          <w:color w:val="000000"/>
          <w:spacing w:val="0"/>
          <w:kern w:val="2"/>
          <w:sz w:val="32"/>
          <w:szCs w:val="32"/>
          <w:lang w:val="en-US" w:eastAsia="zh-CN" w:bidi="ar-SA"/>
        </w:rPr>
        <w:t>2</w:t>
      </w:r>
      <w:r>
        <w:rPr>
          <w:rFonts w:hint="eastAsia" w:ascii="仿宋_GB2312" w:hAnsi="仿宋_GB2312" w:eastAsia="仿宋_GB2312" w:cs="仿宋_GB2312"/>
          <w:b/>
          <w:color w:val="000000"/>
          <w:szCs w:val="32"/>
          <w:lang w:val="en-US" w:eastAsia="zh-CN"/>
        </w:rPr>
        <w:t>．</w:t>
      </w:r>
      <w:r>
        <w:rPr>
          <w:rFonts w:hint="eastAsia" w:ascii="仿宋_GB2312" w:hAnsi="仿宋_GB2312" w:eastAsia="仿宋_GB2312" w:cs="仿宋_GB2312"/>
          <w:b/>
          <w:bCs/>
          <w:color w:val="000000"/>
          <w:spacing w:val="0"/>
          <w:kern w:val="2"/>
          <w:sz w:val="32"/>
          <w:szCs w:val="32"/>
          <w:lang w:val="en-US" w:eastAsia="zh-CN" w:bidi="ar-SA"/>
        </w:rPr>
        <w:t>在“进”字中做优的结构，财政支出实现了保障有力。</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spacing w:val="0"/>
          <w:kern w:val="2"/>
          <w:sz w:val="32"/>
          <w:szCs w:val="32"/>
          <w:highlight w:val="none"/>
          <w:lang w:val="en-US" w:eastAsia="zh-CN" w:bidi="ar-SA"/>
        </w:rPr>
      </w:pPr>
      <w:r>
        <w:rPr>
          <w:rFonts w:hint="eastAsia" w:ascii="仿宋_GB2312" w:hAnsi="仿宋_GB2312" w:eastAsia="仿宋_GB2312" w:cs="仿宋_GB2312"/>
          <w:b/>
          <w:bCs/>
          <w:color w:val="000000"/>
          <w:spacing w:val="0"/>
          <w:kern w:val="1"/>
          <w:sz w:val="32"/>
          <w:szCs w:val="32"/>
          <w:highlight w:val="none"/>
          <w:lang w:val="en-US" w:eastAsia="zh-CN"/>
        </w:rPr>
        <w:t>聚焦重点，服务发展。</w:t>
      </w:r>
      <w:r>
        <w:rPr>
          <w:rFonts w:hint="eastAsia" w:ascii="仿宋_GB2312" w:hAnsi="仿宋_GB2312" w:eastAsia="仿宋_GB2312" w:cs="仿宋_GB2312"/>
          <w:color w:val="000000"/>
          <w:kern w:val="1"/>
          <w:sz w:val="32"/>
          <w:szCs w:val="32"/>
          <w:lang w:val="en-US" w:eastAsia="zh-CN"/>
        </w:rPr>
        <w:t>全年统筹安排科技创新、人才发展、招商引资等各类补助资金2.7亿元，有效支持产业发展。</w:t>
      </w:r>
      <w:r>
        <w:rPr>
          <w:rFonts w:hint="eastAsia" w:ascii="仿宋_GB2312" w:hAnsi="仿宋_GB2312" w:eastAsia="仿宋_GB2312" w:cs="仿宋_GB2312"/>
          <w:b/>
          <w:bCs/>
          <w:color w:val="000000"/>
          <w:spacing w:val="0"/>
          <w:kern w:val="1"/>
          <w:sz w:val="32"/>
          <w:szCs w:val="32"/>
          <w:lang w:val="en-US" w:eastAsia="zh-CN"/>
        </w:rPr>
        <w:t>以民为本，</w:t>
      </w:r>
      <w:r>
        <w:rPr>
          <w:rFonts w:hint="eastAsia" w:ascii="仿宋_GB2312" w:hAnsi="仿宋_GB2312" w:eastAsia="仿宋_GB2312" w:cs="仿宋_GB2312"/>
          <w:b/>
          <w:bCs/>
          <w:color w:val="000000"/>
          <w:spacing w:val="0"/>
          <w:kern w:val="1"/>
          <w:sz w:val="32"/>
          <w:szCs w:val="32"/>
          <w:highlight w:val="none"/>
          <w:lang w:val="en-US" w:eastAsia="zh-CN"/>
        </w:rPr>
        <w:t>尽力而为。</w:t>
      </w:r>
      <w:r>
        <w:rPr>
          <w:rFonts w:hint="eastAsia" w:ascii="仿宋_GB2312" w:hAnsi="仿宋_GB2312" w:eastAsia="仿宋_GB2312" w:cs="仿宋_GB2312"/>
          <w:color w:val="000000"/>
          <w:sz w:val="32"/>
          <w:szCs w:val="32"/>
          <w:highlight w:val="none"/>
          <w:lang w:eastAsia="zh-CN"/>
        </w:rPr>
        <w:t>全年</w:t>
      </w:r>
      <w:r>
        <w:rPr>
          <w:rFonts w:hint="eastAsia" w:ascii="仿宋_GB2312" w:hAnsi="仿宋_GB2312" w:eastAsia="仿宋_GB2312" w:cs="仿宋_GB2312"/>
          <w:color w:val="000000"/>
          <w:sz w:val="32"/>
          <w:szCs w:val="32"/>
          <w:highlight w:val="none"/>
        </w:rPr>
        <w:t>民生支出</w:t>
      </w:r>
      <w:r>
        <w:rPr>
          <w:rFonts w:hint="eastAsia" w:ascii="仿宋_GB2312" w:hAnsi="仿宋_GB2312" w:eastAsia="仿宋_GB2312" w:cs="仿宋_GB2312"/>
          <w:color w:val="000000"/>
          <w:sz w:val="32"/>
          <w:szCs w:val="32"/>
          <w:highlight w:val="none"/>
          <w:lang w:eastAsia="zh-CN"/>
        </w:rPr>
        <w:t>达到</w:t>
      </w:r>
      <w:r>
        <w:rPr>
          <w:rFonts w:hint="eastAsia" w:ascii="仿宋_GB2312" w:hAnsi="仿宋_GB2312" w:eastAsia="仿宋_GB2312" w:cs="仿宋_GB2312"/>
          <w:color w:val="000000"/>
          <w:sz w:val="32"/>
          <w:szCs w:val="32"/>
          <w:highlight w:val="none"/>
          <w:lang w:val="en-US" w:eastAsia="zh-CN"/>
        </w:rPr>
        <w:t>16.43亿</w:t>
      </w:r>
      <w:r>
        <w:rPr>
          <w:rFonts w:hint="eastAsia" w:ascii="仿宋_GB2312" w:hAnsi="仿宋_GB2312" w:eastAsia="仿宋_GB2312" w:cs="仿宋_GB2312"/>
          <w:color w:val="000000"/>
          <w:sz w:val="32"/>
          <w:szCs w:val="32"/>
          <w:highlight w:val="none"/>
        </w:rPr>
        <w:t>元，占一般公共预算支出比重</w:t>
      </w:r>
      <w:r>
        <w:rPr>
          <w:rFonts w:hint="eastAsia" w:ascii="仿宋_GB2312" w:hAnsi="仿宋_GB2312" w:eastAsia="仿宋_GB2312" w:cs="仿宋_GB2312"/>
          <w:color w:val="000000"/>
          <w:sz w:val="32"/>
          <w:szCs w:val="32"/>
          <w:highlight w:val="none"/>
          <w:lang w:eastAsia="zh-CN"/>
        </w:rPr>
        <w:t>达到</w:t>
      </w:r>
      <w:r>
        <w:rPr>
          <w:rFonts w:hint="eastAsia" w:ascii="仿宋_GB2312" w:hAnsi="仿宋_GB2312" w:eastAsia="仿宋_GB2312" w:cs="仿宋_GB2312"/>
          <w:color w:val="000000"/>
          <w:sz w:val="32"/>
          <w:szCs w:val="32"/>
          <w:highlight w:val="none"/>
          <w:lang w:val="en-US" w:eastAsia="zh-CN"/>
        </w:rPr>
        <w:t>82.74%，其中</w:t>
      </w:r>
      <w:r>
        <w:rPr>
          <w:rFonts w:hint="eastAsia" w:ascii="仿宋_GB2312" w:hAnsi="仿宋_GB2312" w:eastAsia="仿宋_GB2312" w:cs="仿宋_GB2312"/>
          <w:b w:val="0"/>
          <w:bCs w:val="0"/>
          <w:color w:val="000000"/>
          <w:spacing w:val="0"/>
          <w:kern w:val="2"/>
          <w:sz w:val="32"/>
          <w:szCs w:val="32"/>
          <w:highlight w:val="none"/>
          <w:lang w:val="en-US" w:eastAsia="zh-CN" w:bidi="ar-SA"/>
        </w:rPr>
        <w:t>社会保障、卫生健康、节能环保、交通运输支出增幅分别达到25.09%、87.37%、43.08%、48.7%。企业基本养老保险基本养老金实现“十九连涨”，城乡居民基本养老保险基本养老金实现“八连涨”，城乡居民医疗保险财政补助较2022年提高30元/人，计生家庭特别扶助标准提高150元/人/月。统筹安排资金1.03亿元，用于完善医疗卫生服务体系、健康石峰建设、保障基层医疗机构和疫情支出等卫生健康事业发展。全面推进教育事业优质均衡发展，教育支出较上年增加1300万元，占一般公共预算支出比例达到18.11%，高于全省平均水平。</w:t>
      </w:r>
    </w:p>
    <w:p>
      <w:pPr>
        <w:pStyle w:val="3"/>
        <w:keepNext w:val="0"/>
        <w:keepLines w:val="0"/>
        <w:pageBreakBefore w:val="0"/>
        <w:widowControl w:val="0"/>
        <w:kinsoku/>
        <w:wordWrap/>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b/>
          <w:bCs/>
          <w:color w:val="000000"/>
          <w:spacing w:val="0"/>
          <w:kern w:val="2"/>
          <w:sz w:val="32"/>
          <w:szCs w:val="32"/>
          <w:lang w:val="en-US" w:eastAsia="zh-CN" w:bidi="ar-SA"/>
        </w:rPr>
        <w:t>3</w:t>
      </w:r>
      <w:r>
        <w:rPr>
          <w:rFonts w:hint="eastAsia" w:ascii="仿宋_GB2312" w:hAnsi="仿宋_GB2312" w:eastAsia="仿宋_GB2312" w:cs="仿宋_GB2312"/>
          <w:b/>
          <w:color w:val="000000"/>
          <w:szCs w:val="32"/>
          <w:lang w:val="en-US" w:eastAsia="zh-CN"/>
        </w:rPr>
        <w:t>．</w:t>
      </w:r>
      <w:r>
        <w:rPr>
          <w:rFonts w:hint="eastAsia" w:ascii="仿宋_GB2312" w:hAnsi="仿宋_GB2312" w:eastAsia="仿宋_GB2312" w:cs="仿宋_GB2312"/>
          <w:b/>
          <w:bCs/>
          <w:color w:val="000000"/>
          <w:spacing w:val="0"/>
          <w:kern w:val="2"/>
          <w:sz w:val="32"/>
          <w:szCs w:val="32"/>
          <w:lang w:val="en-US" w:eastAsia="zh-CN" w:bidi="ar-SA"/>
        </w:rPr>
        <w:t>在“新”字中做强的管理，财政效能实现了优化提升。</w:t>
      </w:r>
      <w:r>
        <w:rPr>
          <w:rFonts w:hint="eastAsia" w:ascii="仿宋_GB2312" w:hAnsi="仿宋_GB2312" w:eastAsia="仿宋_GB2312" w:cs="仿宋_GB2312"/>
          <w:b/>
          <w:bCs/>
          <w:color w:val="000000"/>
          <w:spacing w:val="0"/>
          <w:kern w:val="1"/>
          <w:sz w:val="32"/>
          <w:szCs w:val="32"/>
          <w:highlight w:val="none"/>
          <w:lang w:val="en-US" w:eastAsia="zh-CN" w:bidi="ar-SA"/>
        </w:rPr>
        <w:t>强化国资监管。</w:t>
      </w:r>
      <w:r>
        <w:rPr>
          <w:rFonts w:hint="eastAsia" w:ascii="仿宋_GB2312" w:hAnsi="仿宋_GB2312" w:eastAsia="仿宋_GB2312" w:cs="仿宋_GB2312"/>
          <w:color w:val="000000"/>
          <w:spacing w:val="0"/>
          <w:kern w:val="1"/>
          <w:sz w:val="32"/>
          <w:szCs w:val="32"/>
          <w:highlight w:val="none"/>
          <w:lang w:val="en-US" w:eastAsia="zh-CN" w:bidi="ar-SA"/>
        </w:rPr>
        <w:t>出台《区属国有企业重大事项监督管理办法（试行）》，对区属国有企业重大事项优化至8大类，调整投资项目、资产购置及处置、人事及薪酬管理等监管事项，理顺国资管理机制，规范国有企业决策行为。</w:t>
      </w:r>
      <w:r>
        <w:rPr>
          <w:rFonts w:hint="eastAsia" w:ascii="仿宋_GB2312" w:hAnsi="仿宋_GB2312" w:eastAsia="仿宋_GB2312" w:cs="仿宋_GB2312"/>
          <w:b/>
          <w:bCs/>
          <w:color w:val="000000"/>
          <w:spacing w:val="0"/>
          <w:kern w:val="1"/>
          <w:sz w:val="32"/>
          <w:szCs w:val="32"/>
          <w:highlight w:val="none"/>
          <w:lang w:val="en-US" w:eastAsia="zh-CN"/>
        </w:rPr>
        <w:t>强化资源整合。</w:t>
      </w:r>
      <w:r>
        <w:rPr>
          <w:rFonts w:hint="eastAsia" w:ascii="仿宋_GB2312" w:hAnsi="仿宋_GB2312" w:eastAsia="仿宋_GB2312" w:cs="仿宋_GB2312"/>
          <w:color w:val="000000"/>
          <w:kern w:val="2"/>
          <w:sz w:val="32"/>
          <w:szCs w:val="32"/>
          <w:lang w:val="en-US" w:eastAsia="zh-CN" w:bidi="ar-SA"/>
        </w:rPr>
        <w:t>将闲置的新明小学</w:t>
      </w:r>
      <w:r>
        <w:rPr>
          <w:rFonts w:hint="eastAsia" w:ascii="仿宋_GB2312" w:hAnsi="仿宋_GB2312" w:eastAsia="仿宋_GB2312" w:cs="仿宋_GB2312"/>
          <w:b w:val="0"/>
          <w:bCs w:val="0"/>
          <w:i w:val="0"/>
          <w:iCs w:val="0"/>
          <w:caps w:val="0"/>
          <w:color w:val="000000"/>
          <w:spacing w:val="0"/>
          <w:sz w:val="32"/>
          <w:szCs w:val="32"/>
          <w:lang w:val="en-US" w:eastAsia="zh-CN"/>
        </w:rPr>
        <w:t>盘活改建成消防站</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val="0"/>
          <w:bCs w:val="0"/>
          <w:i w:val="0"/>
          <w:iCs w:val="0"/>
          <w:caps w:val="0"/>
          <w:color w:val="000000"/>
          <w:spacing w:val="0"/>
          <w:sz w:val="32"/>
          <w:szCs w:val="32"/>
          <w:lang w:val="en-US" w:eastAsia="zh-CN"/>
        </w:rPr>
        <w:t>仅投入改造费用160万元，打通了田心片区消防救援的“最后一公里”，节约基建投入2000万元。</w:t>
      </w:r>
      <w:r>
        <w:rPr>
          <w:rFonts w:hint="eastAsia" w:ascii="仿宋_GB2312" w:hAnsi="仿宋_GB2312" w:eastAsia="仿宋_GB2312" w:cs="仿宋_GB2312"/>
          <w:color w:val="000000"/>
          <w:spacing w:val="0"/>
          <w:kern w:val="1"/>
          <w:sz w:val="32"/>
          <w:szCs w:val="32"/>
          <w:highlight w:val="none"/>
          <w:lang w:val="en-US" w:eastAsia="zh-CN" w:bidi="ar-SA"/>
        </w:rPr>
        <w:t>深入挖掘国有资源有偿使用收入潜力，打造九郎山森林公园生态文旅项目，实现特许经营权有偿转让收益8.1亿元，入库1.8亿元。</w:t>
      </w:r>
      <w:r>
        <w:rPr>
          <w:rFonts w:hint="eastAsia" w:ascii="仿宋_GB2312" w:hAnsi="仿宋_GB2312" w:eastAsia="仿宋_GB2312" w:cs="仿宋_GB2312"/>
          <w:b/>
          <w:bCs/>
          <w:color w:val="000000"/>
          <w:spacing w:val="0"/>
          <w:kern w:val="1"/>
          <w:sz w:val="32"/>
          <w:szCs w:val="32"/>
          <w:highlight w:val="none"/>
          <w:lang w:val="en-US" w:eastAsia="zh-CN" w:bidi="ar-SA"/>
        </w:rPr>
        <w:t>强化财会监督。</w:t>
      </w:r>
      <w:r>
        <w:rPr>
          <w:rFonts w:hint="eastAsia" w:ascii="仿宋_GB2312" w:hAnsi="仿宋_GB2312" w:eastAsia="仿宋_GB2312" w:cs="仿宋_GB2312"/>
          <w:color w:val="000000"/>
          <w:spacing w:val="0"/>
          <w:kern w:val="1"/>
          <w:sz w:val="32"/>
          <w:szCs w:val="32"/>
          <w:highlight w:val="none"/>
          <w:lang w:val="en-US" w:eastAsia="zh-CN" w:bidi="ar-SA"/>
        </w:rPr>
        <w:t>建立“纪巡财审”联动监</w:t>
      </w:r>
      <w:r>
        <w:rPr>
          <w:rFonts w:hint="eastAsia" w:ascii="仿宋_GB2312" w:hAnsi="仿宋_GB2312" w:eastAsia="仿宋_GB2312" w:cs="仿宋_GB2312"/>
          <w:color w:val="000000"/>
          <w:spacing w:val="0"/>
          <w:kern w:val="1"/>
          <w:sz w:val="32"/>
          <w:szCs w:val="32"/>
          <w:lang w:val="en-US" w:eastAsia="zh-CN" w:bidi="ar-SA"/>
        </w:rPr>
        <w:t>督工作机制，</w:t>
      </w:r>
      <w:r>
        <w:rPr>
          <w:rFonts w:hint="eastAsia" w:ascii="仿宋_GB2312" w:hAnsi="仿宋_GB2312" w:eastAsia="仿宋_GB2312" w:cs="仿宋_GB2312"/>
          <w:color w:val="000000"/>
          <w:spacing w:val="0"/>
          <w:kern w:val="1"/>
          <w:sz w:val="32"/>
          <w:szCs w:val="32"/>
          <w:highlight w:val="none"/>
          <w:lang w:val="en-US" w:eastAsia="zh-CN" w:bidi="ar-SA"/>
        </w:rPr>
        <w:t>构建多维度、立体化的监管格局，</w:t>
      </w:r>
      <w:r>
        <w:rPr>
          <w:rFonts w:hint="eastAsia" w:ascii="仿宋_GB2312" w:hAnsi="仿宋_GB2312" w:eastAsia="仿宋_GB2312" w:cs="仿宋_GB2312"/>
          <w:color w:val="000000"/>
          <w:spacing w:val="0"/>
          <w:kern w:val="1"/>
          <w:sz w:val="32"/>
          <w:szCs w:val="32"/>
          <w:lang w:val="en-US" w:eastAsia="zh-CN" w:bidi="ar-SA"/>
        </w:rPr>
        <w:t>加强区域内协同监管。严肃财经纪律，制定《石峰区突破财经纪律“红线”风险明白卡》，整理归类五十条风险提示点，让财经纪律成为“带电的高压线”。</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bCs/>
          <w:color w:val="000000"/>
          <w:spacing w:val="0"/>
          <w:kern w:val="2"/>
          <w:sz w:val="32"/>
          <w:szCs w:val="32"/>
          <w:lang w:val="en-US" w:eastAsia="zh-CN" w:bidi="ar-SA"/>
        </w:rPr>
        <w:t>4</w:t>
      </w:r>
      <w:r>
        <w:rPr>
          <w:rFonts w:hint="eastAsia" w:ascii="仿宋_GB2312" w:hAnsi="仿宋_GB2312" w:eastAsia="仿宋_GB2312" w:cs="仿宋_GB2312"/>
          <w:b/>
          <w:color w:val="000000"/>
          <w:szCs w:val="32"/>
          <w:lang w:val="en-US" w:eastAsia="zh-CN"/>
        </w:rPr>
        <w:t>．</w:t>
      </w:r>
      <w:r>
        <w:rPr>
          <w:rFonts w:hint="eastAsia" w:ascii="仿宋_GB2312" w:hAnsi="仿宋_GB2312" w:eastAsia="仿宋_GB2312" w:cs="仿宋_GB2312"/>
          <w:b/>
          <w:bCs/>
          <w:color w:val="000000"/>
          <w:spacing w:val="0"/>
          <w:kern w:val="2"/>
          <w:sz w:val="32"/>
          <w:szCs w:val="32"/>
          <w:lang w:val="en-US" w:eastAsia="zh-CN" w:bidi="ar-SA"/>
        </w:rPr>
        <w:t>在“严”字中做实的举措，重大风险实现了有效防控。</w:t>
      </w:r>
      <w:r>
        <w:rPr>
          <w:rFonts w:hint="eastAsia" w:ascii="仿宋_GB2312" w:hAnsi="仿宋_GB2312" w:eastAsia="仿宋_GB2312" w:cs="仿宋_GB2312"/>
          <w:b/>
          <w:bCs w:val="0"/>
          <w:color w:val="000000"/>
          <w:spacing w:val="0"/>
          <w:kern w:val="1"/>
          <w:sz w:val="32"/>
          <w:szCs w:val="32"/>
          <w:highlight w:val="none"/>
          <w:lang w:val="en-US" w:eastAsia="zh-CN"/>
        </w:rPr>
        <w:t>隐性债务不新增</w:t>
      </w:r>
      <w:r>
        <w:rPr>
          <w:rFonts w:hint="eastAsia" w:ascii="仿宋_GB2312" w:hAnsi="仿宋_GB2312" w:eastAsia="仿宋_GB2312" w:cs="仿宋_GB2312"/>
          <w:b/>
          <w:bCs/>
          <w:color w:val="000000"/>
          <w:spacing w:val="0"/>
          <w:kern w:val="1"/>
          <w:sz w:val="32"/>
          <w:szCs w:val="32"/>
          <w:lang w:val="en-US" w:eastAsia="zh-CN"/>
        </w:rPr>
        <w:t>。</w:t>
      </w:r>
      <w:r>
        <w:rPr>
          <w:rFonts w:hint="eastAsia" w:ascii="仿宋_GB2312" w:hAnsi="仿宋_GB2312" w:eastAsia="仿宋_GB2312" w:cs="仿宋_GB2312"/>
          <w:color w:val="000000"/>
          <w:spacing w:val="0"/>
          <w:sz w:val="32"/>
          <w:szCs w:val="32"/>
          <w:highlight w:val="none"/>
          <w:lang w:val="en-US" w:eastAsia="zh-CN"/>
        </w:rPr>
        <w:t>守牢“隐性债务不新增”底线，</w:t>
      </w:r>
      <w:r>
        <w:rPr>
          <w:rFonts w:hint="eastAsia" w:ascii="仿宋_GB2312" w:hAnsi="仿宋_GB2312" w:eastAsia="仿宋_GB2312" w:cs="仿宋_GB2312"/>
          <w:b w:val="0"/>
          <w:bCs w:val="0"/>
          <w:color w:val="000000"/>
          <w:spacing w:val="0"/>
          <w:sz w:val="32"/>
          <w:szCs w:val="32"/>
          <w:highlight w:val="none"/>
          <w:lang w:val="en-US" w:eastAsia="zh-CN"/>
        </w:rPr>
        <w:t>抓好以</w:t>
      </w:r>
      <w:r>
        <w:rPr>
          <w:rFonts w:hint="eastAsia" w:ascii="仿宋_GB2312" w:hAnsi="仿宋_GB2312" w:eastAsia="仿宋_GB2312" w:cs="仿宋_GB2312"/>
          <w:color w:val="000000"/>
          <w:spacing w:val="0"/>
          <w:sz w:val="32"/>
          <w:szCs w:val="32"/>
          <w:highlight w:val="none"/>
          <w:lang w:val="en-US" w:eastAsia="zh-CN"/>
        </w:rPr>
        <w:t>资金来源审核为重点的</w:t>
      </w:r>
      <w:r>
        <w:rPr>
          <w:rFonts w:hint="eastAsia" w:ascii="仿宋_GB2312" w:hAnsi="仿宋_GB2312" w:eastAsia="仿宋_GB2312" w:cs="仿宋_GB2312"/>
          <w:b w:val="0"/>
          <w:bCs w:val="0"/>
          <w:color w:val="000000"/>
          <w:spacing w:val="0"/>
          <w:sz w:val="32"/>
          <w:szCs w:val="32"/>
          <w:highlight w:val="none"/>
          <w:lang w:val="en-US" w:eastAsia="zh-CN"/>
        </w:rPr>
        <w:t>项目立项审批。提前落实合规的化债资金来源或缓释措施，积极争取财政部降低债务风险政策支持。</w:t>
      </w:r>
      <w:r>
        <w:rPr>
          <w:rFonts w:hint="eastAsia" w:ascii="仿宋_GB2312" w:hAnsi="仿宋_GB2312" w:eastAsia="仿宋_GB2312" w:cs="仿宋_GB2312"/>
          <w:b/>
          <w:bCs/>
          <w:color w:val="000000"/>
          <w:spacing w:val="0"/>
          <w:sz w:val="32"/>
          <w:szCs w:val="32"/>
          <w:highlight w:val="none"/>
          <w:lang w:val="en-US" w:eastAsia="zh-CN"/>
        </w:rPr>
        <w:t>债务风险不爆雷。</w:t>
      </w:r>
      <w:r>
        <w:rPr>
          <w:rFonts w:hint="eastAsia" w:ascii="仿宋_GB2312" w:hAnsi="仿宋_GB2312" w:eastAsia="仿宋_GB2312" w:cs="仿宋_GB2312"/>
          <w:b w:val="0"/>
          <w:bCs w:val="0"/>
          <w:color w:val="000000"/>
          <w:spacing w:val="0"/>
          <w:sz w:val="32"/>
          <w:szCs w:val="32"/>
          <w:highlight w:val="none"/>
          <w:lang w:val="en-US" w:eastAsia="zh-CN"/>
        </w:rPr>
        <w:t>制定“一债一策”还款措施，在偿债高峰期时，实行一个项目、一位县级领导、一位区直部门负责人和公司高管及经办人形成AB角，逐笔攻坚克难。</w:t>
      </w:r>
      <w:r>
        <w:rPr>
          <w:rFonts w:hint="eastAsia" w:ascii="仿宋_GB2312" w:hAnsi="仿宋_GB2312" w:eastAsia="仿宋_GB2312" w:cs="仿宋_GB2312"/>
          <w:b/>
          <w:bCs/>
          <w:color w:val="000000"/>
          <w:spacing w:val="0"/>
          <w:sz w:val="32"/>
          <w:szCs w:val="32"/>
          <w:highlight w:val="none"/>
          <w:lang w:val="en-US" w:eastAsia="zh-CN"/>
        </w:rPr>
        <w:t>“三保”支出不断链。</w:t>
      </w:r>
      <w:r>
        <w:rPr>
          <w:rFonts w:hint="eastAsia" w:ascii="仿宋_GB2312" w:hAnsi="仿宋_GB2312" w:eastAsia="仿宋_GB2312" w:cs="仿宋_GB2312"/>
          <w:color w:val="000000"/>
          <w:spacing w:val="0"/>
          <w:kern w:val="1"/>
          <w:sz w:val="32"/>
          <w:szCs w:val="32"/>
          <w:lang w:val="en-US" w:eastAsia="zh-CN"/>
        </w:rPr>
        <w:t>坚持“三保”支出在财政支出中的优先顺序，加强“三保”运行情况日常分析与评估，不留硬缺口。</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（二）项目支出绩效情况</w:t>
      </w:r>
    </w:p>
    <w:p>
      <w:pPr>
        <w:pStyle w:val="11"/>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项目“</w:t>
      </w:r>
      <w:r>
        <w:rPr>
          <w:rFonts w:hint="eastAsia" w:ascii="仿宋_GB2312" w:hAnsi="仿宋_GB2312" w:eastAsia="仿宋_GB2312" w:cs="仿宋_GB2312"/>
          <w:b/>
          <w:bCs/>
          <w:color w:val="auto"/>
          <w:kern w:val="2"/>
          <w:sz w:val="32"/>
          <w:szCs w:val="32"/>
          <w:lang w:val="en-US" w:eastAsia="zh-CN" w:bidi="ar-SA"/>
        </w:rPr>
        <w:t>业务性专项</w:t>
      </w:r>
      <w:r>
        <w:rPr>
          <w:rFonts w:hint="eastAsia" w:ascii="仿宋_GB2312" w:hAnsi="仿宋_GB2312" w:eastAsia="仿宋_GB2312" w:cs="仿宋_GB2312"/>
          <w:b/>
          <w:bCs/>
          <w:color w:val="auto"/>
          <w:sz w:val="32"/>
          <w:szCs w:val="32"/>
        </w:rPr>
        <w:t>”年初预算金额</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万元，年中调增</w:t>
      </w:r>
      <w:r>
        <w:rPr>
          <w:rFonts w:hint="eastAsia" w:ascii="仿宋_GB2312" w:hAnsi="仿宋_GB2312" w:eastAsia="仿宋_GB2312" w:cs="仿宋_GB2312"/>
          <w:b/>
          <w:bCs/>
          <w:color w:val="auto"/>
          <w:sz w:val="32"/>
          <w:szCs w:val="32"/>
          <w:lang w:val="en-US" w:eastAsia="zh-CN"/>
        </w:rPr>
        <w:t>17.91</w:t>
      </w:r>
      <w:r>
        <w:rPr>
          <w:rFonts w:hint="eastAsia" w:ascii="仿宋_GB2312" w:hAnsi="仿宋_GB2312" w:eastAsia="仿宋_GB2312" w:cs="仿宋_GB2312"/>
          <w:b/>
          <w:bCs/>
          <w:color w:val="auto"/>
          <w:sz w:val="32"/>
          <w:szCs w:val="32"/>
        </w:rPr>
        <w:t>万元，实际支出</w:t>
      </w:r>
      <w:r>
        <w:rPr>
          <w:rFonts w:hint="eastAsia" w:ascii="仿宋_GB2312" w:hAnsi="仿宋_GB2312" w:eastAsia="仿宋_GB2312" w:cs="仿宋_GB2312"/>
          <w:b/>
          <w:bCs/>
          <w:color w:val="auto"/>
          <w:sz w:val="32"/>
          <w:szCs w:val="32"/>
          <w:lang w:val="en-US" w:eastAsia="zh-CN"/>
        </w:rPr>
        <w:t>25.91</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项目实施及绩效情况如下：</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（1）绩效监督</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2"/>
          <w:lang w:val="en-US" w:eastAsia="zh-CN" w:bidi="ar-SA"/>
        </w:rPr>
        <w:t>项目支出11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color w:val="000000"/>
          <w:spacing w:val="0"/>
          <w:kern w:val="1"/>
          <w:sz w:val="32"/>
          <w:szCs w:val="32"/>
          <w:highlight w:val="none"/>
          <w:lang w:val="en-US" w:eastAsia="zh-CN" w:bidi="ar-SA"/>
        </w:rPr>
        <w:t>建</w:t>
      </w:r>
      <w:r>
        <w:rPr>
          <w:rFonts w:hint="eastAsia" w:ascii="仿宋_GB2312" w:hAnsi="仿宋_GB2312" w:eastAsia="仿宋_GB2312" w:cs="仿宋_GB2312"/>
          <w:sz w:val="32"/>
          <w:szCs w:val="32"/>
          <w:lang w:val="en-US" w:eastAsia="zh-CN"/>
        </w:rPr>
        <w:t>立“纪巡财审”联动监督工作机制，构建多维度、立体化的监管格局，加强区域内协同监管。严肃财经纪律，制定《石峰区突破财经纪律“红线”风险明白卡》，整理归类五十条风险提示点，让财经纪律成为“带电的高压线”。聘请第三方中介机构对田心、响石玲片区老旧小区市政环卫配套基础设施项目、井龙街道部门整体绩效评价、学前教育发展专项资金、义务教育薄弱环节改造专项资金等项目进行年度绩效评价。通过绩效评价，加强了项目资金监督，提升了资金的使用效率。</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（2）财政系统运维</w:t>
      </w:r>
    </w:p>
    <w:p>
      <w:pPr>
        <w:pStyle w:val="13"/>
        <w:keepNext w:val="0"/>
        <w:keepLines w:val="0"/>
        <w:pageBreakBefore w:val="0"/>
        <w:kinsoku/>
        <w:overflowPunct/>
        <w:topLinePunct w:val="0"/>
        <w:autoSpaceDE/>
        <w:autoSpaceDN/>
        <w:bidi w:val="0"/>
        <w:spacing w:line="560" w:lineRule="exact"/>
        <w:ind w:left="0" w:leftChars="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项目支出14.91万元。主要用于</w:t>
      </w:r>
      <w:r>
        <w:rPr>
          <w:rFonts w:hint="eastAsia" w:ascii="仿宋_GB2312" w:hAnsi="仿宋_GB2312" w:eastAsia="仿宋_GB2312" w:cs="仿宋_GB2312"/>
          <w:color w:val="auto"/>
          <w:kern w:val="2"/>
          <w:sz w:val="32"/>
          <w:szCs w:val="32"/>
          <w:lang w:val="en-US" w:eastAsia="zh-CN" w:bidi="ar-SA"/>
        </w:rPr>
        <w:t>保障财政系统运行，促进工作正常开展，系统运行维护及相关工作经费。</w:t>
      </w:r>
    </w:p>
    <w:p>
      <w:pPr>
        <w:pStyle w:val="11"/>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年中追加</w:t>
      </w:r>
      <w:r>
        <w:rPr>
          <w:rFonts w:hint="eastAsia" w:ascii="仿宋_GB2312" w:hAnsi="仿宋_GB2312" w:eastAsia="仿宋_GB2312" w:cs="仿宋_GB2312"/>
          <w:b/>
          <w:bCs/>
          <w:color w:val="auto"/>
          <w:sz w:val="32"/>
          <w:szCs w:val="32"/>
        </w:rPr>
        <w:t>项目金额</w:t>
      </w:r>
      <w:r>
        <w:rPr>
          <w:rFonts w:hint="eastAsia" w:ascii="仿宋_GB2312" w:hAnsi="仿宋_GB2312" w:eastAsia="仿宋_GB2312" w:cs="仿宋_GB2312"/>
          <w:b/>
          <w:bCs/>
          <w:color w:val="auto"/>
          <w:sz w:val="32"/>
          <w:szCs w:val="32"/>
          <w:lang w:val="en-US" w:eastAsia="zh-CN"/>
        </w:rPr>
        <w:t>261.23</w:t>
      </w:r>
      <w:r>
        <w:rPr>
          <w:rFonts w:hint="eastAsia" w:ascii="仿宋_GB2312" w:hAnsi="仿宋_GB2312" w:eastAsia="仿宋_GB2312" w:cs="仿宋_GB2312"/>
          <w:b/>
          <w:bCs/>
          <w:color w:val="auto"/>
          <w:sz w:val="32"/>
          <w:szCs w:val="32"/>
        </w:rPr>
        <w:t>万元，实际支出</w:t>
      </w:r>
      <w:r>
        <w:rPr>
          <w:rFonts w:hint="eastAsia" w:ascii="仿宋_GB2312" w:hAnsi="仿宋_GB2312" w:eastAsia="仿宋_GB2312" w:cs="仿宋_GB2312"/>
          <w:b/>
          <w:bCs/>
          <w:color w:val="auto"/>
          <w:sz w:val="32"/>
          <w:szCs w:val="32"/>
          <w:lang w:val="en-US" w:eastAsia="zh-CN"/>
        </w:rPr>
        <w:t>189.3</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，结余</w:t>
      </w:r>
      <w:r>
        <w:rPr>
          <w:rFonts w:hint="eastAsia" w:ascii="仿宋_GB2312" w:hAnsi="仿宋_GB2312" w:eastAsia="仿宋_GB2312" w:cs="仿宋_GB2312"/>
          <w:b/>
          <w:bCs/>
          <w:color w:val="auto"/>
          <w:sz w:val="32"/>
          <w:szCs w:val="32"/>
          <w:lang w:val="en-US" w:eastAsia="zh-CN"/>
        </w:rPr>
        <w:t>71.93万元</w:t>
      </w:r>
      <w:r>
        <w:rPr>
          <w:rFonts w:hint="eastAsia" w:ascii="仿宋_GB2312" w:hAnsi="仿宋_GB2312" w:eastAsia="仿宋_GB2312" w:cs="仿宋_GB2312"/>
          <w:b/>
          <w:bCs/>
          <w:color w:val="auto"/>
          <w:sz w:val="32"/>
          <w:szCs w:val="32"/>
        </w:rPr>
        <w:t>。项目实施及绩效情况如下：</w:t>
      </w:r>
    </w:p>
    <w:p>
      <w:pPr>
        <w:pStyle w:val="11"/>
        <w:keepNext w:val="0"/>
        <w:keepLines w:val="0"/>
        <w:pageBreakBefore w:val="0"/>
        <w:numPr>
          <w:ilvl w:val="0"/>
          <w:numId w:val="0"/>
        </w:numPr>
        <w:kinsoku/>
        <w:overflowPunct/>
        <w:topLinePunct w:val="0"/>
        <w:autoSpaceDE/>
        <w:autoSpaceDN/>
        <w:bidi w:val="0"/>
        <w:spacing w:line="560" w:lineRule="exact"/>
        <w:ind w:left="42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（1）财政系统干部教育培训经费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3.43万元，结余0万元。主要用于财政干部培训工作。搭建以股室（中心）为单位组织，全体财政干部参加的学习交流、能力锻炼“财经小讲堂”平台，围绕财政相关政策法规的学习和研讨，全面提升队伍整体素质，推动财政工作高质量发展，全局已开展4次“财经小讲堂活动”。</w:t>
      </w:r>
    </w:p>
    <w:p>
      <w:pPr>
        <w:pStyle w:val="11"/>
        <w:keepNext w:val="0"/>
        <w:keepLines w:val="0"/>
        <w:pageBreakBefore w:val="0"/>
        <w:numPr>
          <w:ilvl w:val="0"/>
          <w:numId w:val="0"/>
        </w:numPr>
        <w:kinsoku/>
        <w:overflowPunct/>
        <w:topLinePunct w:val="0"/>
        <w:autoSpaceDE/>
        <w:autoSpaceDN/>
        <w:bidi w:val="0"/>
        <w:spacing w:line="560" w:lineRule="exact"/>
        <w:ind w:left="420" w:leftChars="0"/>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（2）财政管理经费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项目支出157.28万元，结余57.22万元。“聚焦机制、聚焦重点、聚焦增收”推进财源建设工作；</w:t>
      </w:r>
      <w:r>
        <w:rPr>
          <w:rFonts w:hint="eastAsia" w:ascii="仿宋_GB2312" w:hAnsi="仿宋_GB2312" w:eastAsia="仿宋_GB2312" w:cs="仿宋_GB2312"/>
          <w:b w:val="0"/>
          <w:bCs w:val="0"/>
          <w:kern w:val="2"/>
          <w:sz w:val="32"/>
          <w:szCs w:val="32"/>
          <w:lang w:val="en-US" w:eastAsia="zh-CN" w:bidi="ar-SA"/>
        </w:rPr>
        <w:t>强化国资监管，</w:t>
      </w:r>
      <w:r>
        <w:rPr>
          <w:rFonts w:hint="eastAsia" w:ascii="仿宋_GB2312" w:hAnsi="仿宋_GB2312" w:eastAsia="仿宋_GB2312" w:cs="仿宋_GB2312"/>
          <w:kern w:val="2"/>
          <w:sz w:val="32"/>
          <w:szCs w:val="32"/>
          <w:lang w:val="en-US" w:eastAsia="zh-CN" w:bidi="ar-SA"/>
        </w:rPr>
        <w:t>出台《区属国有企业重大事项监督管理办法（试行）》，对区属国有企业重大事项优化至8大类，调整投资项目、资产购置及处置、人事及薪酬管理等监管事项，理顺国资管理机制，规范国有企业决策行为；</w:t>
      </w:r>
      <w:r>
        <w:rPr>
          <w:rFonts w:hint="eastAsia" w:ascii="仿宋" w:hAnsi="仿宋" w:eastAsia="仿宋" w:cs="仿宋"/>
          <w:sz w:val="32"/>
          <w:szCs w:val="32"/>
          <w:lang w:val="en-US" w:eastAsia="zh-CN"/>
        </w:rPr>
        <w:t>加强</w:t>
      </w:r>
      <w:r>
        <w:rPr>
          <w:rFonts w:hint="default" w:ascii="仿宋" w:hAnsi="仿宋" w:eastAsia="仿宋" w:cs="仿宋"/>
          <w:sz w:val="32"/>
          <w:szCs w:val="32"/>
          <w:lang w:val="en-US" w:eastAsia="zh-CN"/>
        </w:rPr>
        <w:t>财政投资评审管理</w:t>
      </w:r>
      <w:r>
        <w:rPr>
          <w:rFonts w:hint="eastAsia" w:ascii="仿宋" w:hAnsi="仿宋" w:eastAsia="仿宋" w:cs="仿宋"/>
          <w:sz w:val="32"/>
          <w:szCs w:val="32"/>
          <w:lang w:val="en-US" w:eastAsia="zh-CN"/>
        </w:rPr>
        <w:t>，不断提高评审质量，</w:t>
      </w:r>
      <w:r>
        <w:rPr>
          <w:rFonts w:hint="default" w:ascii="仿宋" w:hAnsi="仿宋" w:eastAsia="仿宋" w:cs="仿宋"/>
          <w:sz w:val="32"/>
          <w:szCs w:val="32"/>
          <w:lang w:val="en-US" w:eastAsia="zh-CN"/>
        </w:rPr>
        <w:t>出台</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《石峰区工程建设项目评审工作底稿》</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切实加强评审中介机构管理工作，出台</w:t>
      </w:r>
      <w:r>
        <w:rPr>
          <w:rFonts w:hint="eastAsia" w:ascii="仿宋" w:hAnsi="仿宋" w:eastAsia="仿宋" w:cs="仿宋"/>
          <w:sz w:val="32"/>
          <w:szCs w:val="32"/>
          <w:lang w:val="en-US" w:eastAsia="zh-CN"/>
        </w:rPr>
        <w:t>了《株洲市石峰区财政投资评审项目造价咨询中介机构管理办法》；完成预结算评审项目合计53个，其中预算评审项目26个，送审金额13791.73万元，审定金额11716.18万元，核减金额2075.55万元；结算审核项目27个，送审金额3493.87万元，审定金额3171.78万元，核减金额322.09万元。</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2"/>
          <w:sz w:val="32"/>
          <w:szCs w:val="32"/>
          <w:lang w:val="en-US" w:eastAsia="zh-CN" w:bidi="ar-SA"/>
        </w:rPr>
        <w:t>乡镇财政管理经费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10.8万元，结余6.2万元。主要用于全区8个镇街财政所各项财政收支监管，确保街道财政资金安全。开展省级先进财政所创建，推荐硬件设施达标，内部管理完善的云田镇财政所申报省级先进财政所建设。狠抓业务培训，组织全区160余名社区、村书记、报账员、财务人员就社区（村）财务知识、财政支农政策举办专题培训班，切实提高基层财务人员岗位履职能力；组织惠农补贴系统操作培训，减少系统操作差错率。开展清廉财政所建设，通过会议传达、检查提醒，宣传标牌等多种形式，将廉政教育在基层财政人员中入心入脑，让廉政教育在基层财政所开花结果。</w:t>
      </w:r>
    </w:p>
    <w:p>
      <w:pPr>
        <w:pStyle w:val="11"/>
        <w:keepNext w:val="0"/>
        <w:keepLines w:val="0"/>
        <w:pageBreakBefore w:val="0"/>
        <w:numPr>
          <w:ilvl w:val="0"/>
          <w:numId w:val="0"/>
        </w:numPr>
        <w:kinsoku/>
        <w:overflowPunct/>
        <w:topLinePunct w:val="0"/>
        <w:autoSpaceDE/>
        <w:autoSpaceDN/>
        <w:bidi w:val="0"/>
        <w:spacing w:line="560"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（4）代理记账</w:t>
      </w:r>
    </w:p>
    <w:p>
      <w:p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0万元。</w:t>
      </w:r>
      <w:r>
        <w:rPr>
          <w:rFonts w:hint="eastAsia" w:ascii="仿宋_GB2312" w:hAnsi="Times New Roman" w:eastAsia="仿宋_GB2312" w:cs="Times New Roman"/>
          <w:sz w:val="32"/>
          <w:szCs w:val="22"/>
        </w:rPr>
        <w:t>与32家预算单位签订代理记账委托合同协议书，根据《会计法》等法律法规和委托单位的要求，全面、真实、合法地开展预算单位各项委托代理记账业务。</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（5）债务管理经费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，结余</w:t>
      </w:r>
      <w:r>
        <w:rPr>
          <w:rFonts w:hint="eastAsia" w:ascii="仿宋_GB2312" w:hAnsi="仿宋_GB2312" w:eastAsia="仿宋_GB2312" w:cs="仿宋_GB2312"/>
          <w:sz w:val="32"/>
          <w:szCs w:val="32"/>
          <w:lang w:val="en-US" w:eastAsia="zh-CN"/>
        </w:rPr>
        <w:t>8.51万元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0"/>
          <w:sz w:val="32"/>
          <w:szCs w:val="32"/>
          <w:highlight w:val="none"/>
          <w:lang w:val="en-US" w:eastAsia="zh-CN"/>
        </w:rPr>
        <w:t>守牢“隐性债务不新增”底线，</w:t>
      </w:r>
      <w:r>
        <w:rPr>
          <w:rFonts w:hint="eastAsia" w:ascii="仿宋_GB2312" w:hAnsi="仿宋_GB2312" w:eastAsia="仿宋_GB2312" w:cs="仿宋_GB2312"/>
          <w:b w:val="0"/>
          <w:bCs w:val="0"/>
          <w:color w:val="000000"/>
          <w:spacing w:val="0"/>
          <w:sz w:val="32"/>
          <w:szCs w:val="32"/>
          <w:highlight w:val="none"/>
          <w:lang w:val="en-US" w:eastAsia="zh-CN"/>
        </w:rPr>
        <w:t>抓好以</w:t>
      </w:r>
      <w:r>
        <w:rPr>
          <w:rFonts w:hint="eastAsia" w:ascii="仿宋_GB2312" w:hAnsi="仿宋_GB2312" w:eastAsia="仿宋_GB2312" w:cs="仿宋_GB2312"/>
          <w:color w:val="000000"/>
          <w:spacing w:val="0"/>
          <w:sz w:val="32"/>
          <w:szCs w:val="32"/>
          <w:highlight w:val="none"/>
          <w:lang w:val="en-US" w:eastAsia="zh-CN"/>
        </w:rPr>
        <w:t>资金来源审核为重点的</w:t>
      </w:r>
      <w:r>
        <w:rPr>
          <w:rFonts w:hint="eastAsia" w:ascii="仿宋_GB2312" w:hAnsi="仿宋_GB2312" w:eastAsia="仿宋_GB2312" w:cs="仿宋_GB2312"/>
          <w:b w:val="0"/>
          <w:bCs w:val="0"/>
          <w:color w:val="000000"/>
          <w:spacing w:val="0"/>
          <w:sz w:val="32"/>
          <w:szCs w:val="32"/>
          <w:highlight w:val="none"/>
          <w:lang w:val="en-US" w:eastAsia="zh-CN"/>
        </w:rPr>
        <w:t>项目立项审批。提前落实合规的化</w:t>
      </w:r>
      <w:r>
        <w:rPr>
          <w:rFonts w:hint="eastAsia" w:ascii="仿宋_GB2312" w:hAnsi="仿宋_GB2312" w:eastAsia="仿宋_GB2312" w:cs="仿宋_GB2312"/>
          <w:sz w:val="32"/>
          <w:szCs w:val="32"/>
          <w:lang w:val="en-US" w:eastAsia="zh-CN"/>
        </w:rPr>
        <w:t>债资金来源或缓释措施，积极争取财政部降低债务风险政策支持。制定“一债一策”还款措施，在偿债高峰期时，实行一个项目、一位县级领导、一位区直部门负责人和公司高管及经办人形成AB角，逐笔攻坚克难。2023年债务率按财政部和省财政厅口径分别下降16个百分点和68个百分点。</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四、绩效管理存在的问题及下一步改进措施</w:t>
      </w:r>
    </w:p>
    <w:p>
      <w:pPr>
        <w:pStyle w:val="11"/>
        <w:keepNext w:val="0"/>
        <w:keepLines w:val="0"/>
        <w:pageBreakBefore w:val="0"/>
        <w:kinsoku/>
        <w:overflowPunct/>
        <w:topLinePunct w:val="0"/>
        <w:autoSpaceDE/>
        <w:autoSpaceDN/>
        <w:bidi w:val="0"/>
        <w:spacing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（一）缺乏对项目实施的监督和评估，应加强资金支出审核，对专项资金的使用管理及绩效情况进行跟踪检查，强化单位资产管理和使用。</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（二）存在有些项目年初预算不到位，应加强预算编制管理，重要项目支出必须进入年初预算，提高预算编制的合理性。</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eastAsia" w:ascii="Times New Roman" w:hAnsi="Times New Roman" w:eastAsia="黑体" w:cs="Times New Roman"/>
          <w:color w:val="auto"/>
          <w:sz w:val="32"/>
          <w:szCs w:val="32"/>
        </w:rPr>
        <w:t>其他需要说明的情况</w:t>
      </w:r>
    </w:p>
    <w:p>
      <w:pPr>
        <w:keepNext w:val="0"/>
        <w:keepLines w:val="0"/>
        <w:pageBreakBefore w:val="0"/>
        <w:tabs>
          <w:tab w:val="left" w:pos="7560"/>
        </w:tabs>
        <w:kinsoku/>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无其他需要说明的情况。</w:t>
      </w:r>
    </w:p>
    <w:p>
      <w:pPr>
        <w:numPr>
          <w:ilvl w:val="0"/>
          <w:numId w:val="0"/>
        </w:numPr>
        <w:ind w:left="635" w:leftChars="0" w:firstLine="210" w:firstLineChars="100"/>
        <w:rPr>
          <w:rFonts w:hint="default" w:ascii="Times New Roman" w:hAnsi="Times New Roman" w:cs="Times New Roman"/>
          <w:lang w:eastAsia="zh-CN"/>
        </w:rPr>
      </w:pPr>
    </w:p>
    <w:sectPr>
      <w:footerReference r:id="rId4" w:type="default"/>
      <w:pgSz w:w="11906" w:h="16838"/>
      <w:pgMar w:top="1644" w:right="1531" w:bottom="1587" w:left="1587" w:header="851" w:footer="1191"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N2Q4ZDE3MjkxNzA0YzIzYjhkMDEzZmE0N2VlNjcifQ=="/>
    <w:docVar w:name="KSO_WPS_MARK_KEY" w:val="4006a8b5-d1e6-434e-894d-151da78a7ca1"/>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3F86BEE"/>
    <w:rsid w:val="04270403"/>
    <w:rsid w:val="04A23AD7"/>
    <w:rsid w:val="04E8122B"/>
    <w:rsid w:val="05244B59"/>
    <w:rsid w:val="0552045F"/>
    <w:rsid w:val="07F26B0E"/>
    <w:rsid w:val="081D72B1"/>
    <w:rsid w:val="089E5151"/>
    <w:rsid w:val="08E475C6"/>
    <w:rsid w:val="09314228"/>
    <w:rsid w:val="09351A48"/>
    <w:rsid w:val="0942192E"/>
    <w:rsid w:val="094B57D3"/>
    <w:rsid w:val="09BB4712"/>
    <w:rsid w:val="0A443A42"/>
    <w:rsid w:val="0A6D78B3"/>
    <w:rsid w:val="0B466AC3"/>
    <w:rsid w:val="0C2E6972"/>
    <w:rsid w:val="0D5077BE"/>
    <w:rsid w:val="0D972270"/>
    <w:rsid w:val="0DA01BE2"/>
    <w:rsid w:val="0DAF708E"/>
    <w:rsid w:val="0EA03BB9"/>
    <w:rsid w:val="0EB809E8"/>
    <w:rsid w:val="0F74026E"/>
    <w:rsid w:val="0FB02EE6"/>
    <w:rsid w:val="103F11C1"/>
    <w:rsid w:val="10561432"/>
    <w:rsid w:val="10E71038"/>
    <w:rsid w:val="110C7443"/>
    <w:rsid w:val="11562771"/>
    <w:rsid w:val="11B2317C"/>
    <w:rsid w:val="11D90D72"/>
    <w:rsid w:val="132C7419"/>
    <w:rsid w:val="13461F88"/>
    <w:rsid w:val="14777C70"/>
    <w:rsid w:val="151B4301"/>
    <w:rsid w:val="15647297"/>
    <w:rsid w:val="1565539D"/>
    <w:rsid w:val="15B41D83"/>
    <w:rsid w:val="16525605"/>
    <w:rsid w:val="1663351B"/>
    <w:rsid w:val="174E4C23"/>
    <w:rsid w:val="1750216C"/>
    <w:rsid w:val="179D57AB"/>
    <w:rsid w:val="18731618"/>
    <w:rsid w:val="18B17961"/>
    <w:rsid w:val="18B91517"/>
    <w:rsid w:val="192B318F"/>
    <w:rsid w:val="19662322"/>
    <w:rsid w:val="19A417B7"/>
    <w:rsid w:val="1A1E487B"/>
    <w:rsid w:val="1A3B2435"/>
    <w:rsid w:val="1A5E2762"/>
    <w:rsid w:val="1A6B02C6"/>
    <w:rsid w:val="1A7954E3"/>
    <w:rsid w:val="1AD74A20"/>
    <w:rsid w:val="1AEC4F67"/>
    <w:rsid w:val="1B070EDC"/>
    <w:rsid w:val="1BB54765"/>
    <w:rsid w:val="1BEF0709"/>
    <w:rsid w:val="1C691A99"/>
    <w:rsid w:val="1C6E2FB7"/>
    <w:rsid w:val="1D842E68"/>
    <w:rsid w:val="1E1F6BF7"/>
    <w:rsid w:val="20562A02"/>
    <w:rsid w:val="20B37FA3"/>
    <w:rsid w:val="20BF3573"/>
    <w:rsid w:val="20D86258"/>
    <w:rsid w:val="20DD4A99"/>
    <w:rsid w:val="21292C53"/>
    <w:rsid w:val="215478AF"/>
    <w:rsid w:val="215E4F0F"/>
    <w:rsid w:val="21776705"/>
    <w:rsid w:val="21EB549F"/>
    <w:rsid w:val="22001A42"/>
    <w:rsid w:val="225613D4"/>
    <w:rsid w:val="22DE22B8"/>
    <w:rsid w:val="22F0649A"/>
    <w:rsid w:val="23BC5A33"/>
    <w:rsid w:val="24285D8F"/>
    <w:rsid w:val="242C216C"/>
    <w:rsid w:val="24E616F5"/>
    <w:rsid w:val="24E70084"/>
    <w:rsid w:val="24FA6475"/>
    <w:rsid w:val="252B2FED"/>
    <w:rsid w:val="25384864"/>
    <w:rsid w:val="258B7FB3"/>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19845C6"/>
    <w:rsid w:val="327D5EDF"/>
    <w:rsid w:val="32BF66DA"/>
    <w:rsid w:val="32CC12ED"/>
    <w:rsid w:val="33324BC0"/>
    <w:rsid w:val="336D1859"/>
    <w:rsid w:val="338F36C8"/>
    <w:rsid w:val="33CD2E7D"/>
    <w:rsid w:val="34125598"/>
    <w:rsid w:val="34674742"/>
    <w:rsid w:val="348059AF"/>
    <w:rsid w:val="34A733C3"/>
    <w:rsid w:val="35D16D46"/>
    <w:rsid w:val="36AB48EE"/>
    <w:rsid w:val="36CB0E19"/>
    <w:rsid w:val="3719485C"/>
    <w:rsid w:val="37410FF2"/>
    <w:rsid w:val="377D4BC1"/>
    <w:rsid w:val="37C11B48"/>
    <w:rsid w:val="380C4020"/>
    <w:rsid w:val="38385FFD"/>
    <w:rsid w:val="3915133C"/>
    <w:rsid w:val="396A687C"/>
    <w:rsid w:val="39B00F29"/>
    <w:rsid w:val="3A004F63"/>
    <w:rsid w:val="3A1A4EB3"/>
    <w:rsid w:val="3A6C373A"/>
    <w:rsid w:val="3A876192"/>
    <w:rsid w:val="3AC30DF9"/>
    <w:rsid w:val="3B3C6E45"/>
    <w:rsid w:val="3B69738B"/>
    <w:rsid w:val="3B805436"/>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738"/>
    <w:rsid w:val="47126E17"/>
    <w:rsid w:val="4837025C"/>
    <w:rsid w:val="486C2D19"/>
    <w:rsid w:val="48C164A5"/>
    <w:rsid w:val="48D96419"/>
    <w:rsid w:val="4907074D"/>
    <w:rsid w:val="49072B3D"/>
    <w:rsid w:val="499E39EC"/>
    <w:rsid w:val="49AA2F42"/>
    <w:rsid w:val="49F43376"/>
    <w:rsid w:val="49F52274"/>
    <w:rsid w:val="4AE03433"/>
    <w:rsid w:val="4B527203"/>
    <w:rsid w:val="4B7D53D4"/>
    <w:rsid w:val="4B802306"/>
    <w:rsid w:val="4BB559D8"/>
    <w:rsid w:val="4BC64CF7"/>
    <w:rsid w:val="4C1E7F82"/>
    <w:rsid w:val="4C915EB9"/>
    <w:rsid w:val="4DE65243"/>
    <w:rsid w:val="4E3E7768"/>
    <w:rsid w:val="4E7B4F9A"/>
    <w:rsid w:val="4EF83924"/>
    <w:rsid w:val="4F4041E0"/>
    <w:rsid w:val="4F9D55FF"/>
    <w:rsid w:val="4FA97C0B"/>
    <w:rsid w:val="505C3AA6"/>
    <w:rsid w:val="50CF697A"/>
    <w:rsid w:val="510D7DB6"/>
    <w:rsid w:val="517F0763"/>
    <w:rsid w:val="51D1739A"/>
    <w:rsid w:val="527D12F0"/>
    <w:rsid w:val="537222B5"/>
    <w:rsid w:val="53927AEE"/>
    <w:rsid w:val="539E2A68"/>
    <w:rsid w:val="540E1038"/>
    <w:rsid w:val="54583E48"/>
    <w:rsid w:val="56551AEA"/>
    <w:rsid w:val="56602BE6"/>
    <w:rsid w:val="56A51DC0"/>
    <w:rsid w:val="56AE3CF8"/>
    <w:rsid w:val="56B35C8C"/>
    <w:rsid w:val="56D77E5D"/>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DD07337"/>
    <w:rsid w:val="5F8A79D0"/>
    <w:rsid w:val="5FA76FE8"/>
    <w:rsid w:val="5FC17D62"/>
    <w:rsid w:val="601F704F"/>
    <w:rsid w:val="60336F5F"/>
    <w:rsid w:val="60351D24"/>
    <w:rsid w:val="60E56779"/>
    <w:rsid w:val="61241942"/>
    <w:rsid w:val="614C7899"/>
    <w:rsid w:val="61FB341B"/>
    <w:rsid w:val="625E5182"/>
    <w:rsid w:val="629B0039"/>
    <w:rsid w:val="62C1521F"/>
    <w:rsid w:val="633E4244"/>
    <w:rsid w:val="63785F66"/>
    <w:rsid w:val="63903F3A"/>
    <w:rsid w:val="645E2ACE"/>
    <w:rsid w:val="64802980"/>
    <w:rsid w:val="64F03848"/>
    <w:rsid w:val="66A01098"/>
    <w:rsid w:val="66BD30AA"/>
    <w:rsid w:val="66BE57B1"/>
    <w:rsid w:val="677A293B"/>
    <w:rsid w:val="67A443BD"/>
    <w:rsid w:val="68E95BC4"/>
    <w:rsid w:val="68F776E4"/>
    <w:rsid w:val="6927577B"/>
    <w:rsid w:val="69394480"/>
    <w:rsid w:val="69FE6DE6"/>
    <w:rsid w:val="6A023290"/>
    <w:rsid w:val="6AD05FDE"/>
    <w:rsid w:val="6AD65D9C"/>
    <w:rsid w:val="6B095F81"/>
    <w:rsid w:val="6B1B4D90"/>
    <w:rsid w:val="6B45548A"/>
    <w:rsid w:val="6B4662F0"/>
    <w:rsid w:val="6B7E01F7"/>
    <w:rsid w:val="6BC106E2"/>
    <w:rsid w:val="6C2978BD"/>
    <w:rsid w:val="6C53275F"/>
    <w:rsid w:val="6C606AE7"/>
    <w:rsid w:val="6C6A76A4"/>
    <w:rsid w:val="6C740601"/>
    <w:rsid w:val="6DC86354"/>
    <w:rsid w:val="6DCB0391"/>
    <w:rsid w:val="6DD11E60"/>
    <w:rsid w:val="6E55001A"/>
    <w:rsid w:val="6E653953"/>
    <w:rsid w:val="6E870266"/>
    <w:rsid w:val="6EB35808"/>
    <w:rsid w:val="6ED87861"/>
    <w:rsid w:val="6EEC5CCF"/>
    <w:rsid w:val="6F034D12"/>
    <w:rsid w:val="6F4C3CE0"/>
    <w:rsid w:val="6F5A2F04"/>
    <w:rsid w:val="70B062BF"/>
    <w:rsid w:val="70B67910"/>
    <w:rsid w:val="70EE2A07"/>
    <w:rsid w:val="71296B67"/>
    <w:rsid w:val="71805A0D"/>
    <w:rsid w:val="728218C8"/>
    <w:rsid w:val="72C53241"/>
    <w:rsid w:val="73323209"/>
    <w:rsid w:val="73BF32E5"/>
    <w:rsid w:val="745C21FC"/>
    <w:rsid w:val="748222C0"/>
    <w:rsid w:val="751F698F"/>
    <w:rsid w:val="75216C76"/>
    <w:rsid w:val="76880C59"/>
    <w:rsid w:val="77343D0C"/>
    <w:rsid w:val="77520CB2"/>
    <w:rsid w:val="77FC1EB0"/>
    <w:rsid w:val="787C5627"/>
    <w:rsid w:val="78DD3E8B"/>
    <w:rsid w:val="78E57C7B"/>
    <w:rsid w:val="79344D9C"/>
    <w:rsid w:val="7973570C"/>
    <w:rsid w:val="799C07A5"/>
    <w:rsid w:val="79AB2C1B"/>
    <w:rsid w:val="79C5370F"/>
    <w:rsid w:val="7A3D5122"/>
    <w:rsid w:val="7AE80236"/>
    <w:rsid w:val="7AFA2529"/>
    <w:rsid w:val="7B9873A6"/>
    <w:rsid w:val="7BF056D7"/>
    <w:rsid w:val="7C346A84"/>
    <w:rsid w:val="7C9524F8"/>
    <w:rsid w:val="7CE7577C"/>
    <w:rsid w:val="7D670134"/>
    <w:rsid w:val="7D695474"/>
    <w:rsid w:val="7D7C3D3A"/>
    <w:rsid w:val="7DF55347"/>
    <w:rsid w:val="7E64772D"/>
    <w:rsid w:val="7E773341"/>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3"/>
    <w:basedOn w:val="1"/>
    <w:qFormat/>
    <w:uiPriority w:val="0"/>
    <w:rPr>
      <w:rFonts w:ascii="Times New Roman" w:hAnsi="Times New Roman"/>
      <w:sz w:val="32"/>
      <w:szCs w:val="16"/>
    </w:r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Body Text Indent"/>
    <w:basedOn w:val="1"/>
    <w:next w:val="6"/>
    <w:qFormat/>
    <w:uiPriority w:val="0"/>
    <w:pPr>
      <w:tabs>
        <w:tab w:val="left" w:pos="630"/>
      </w:tabs>
      <w:adjustRightInd w:val="0"/>
      <w:ind w:firstLine="630"/>
      <w:textAlignment w:val="baseline"/>
    </w:pPr>
    <w:rPr>
      <w:szCs w:val="21"/>
    </w:rPr>
  </w:style>
  <w:style w:type="paragraph" w:styleId="6">
    <w:name w:val="Body Text Indent 2"/>
    <w:basedOn w:val="1"/>
    <w:next w:val="1"/>
    <w:qFormat/>
    <w:uiPriority w:val="0"/>
    <w:rPr>
      <w:rFonts w:ascii="楷体_GB2312" w:hAnsi="Times New Roman" w:eastAsia="楷体_GB2312" w:cs="Times New Roman"/>
    </w:rPr>
  </w:style>
  <w:style w:type="paragraph" w:styleId="7">
    <w:name w:val="Date"/>
    <w:basedOn w:val="1"/>
    <w:next w:val="1"/>
    <w:link w:val="19"/>
    <w:semiHidden/>
    <w:qFormat/>
    <w:uiPriority w:val="99"/>
    <w:pPr>
      <w:ind w:left="100" w:leftChars="2500"/>
    </w:p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qFormat/>
    <w:uiPriority w:val="0"/>
    <w:pPr>
      <w:snapToGrid w:val="0"/>
      <w:jc w:val="left"/>
    </w:pPr>
    <w:rPr>
      <w:sz w:val="18"/>
    </w:rPr>
  </w:style>
  <w:style w:type="paragraph" w:styleId="11">
    <w:name w:val="Body Text First Indent 2"/>
    <w:basedOn w:val="5"/>
    <w:next w:val="1"/>
    <w:qFormat/>
    <w:uiPriority w:val="0"/>
    <w:pPr>
      <w:adjustRightInd/>
      <w:ind w:firstLine="420"/>
    </w:pPr>
    <w:rPr>
      <w:rFonts w:ascii="Times New Roman" w:hAnsi="Times New Roman"/>
    </w:rPr>
  </w:style>
  <w:style w:type="paragraph" w:styleId="12">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333333"/>
      <w:kern w:val="0"/>
      <w:sz w:val="21"/>
      <w:szCs w:val="21"/>
      <w:lang w:val="en-US" w:eastAsia="zh-CN" w:bidi="ar"/>
    </w:rPr>
  </w:style>
  <w:style w:type="paragraph" w:styleId="13">
    <w:name w:val="Body Text First Indent"/>
    <w:basedOn w:val="4"/>
    <w:qFormat/>
    <w:uiPriority w:val="0"/>
    <w:pPr>
      <w:ind w:firstLine="100" w:firstLineChars="100"/>
    </w:pPr>
  </w:style>
  <w:style w:type="character" w:styleId="16">
    <w:name w:val="page number"/>
    <w:basedOn w:val="15"/>
    <w:qFormat/>
    <w:uiPriority w:val="99"/>
  </w:style>
  <w:style w:type="character" w:customStyle="1" w:styleId="17">
    <w:name w:val="Header Char"/>
    <w:basedOn w:val="15"/>
    <w:link w:val="9"/>
    <w:semiHidden/>
    <w:qFormat/>
    <w:locked/>
    <w:uiPriority w:val="99"/>
    <w:rPr>
      <w:sz w:val="18"/>
      <w:szCs w:val="18"/>
    </w:rPr>
  </w:style>
  <w:style w:type="character" w:customStyle="1" w:styleId="18">
    <w:name w:val="Footer Char"/>
    <w:basedOn w:val="15"/>
    <w:link w:val="8"/>
    <w:qFormat/>
    <w:locked/>
    <w:uiPriority w:val="99"/>
    <w:rPr>
      <w:sz w:val="18"/>
      <w:szCs w:val="18"/>
    </w:rPr>
  </w:style>
  <w:style w:type="character" w:customStyle="1" w:styleId="19">
    <w:name w:val="Date Char"/>
    <w:basedOn w:val="15"/>
    <w:link w:val="7"/>
    <w:semiHidden/>
    <w:qFormat/>
    <w:locked/>
    <w:uiPriority w:val="99"/>
  </w:style>
  <w:style w:type="character" w:customStyle="1" w:styleId="20">
    <w:name w:val="font41"/>
    <w:basedOn w:val="15"/>
    <w:qFormat/>
    <w:uiPriority w:val="99"/>
    <w:rPr>
      <w:rFonts w:ascii="宋体" w:hAnsi="宋体" w:eastAsia="宋体" w:cs="宋体"/>
      <w:b/>
      <w:bCs/>
      <w:color w:val="000000"/>
      <w:sz w:val="44"/>
      <w:szCs w:val="44"/>
      <w:u w:val="none"/>
    </w:rPr>
  </w:style>
  <w:style w:type="character" w:customStyle="1" w:styleId="21">
    <w:name w:val="font11"/>
    <w:basedOn w:val="15"/>
    <w:qFormat/>
    <w:uiPriority w:val="99"/>
    <w:rPr>
      <w:rFonts w:ascii="宋体" w:hAnsi="宋体" w:eastAsia="宋体" w:cs="宋体"/>
      <w:b/>
      <w:bCs/>
      <w:color w:val="000000"/>
      <w:sz w:val="32"/>
      <w:szCs w:val="32"/>
      <w:u w:val="none"/>
    </w:rPr>
  </w:style>
  <w:style w:type="character" w:customStyle="1" w:styleId="22">
    <w:name w:val="NormalCharacter"/>
    <w:semiHidden/>
    <w:qFormat/>
    <w:uiPriority w:val="0"/>
    <w:rPr>
      <w:rFonts w:ascii="Calibri" w:hAnsi="Calibri" w:eastAsia="宋体" w:cs="Calibri"/>
      <w:kern w:val="2"/>
      <w:sz w:val="21"/>
      <w:szCs w:val="21"/>
      <w:lang w:val="en-US" w:eastAsia="zh-CN" w:bidi="ar-SA"/>
    </w:rPr>
  </w:style>
  <w:style w:type="character" w:customStyle="1" w:styleId="23">
    <w:name w:val="20"/>
    <w:basedOn w:val="15"/>
    <w:qFormat/>
    <w:uiPriority w:val="0"/>
    <w:rPr>
      <w:rFonts w:hint="default"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20</Pages>
  <Words>9361</Words>
  <Characters>10342</Characters>
  <Lines>0</Lines>
  <Paragraphs>0</Paragraphs>
  <TotalTime>63</TotalTime>
  <ScaleCrop>false</ScaleCrop>
  <LinksUpToDate>false</LinksUpToDate>
  <CharactersWithSpaces>10784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2023-10-19T03:06:00Z</cp:lastPrinted>
  <dcterms:modified xsi:type="dcterms:W3CDTF">2024-07-01T09:16:54Z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6D4C05043BE3401AB2AE6389E070FB7E_13</vt:lpwstr>
  </property>
</Properties>
</file>