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根据株石办发（201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号文件规定，</w:t>
      </w:r>
      <w:r>
        <w:rPr>
          <w:rFonts w:hint="eastAsia" w:ascii="仿宋_GB2312" w:eastAsia="仿宋_GB2312"/>
          <w:sz w:val="32"/>
          <w:szCs w:val="32"/>
          <w:lang w:eastAsia="zh-CN"/>
        </w:rPr>
        <w:t>石峰区区</w:t>
      </w:r>
      <w:r>
        <w:rPr>
          <w:rFonts w:hint="eastAsia" w:ascii="仿宋_GB2312" w:eastAsia="仿宋_GB2312"/>
          <w:sz w:val="32"/>
          <w:szCs w:val="32"/>
        </w:rPr>
        <w:t>民政局的</w:t>
      </w:r>
      <w:r>
        <w:rPr>
          <w:rFonts w:hint="eastAsia" w:ascii="仿宋_GB2312" w:eastAsia="仿宋_GB2312"/>
          <w:sz w:val="32"/>
          <w:szCs w:val="32"/>
          <w:lang w:eastAsia="zh-CN"/>
        </w:rPr>
        <w:t>主要职责是</w:t>
      </w:r>
      <w:r>
        <w:rPr>
          <w:rFonts w:hint="eastAsia" w:eastAsia="仿宋_GB2312"/>
          <w:color w:val="000000"/>
          <w:sz w:val="32"/>
          <w:szCs w:val="32"/>
        </w:rPr>
        <w:t>负责全区城乡基层群众自治建设和社区治理；推动村（居）务公开和基层民主政治建设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负责管理和分配中央、省、市下拨的区级保障金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负责全区慈善工作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依法对全区社会组织进行登记管理和执法监督，承担区本级社会组织年度检查工作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负责全区婚姻登记、殡葬管理和儿童收养登记管理工作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负责全区行政区划和地名管理工作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贯彻执行国家、省、市关于养老服务的有关法规、政策并组织实施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统筹推进、督促指导、监督管理全区养老服务工作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贯彻执行国家、省、市关于残疾人权益保护的有关政策，会同有关部门统筹推进残疾人权益保护和残疾人福利工作，承担全区残疾人“两项”补贴发放工作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等。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本部门共有编制人数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人，实有人数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人。内设科室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个，分别为：综合办公室（基层政权建设和社区治理办公室）</w:t>
      </w:r>
      <w:r>
        <w:rPr>
          <w:rFonts w:hint="eastAsia" w:ascii="仿宋_GB2312" w:eastAsia="仿宋_GB2312"/>
          <w:sz w:val="32"/>
          <w:szCs w:val="32"/>
          <w:lang w:eastAsia="zh-CN"/>
        </w:rPr>
        <w:t>、社会福利和社会救助办公室</w:t>
      </w:r>
      <w:r>
        <w:rPr>
          <w:rFonts w:hint="eastAsia" w:ascii="仿宋_GB2312" w:eastAsia="仿宋_GB2312"/>
          <w:sz w:val="32"/>
          <w:szCs w:val="32"/>
          <w:lang w:eastAsia="zh-CN"/>
        </w:rPr>
        <w:t>、区慈善办</w:t>
      </w:r>
      <w:r>
        <w:rPr>
          <w:rFonts w:hint="eastAsia" w:ascii="仿宋_GB2312" w:eastAsia="仿宋_GB2312"/>
          <w:sz w:val="32"/>
          <w:szCs w:val="32"/>
          <w:lang w:eastAsia="zh-CN"/>
        </w:rPr>
        <w:t>公室。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default" w:ascii="仿宋_GB2312" w:eastAsia="仿宋_GB2312"/>
          <w:sz w:val="32"/>
          <w:szCs w:val="32"/>
        </w:rPr>
        <w:t>年预算收入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4440.45</w:t>
      </w:r>
      <w:r>
        <w:rPr>
          <w:rFonts w:hint="default" w:ascii="仿宋_GB2312" w:eastAsia="仿宋_GB2312"/>
          <w:sz w:val="32"/>
          <w:szCs w:val="32"/>
        </w:rPr>
        <w:t>万元，其中年初预算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1786.46</w:t>
      </w:r>
      <w:r>
        <w:rPr>
          <w:rFonts w:hint="default" w:ascii="仿宋_GB2312" w:eastAsia="仿宋_GB2312"/>
          <w:sz w:val="32"/>
          <w:szCs w:val="32"/>
        </w:rPr>
        <w:t>万元，调整追加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2625.17</w:t>
      </w:r>
      <w:r>
        <w:rPr>
          <w:rFonts w:hint="default" w:ascii="仿宋_GB2312" w:eastAsia="仿宋_GB2312"/>
          <w:sz w:val="32"/>
          <w:szCs w:val="32"/>
        </w:rPr>
        <w:t>万元。其他资金来源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28.82</w:t>
      </w:r>
      <w:r>
        <w:rPr>
          <w:rFonts w:hint="default" w:ascii="仿宋_GB2312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default" w:ascii="仿宋_GB2312" w:eastAsia="仿宋_GB2312"/>
          <w:sz w:val="32"/>
          <w:szCs w:val="32"/>
        </w:rPr>
        <w:t>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4440.45</w:t>
      </w:r>
      <w:r>
        <w:rPr>
          <w:rFonts w:hint="default" w:ascii="仿宋_GB2312" w:eastAsia="仿宋_GB2312"/>
          <w:sz w:val="32"/>
          <w:szCs w:val="32"/>
        </w:rPr>
        <w:t>万元，其中基本支出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193.36</w:t>
      </w:r>
      <w:r>
        <w:rPr>
          <w:rFonts w:hint="default" w:ascii="仿宋_GB2312" w:eastAsia="仿宋_GB2312"/>
          <w:sz w:val="32"/>
          <w:szCs w:val="32"/>
        </w:rPr>
        <w:t>万元，项目支出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4247.09</w:t>
      </w:r>
      <w:r>
        <w:rPr>
          <w:rFonts w:hint="default" w:ascii="仿宋_GB2312" w:eastAsia="仿宋_GB2312"/>
          <w:sz w:val="32"/>
          <w:szCs w:val="32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sz w:val="32"/>
          <w:szCs w:val="32"/>
          <w:lang w:eastAsia="zh-CN"/>
        </w:rPr>
        <w:t>年，在区委、区政府的正确领导下以及上级民政部门关怀和指导下，我区民政紧紧围绕区委、区政府中心工作，坚持“以民为本、为民解困、为民服务”的民政宗旨，努力保障民生，维护民利，落实民权，着力完善基础民生保障，以推进基层民主为重要取向，充分发挥了民政在构建和谐石峰的重要作用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围绕1、保障困难群众基本生活，一是牵头做好春节走访慰问及节日补贴发放工作。发放春节慰问物资、资金263.3万元。发放低保对象和特困供养对象节日补贴40.12万元。二是动态管理、精准救助，按时足额发放基本生活保障资金。全区享受城乡居民最低生活保障33096人次，累计发放保障金1509.33万元；全区特困供养人数为1732人次，累计发放146.35万元。全年城乡居民最低生活保障退出178户288人、新增166户340人。三是开展城乡低保扩围增效工作。先后召开了三次工作部署会及重点工作调度会，对扩围工作进行任务分解及重点部署，面向8个镇街组织开展了12场政策解读和培训会，通过集中排查认定，将能纳入低保的困难群众做到“应保尽保”。截止12月底，扩围行动共新增低保对象140户294人。四是规范做好临时救助工作。2023年共临时救助143 户178人次，发放临时救助金 39.85 万元。2、以真抓实干为抓手，推进养老服务高质量发展一是完成省市民生实事262户困难老年人家庭适老化改造。按照“一户一策”评估和改造，在传统施工类改造项目基础上，增加了数字化改造项目。二是全面完成区老年休养院提质改造。三是完成了3家养老机构消防整改工作。四是完成全区8家养老机构等级评定工作。现有二级养老机构8家，四级养老机构1家。五是以东门社区、新民社区、井墈社区作为我区示范性创建点，按照“养老+物业”理念，打造党建引领，智慧共享的“社区邻里服务综合体”。六是推进我区7家养老机构“五个统一”标准化建设。七是积极对接中国建设银行，推进养老机构资金监管服务平台开发。八是对石峰区8个镇街271名困难老年人完成了老年人能力评估工作。3、加强基层政权建设和基层自治一是全面完成125个“票决制”惠民实事项目。二是完成两区融合基层群众性自治组织社会信用代码证书更换。三是推进清廉社区建设工作，重点推进6个样板社区建设。4、优化区划地名规范管理一是规范区划管理，对磐龙世纪城等四个住宅小区管理权限进行明确。二是加强界线管理，完成石荷线（石峰区——荷塘区）行政区域界线联合检查工作。三是强化地名管理，开展“深化乡村地名服务 助力乡村振兴”工作，对云田镇23条乡村未命名道路进行命名。5、推进未成年人关爱保护工作。抓好困境儿童群体关爱保护。一是抓好困境儿童群体关爱保护。开展了“六一”困境儿童关爱慰问活动和“关爱离异家庭儿童公益项目”，为80多名困境儿童送上节日慰问金和生活、学习用品。联合株洲市天使之家社会工作服务中心、仟家乐公益协会，在响办、清办开展12次公益课堂和夏令营等活动。二是做好孤儿及事实无人抚养儿童保障工作。完成孤儿、事实无人抚养儿童基本生活费提标工作，按月足额发放孤儿、事实无人抚养儿童生活保障资金。同时通过“孤儿助学”项目，为3名孤儿发放2.5万元助学金。三是推动儿童工作服务水平提升。组织全区76名儿童督导员、儿童主任开展了业务培训，提高了儿童工作服务水平。6、务实慈善事业的发展一是坚持开展“迎新春·送温暖”走访慰问特困群众活动。共计为849名困难群众发放慰问金和慰问物资36.1万元。二是开展了爱心助学活动。资助了20名今年录取大学、高中和职高的困境家庭学生，发放助学金6万元。三是持续开展爱心助医活动。今年救助因患重特大病造成的家庭生活困难群众5人，发放救助资金2.5万元。全年支出4440.45万元，其中基本支出193.36万元；项目支出4247.09万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提退人员经费14.87万元，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0.11万元，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14.98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；高龄及百岁老人补贴（含经开），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297.38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383.88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681.26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养老服务专项资金（含经开），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103.65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219.5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323.15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儿童福利，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23.66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23.66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残疾人两项补贴，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（含经开）205.23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230.66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435.89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困难群众救助补助资金，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534.57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1613.62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2148.19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困难群众春节走访慰问及困难老人长护险（含经开） 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30.08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16.24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46.32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特困人员集中供养兜底保障经费 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年初预算项目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殡葬改革 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155.2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155.2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高龄及百岁老人补贴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681.26万元，主要用于丰富我区年满80周岁至99周岁的老年人物质生活，提高部分生活质量，建立普惠性、均等化、可持续惠民制度。按照80-89周岁补贴600元/人·年；90-99周岁补贴1200元/人·年的标准，百岁老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6000元/人.年　共补贴9000多名高龄老人。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2）养老服务专项资金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项目支出323.15万元，主要用于拨付养老机构建设补贴、运营补贴、社区运营补助、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养老护理员岗位补贴、购买基本养老服务补贴、机构责任险等。通过不断健全完善老年社会保障体系，加快养老服务体系建设，老龄事业和养老体系取得长足发展，增强老年人幸福感、获得感、安全感。全年共计区敬老院提质改造1家；建设补贴200床；运营补贴1200人；机构责任险800床；养老护理员岗位补贴250人；；社区建设补贴4家；社区运营补助45家；基本养老服务补贴110人.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3）儿童福利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23.66万元，主要用于进一步改善儿童的生存、保护、发展环境。健全关爱保护体系。切实做好孤儿生活补助和圆梦助学补贴的发放工作，加强对申领对象的动态管理，确保政策和资金落实到位。孤儿生活补助标准为1086元/月.人，事实无人抚养生活补助标准为按照1086元/月.人补差，助学补贴标准为每人每年1万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残疾人两项补贴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435.89万元，主要用于改善残疾人生活质量，保障生存发展权益。通过精准认定，制度衔接，抓好制度落实。困难残疾人生活补贴约1100多人，补贴标准为100元/月/人，重度残疾人护理补贴约2700多人，补贴标准为100元/月/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（5）困难群众救助补助资金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2148.19万元，主要用于发挥社会救助托底线、救急难作用，增强救助时效，编实织密困难群众基本生活安全网，切实保障困难群众基本生活权益。对城市低保加强家庭收入核对，及时核减和新增，从而保障困难家庭的基本生活不会受影响。城乡低保最低生活保障线标准为650元/月，特困人员基本生活标准为最低生活保障标准的1.3倍，即845元/人.月，全年2890多名城乡低保对象,160多名供养特困人员，临时救助210人次。通过每月定时发放城市低保金，有效保障城市困难群众、低收入群体的基本生活，幸福指数增强，维护了社会的稳定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困难群众春节走访慰问及困难老人长护险 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项目支出46.32万元，主要用于帮扶特殊困难群众建立普惠性、均等化、可持续惠民制度。共计为400多名特殊困难老年人购买长期护理险、慰问困难群众200多人。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（7）特困人员集中供养兜底保障经费 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10万元，主要用于政府兜底保障敬老院工作所需工作人员人头经费、日常工作经费和设施维护经费30万元和特困供养人员集中供养补差经费30万元，实际预算10万。充分发挥公办养老机构托底作用，确保区级敬老院正常运转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殡葬改革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项目支出155.2万元，主要用于保护绿心地区，实行殡葬改革，建设补助城乡集中治丧场所和公益性墓地，奖励补助农村居民及城市困难群众殡葬活动，提供生态安葬墓穴等。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9）提退人员经费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14.98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发放提退人员工资奖金等，保障职工工资福利待遇。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社区惠民资金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198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万元，主要用于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做好社区设施维护、社区文体公益活动、 社区社会组织培育发展、社区环境卫生治理、社区志愿服务工作。</w:t>
      </w:r>
      <w:bookmarkStart w:id="0" w:name="_GoBack"/>
      <w:bookmarkEnd w:id="0"/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主要对预算执行偏离绩效目标及指标的情况逐一分析原因，提出改进的措施、工作建议等（可以按子项目单独分析）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，没有请写明“绩效管理不存在相关问题”。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没有请写明“无其他需要说明的情况”。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84DBBE"/>
    <w:multiLevelType w:val="singleLevel"/>
    <w:tmpl w:val="8B84DBBE"/>
    <w:lvl w:ilvl="0" w:tentative="0">
      <w:start w:val="10"/>
      <w:numFmt w:val="decimal"/>
      <w:suff w:val="nothing"/>
      <w:lvlText w:val="（%1）"/>
      <w:lvlJc w:val="left"/>
    </w:lvl>
  </w:abstractNum>
  <w:abstractNum w:abstractNumId="1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4NWM4NGNkNjZkMzhmOTMwOGQxZDdmN2IxODY3ZmE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2967F77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A86AF5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6A34F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9EC2F42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3CA3016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7900B63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1A15A8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97C117A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3FF1CC8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390827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BF01D86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A84728E"/>
    <w:rsid w:val="7B9873A6"/>
    <w:rsid w:val="7BF056D7"/>
    <w:rsid w:val="7C346A84"/>
    <w:rsid w:val="7C4372F5"/>
    <w:rsid w:val="7C9524F8"/>
    <w:rsid w:val="7C9731D2"/>
    <w:rsid w:val="7CE7577C"/>
    <w:rsid w:val="7D670134"/>
    <w:rsid w:val="7D695474"/>
    <w:rsid w:val="7D7C3D3A"/>
    <w:rsid w:val="7DB4776A"/>
    <w:rsid w:val="7DF55347"/>
    <w:rsid w:val="7E0A5FF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4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5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</w:style>
  <w:style w:type="character" w:styleId="12">
    <w:name w:val="page number"/>
    <w:basedOn w:val="11"/>
    <w:qFormat/>
    <w:uiPriority w:val="99"/>
  </w:style>
  <w:style w:type="paragraph" w:customStyle="1" w:styleId="13">
    <w:name w:val="正文文字"/>
    <w:basedOn w:val="1"/>
    <w:next w:val="1"/>
    <w:qFormat/>
    <w:uiPriority w:val="99"/>
    <w:pPr>
      <w:spacing w:after="120"/>
    </w:pPr>
  </w:style>
  <w:style w:type="character" w:customStyle="1" w:styleId="14">
    <w:name w:val="Header Char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15">
    <w:name w:val="Footer Char"/>
    <w:basedOn w:val="11"/>
    <w:link w:val="6"/>
    <w:qFormat/>
    <w:locked/>
    <w:uiPriority w:val="99"/>
    <w:rPr>
      <w:sz w:val="18"/>
      <w:szCs w:val="18"/>
    </w:rPr>
  </w:style>
  <w:style w:type="character" w:customStyle="1" w:styleId="16">
    <w:name w:val="Date Char"/>
    <w:basedOn w:val="11"/>
    <w:link w:val="5"/>
    <w:semiHidden/>
    <w:qFormat/>
    <w:locked/>
    <w:uiPriority w:val="99"/>
  </w:style>
  <w:style w:type="character" w:customStyle="1" w:styleId="17">
    <w:name w:val="font41"/>
    <w:basedOn w:val="11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8">
    <w:name w:val="font11"/>
    <w:basedOn w:val="11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738</Words>
  <Characters>777</Characters>
  <Lines>0</Lines>
  <Paragraphs>0</Paragraphs>
  <TotalTime>0</TotalTime>
  <ScaleCrop>false</ScaleCrop>
  <LinksUpToDate>false</LinksUpToDate>
  <CharactersWithSpaces>779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Amdin</cp:lastModifiedBy>
  <cp:lastPrinted>2023-08-28T07:21:00Z</cp:lastPrinted>
  <dcterms:modified xsi:type="dcterms:W3CDTF">2024-06-29T05:53:58Z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D046AB22908C472C8AD60C17670F1370</vt:lpwstr>
  </property>
</Properties>
</file>