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both"/>
        <w:rPr>
          <w:rFonts w:ascii="Times New Roman" w:hAnsi="Times New Roman" w:cs="Times New Roman"/>
          <w:sz w:val="56"/>
          <w:szCs w:val="56"/>
        </w:rPr>
      </w:pPr>
    </w:p>
    <w:p>
      <w:pPr>
        <w:pStyle w:val="18"/>
        <w:jc w:val="both"/>
        <w:rPr>
          <w:rFonts w:ascii="Times New Roman" w:hAnsi="Times New Roman" w:cs="Times New Roman"/>
          <w:sz w:val="56"/>
          <w:szCs w:val="56"/>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76"/>
          <w:szCs w:val="76"/>
        </w:rPr>
      </w:pPr>
    </w:p>
    <w:p>
      <w:pPr>
        <w:pStyle w:val="18"/>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2023年度</w:t>
      </w:r>
    </w:p>
    <w:p>
      <w:pPr>
        <w:pStyle w:val="18"/>
        <w:jc w:val="center"/>
        <w:rPr>
          <w:rFonts w:hint="eastAsia" w:ascii="黑体" w:hAnsi="黑体" w:eastAsia="黑体" w:cs="黑体"/>
          <w:sz w:val="72"/>
          <w:szCs w:val="72"/>
          <w:lang w:val="en-US" w:eastAsia="zh-CN"/>
        </w:rPr>
      </w:pPr>
      <w:bookmarkStart w:id="0" w:name="_GoBack"/>
      <w:r>
        <w:rPr>
          <w:rFonts w:hint="eastAsia" w:ascii="黑体" w:hAnsi="黑体" w:eastAsia="黑体" w:cs="黑体"/>
          <w:sz w:val="72"/>
          <w:szCs w:val="72"/>
          <w:lang w:val="en-US" w:eastAsia="zh-CN"/>
        </w:rPr>
        <w:t>株洲高新技术产业开发区田心片区管理委员会</w:t>
      </w:r>
    </w:p>
    <w:bookmarkEnd w:id="0"/>
    <w:p>
      <w:pPr>
        <w:pStyle w:val="18"/>
        <w:jc w:val="center"/>
        <w:rPr>
          <w:rFonts w:ascii="Times New Roman" w:hAnsi="Times New Roman" w:eastAsia="方正小标宋简体" w:cs="Times New Roman"/>
          <w:sz w:val="72"/>
          <w:szCs w:val="72"/>
        </w:rPr>
      </w:pPr>
      <w:r>
        <w:rPr>
          <w:rFonts w:hint="eastAsia" w:ascii="黑体" w:hAnsi="黑体" w:eastAsia="黑体" w:cs="黑体"/>
          <w:sz w:val="72"/>
          <w:szCs w:val="72"/>
        </w:rPr>
        <w:t>部门决算</w:t>
      </w:r>
    </w:p>
    <w:p>
      <w:pPr>
        <w:pStyle w:val="18"/>
        <w:jc w:val="both"/>
        <w:rPr>
          <w:rFonts w:ascii="Times New Roman" w:hAnsi="Times New Roman" w:cs="Times New Roman"/>
          <w:sz w:val="32"/>
          <w:szCs w:val="32"/>
        </w:rPr>
      </w:pPr>
    </w:p>
    <w:p>
      <w:pPr>
        <w:pStyle w:val="18"/>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sz w:val="32"/>
          <w:szCs w:val="32"/>
          <w:lang w:eastAsia="zh-CN"/>
        </w:rPr>
        <w:t>株洲高新技术产业开发区田心片区管理委员会</w:t>
      </w:r>
      <w:r>
        <w:rPr>
          <w:rFonts w:ascii="Times New Roman" w:hAnsi="Times New Roman" w:cs="Times New Roman"/>
          <w:sz w:val="32"/>
          <w:szCs w:val="32"/>
        </w:rPr>
        <w:t>概况</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pPr>
        <w:pStyle w:val="18"/>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w w:val="90"/>
          <w:sz w:val="76"/>
          <w:szCs w:val="76"/>
        </w:rPr>
      </w:pPr>
    </w:p>
    <w:p>
      <w:pPr>
        <w:pStyle w:val="18"/>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第一部分</w:t>
      </w:r>
    </w:p>
    <w:p>
      <w:pPr>
        <w:pStyle w:val="18"/>
        <w:jc w:val="center"/>
        <w:rPr>
          <w:rFonts w:ascii="Times New Roman" w:hAnsi="Times New Roman" w:eastAsia="方正小标宋简体" w:cs="Times New Roman"/>
          <w:sz w:val="76"/>
          <w:szCs w:val="76"/>
        </w:rPr>
      </w:pPr>
    </w:p>
    <w:p>
      <w:pPr>
        <w:pStyle w:val="18"/>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株洲高新技术产业开发区田心片区管理委员会</w:t>
      </w:r>
    </w:p>
    <w:p>
      <w:pPr>
        <w:pStyle w:val="18"/>
        <w:jc w:val="center"/>
        <w:rPr>
          <w:rFonts w:hint="eastAsia" w:ascii="黑体" w:hAnsi="黑体" w:eastAsia="黑体" w:cs="黑体"/>
          <w:sz w:val="76"/>
          <w:szCs w:val="76"/>
        </w:rPr>
      </w:pPr>
      <w:r>
        <w:rPr>
          <w:rFonts w:hint="eastAsia" w:ascii="黑体" w:hAnsi="黑体" w:eastAsia="黑体" w:cs="黑体"/>
          <w:sz w:val="76"/>
          <w:szCs w:val="76"/>
        </w:rPr>
        <w:t>单位概况</w:t>
      </w:r>
    </w:p>
    <w:p>
      <w:pPr>
        <w:pStyle w:val="18"/>
        <w:jc w:val="center"/>
        <w:rPr>
          <w:rFonts w:ascii="Times New Roman" w:hAnsi="Times New Roman" w:eastAsia="方正小标宋简体" w:cs="Times New Roman"/>
          <w:sz w:val="76"/>
          <w:szCs w:val="76"/>
        </w:rPr>
      </w:pPr>
    </w:p>
    <w:p>
      <w:pPr>
        <w:pStyle w:val="19"/>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pPr>
        <w:widowControl/>
        <w:spacing w:line="600" w:lineRule="exact"/>
        <w:rPr>
          <w:rFonts w:ascii="仿宋" w:hAnsi="仿宋" w:eastAsia="仿宋" w:cs="仿宋"/>
          <w:bCs/>
          <w:kern w:val="0"/>
          <w:sz w:val="32"/>
          <w:szCs w:val="32"/>
        </w:rPr>
      </w:pPr>
      <w:r>
        <w:rPr>
          <w:rFonts w:hint="eastAsia" w:ascii="仿宋" w:hAnsi="仿宋" w:eastAsia="仿宋" w:cs="仿宋"/>
          <w:bCs/>
          <w:kern w:val="0"/>
          <w:sz w:val="32"/>
          <w:szCs w:val="32"/>
        </w:rPr>
        <w:t>株洲</w:t>
      </w:r>
      <w:r>
        <w:rPr>
          <w:rFonts w:hint="eastAsia" w:ascii="仿宋" w:hAnsi="仿宋" w:eastAsia="仿宋" w:cs="仿宋"/>
          <w:bCs/>
          <w:kern w:val="0"/>
          <w:sz w:val="32"/>
          <w:szCs w:val="32"/>
          <w:lang w:val="en-US" w:eastAsia="zh-CN"/>
        </w:rPr>
        <w:t>高新技术产业开发区田心片区管理委员会</w:t>
      </w:r>
      <w:r>
        <w:rPr>
          <w:rFonts w:hint="eastAsia" w:ascii="仿宋" w:hAnsi="仿宋" w:eastAsia="仿宋" w:cs="仿宋"/>
          <w:bCs/>
          <w:kern w:val="0"/>
          <w:sz w:val="32"/>
          <w:szCs w:val="32"/>
        </w:rPr>
        <w:t>的主要职责是：</w:t>
      </w:r>
    </w:p>
    <w:p>
      <w:pPr>
        <w:widowControl/>
        <w:shd w:val="clear" w:color="auto" w:fill="FFFFFF"/>
        <w:spacing w:line="560" w:lineRule="exact"/>
        <w:ind w:firstLine="640" w:firstLineChars="200"/>
        <w:outlineLvl w:val="0"/>
        <w:rPr>
          <w:rFonts w:ascii="仿宋" w:hAnsi="仿宋" w:eastAsia="仿宋" w:cs="仿宋"/>
          <w:color w:val="000000"/>
          <w:kern w:val="0"/>
          <w:sz w:val="32"/>
          <w:szCs w:val="32"/>
        </w:rPr>
      </w:pPr>
      <w:r>
        <w:rPr>
          <w:rFonts w:hint="eastAsia" w:ascii="仿宋" w:hAnsi="仿宋" w:eastAsia="仿宋" w:cs="仿宋"/>
          <w:color w:val="000000"/>
          <w:kern w:val="0"/>
          <w:sz w:val="32"/>
          <w:szCs w:val="32"/>
        </w:rPr>
        <w:t>(一)贯彻执行党和国家有关法律、法规和政策方针；研究制订和组织实施</w:t>
      </w:r>
      <w:r>
        <w:rPr>
          <w:rFonts w:hint="eastAsia" w:ascii="仿宋" w:hAnsi="仿宋" w:eastAsia="仿宋" w:cs="仿宋"/>
          <w:bCs/>
          <w:kern w:val="0"/>
          <w:sz w:val="32"/>
          <w:szCs w:val="32"/>
        </w:rPr>
        <w:t>株洲</w:t>
      </w:r>
      <w:r>
        <w:rPr>
          <w:rFonts w:hint="eastAsia" w:ascii="仿宋" w:hAnsi="仿宋" w:eastAsia="仿宋" w:cs="仿宋"/>
          <w:bCs/>
          <w:kern w:val="0"/>
          <w:sz w:val="32"/>
          <w:szCs w:val="32"/>
          <w:lang w:val="en-US" w:eastAsia="zh-CN"/>
        </w:rPr>
        <w:t>高新技术产业开发区田心片区管理委员会</w:t>
      </w:r>
      <w:r>
        <w:rPr>
          <w:rFonts w:hint="eastAsia" w:ascii="仿宋" w:hAnsi="仿宋" w:eastAsia="仿宋" w:cs="仿宋"/>
          <w:color w:val="000000"/>
          <w:kern w:val="0"/>
          <w:sz w:val="32"/>
          <w:szCs w:val="32"/>
        </w:rPr>
        <w:t>的具体管理规定和改革措施；开展有关政策、法规的宣传教育工作，督促检查各项政策、法规的执行。</w:t>
      </w:r>
    </w:p>
    <w:p>
      <w:pPr>
        <w:widowControl/>
        <w:shd w:val="clear" w:color="auto" w:fill="FFFFFF"/>
        <w:spacing w:line="560" w:lineRule="exact"/>
        <w:ind w:firstLine="640" w:firstLineChars="200"/>
        <w:outlineLvl w:val="0"/>
        <w:rPr>
          <w:rFonts w:ascii="仿宋" w:hAnsi="仿宋" w:eastAsia="仿宋" w:cs="仿宋"/>
          <w:color w:val="000000"/>
          <w:kern w:val="0"/>
          <w:sz w:val="32"/>
          <w:szCs w:val="32"/>
        </w:rPr>
      </w:pPr>
      <w:r>
        <w:rPr>
          <w:rFonts w:hint="eastAsia" w:ascii="仿宋" w:hAnsi="仿宋" w:eastAsia="仿宋" w:cs="仿宋"/>
          <w:color w:val="000000"/>
          <w:kern w:val="0"/>
          <w:sz w:val="32"/>
          <w:szCs w:val="32"/>
        </w:rPr>
        <w:t>（二）在高新区中长期发展规划的指导下，制订和组织实施园区的中长期发展规划和年底计划；负责编制园区产业发展规划和产业结构，并组织实施。</w:t>
      </w:r>
    </w:p>
    <w:p>
      <w:pPr>
        <w:widowControl/>
        <w:shd w:val="clear" w:color="auto" w:fill="FFFFFF"/>
        <w:spacing w:line="560" w:lineRule="exact"/>
        <w:ind w:firstLine="640" w:firstLineChars="200"/>
        <w:outlineLvl w:val="0"/>
        <w:rPr>
          <w:rFonts w:ascii="仿宋" w:hAnsi="仿宋" w:eastAsia="仿宋" w:cs="仿宋"/>
          <w:color w:val="000000"/>
          <w:kern w:val="0"/>
          <w:sz w:val="32"/>
          <w:szCs w:val="32"/>
        </w:rPr>
      </w:pPr>
      <w:r>
        <w:rPr>
          <w:rFonts w:hint="eastAsia" w:ascii="仿宋" w:hAnsi="仿宋" w:eastAsia="仿宋" w:cs="仿宋"/>
          <w:color w:val="000000"/>
          <w:kern w:val="0"/>
          <w:sz w:val="32"/>
          <w:szCs w:val="32"/>
        </w:rPr>
        <w:t>（三）按照国家对土地管理的法律、法规，负责园区土地的统一开发、管理；在石峰区城市建设总体规划指导下，负责园区的规划、建设管理工作，组织编制园区的建设规划，审批授权范围内的基建项目；负责园区内的市政、环境保护、房地产等方面的管理。</w:t>
      </w:r>
    </w:p>
    <w:p>
      <w:pPr>
        <w:widowControl/>
        <w:shd w:val="clear" w:color="auto" w:fill="FFFFFF"/>
        <w:spacing w:line="560" w:lineRule="exact"/>
        <w:ind w:firstLine="640" w:firstLineChars="200"/>
        <w:outlineLvl w:val="0"/>
        <w:rPr>
          <w:rFonts w:ascii="仿宋" w:hAnsi="仿宋" w:eastAsia="仿宋" w:cs="仿宋"/>
          <w:color w:val="000000"/>
          <w:kern w:val="0"/>
          <w:sz w:val="32"/>
          <w:szCs w:val="32"/>
        </w:rPr>
      </w:pPr>
      <w:r>
        <w:rPr>
          <w:rFonts w:hint="eastAsia" w:ascii="仿宋" w:hAnsi="仿宋" w:eastAsia="仿宋" w:cs="仿宋"/>
          <w:color w:val="000000"/>
          <w:kern w:val="0"/>
          <w:sz w:val="32"/>
          <w:szCs w:val="32"/>
        </w:rPr>
        <w:t>（四）负责对园区内企业进行服务、指导、监督和有关管理；审核申报园区内经济技术项目和企业。</w:t>
      </w:r>
    </w:p>
    <w:p>
      <w:pPr>
        <w:widowControl/>
        <w:shd w:val="clear" w:color="auto" w:fill="FFFFFF"/>
        <w:spacing w:line="560" w:lineRule="exact"/>
        <w:ind w:firstLine="640" w:firstLineChars="200"/>
        <w:outlineLvl w:val="0"/>
        <w:rPr>
          <w:rFonts w:ascii="仿宋" w:hAnsi="仿宋" w:eastAsia="仿宋" w:cs="仿宋"/>
          <w:color w:val="000000"/>
          <w:kern w:val="0"/>
          <w:sz w:val="32"/>
          <w:szCs w:val="32"/>
        </w:rPr>
      </w:pPr>
      <w:r>
        <w:rPr>
          <w:rFonts w:hint="eastAsia" w:ascii="仿宋" w:hAnsi="仿宋" w:eastAsia="仿宋" w:cs="仿宋"/>
          <w:color w:val="000000"/>
          <w:kern w:val="0"/>
          <w:sz w:val="32"/>
          <w:szCs w:val="32"/>
        </w:rPr>
        <w:t>（五）指导园区内企业的科研、新产品的开发。</w:t>
      </w:r>
    </w:p>
    <w:p>
      <w:pPr>
        <w:widowControl/>
        <w:shd w:val="clear" w:color="auto" w:fill="FFFFFF"/>
        <w:spacing w:line="560" w:lineRule="exact"/>
        <w:ind w:firstLine="640" w:firstLineChars="200"/>
        <w:outlineLvl w:val="0"/>
        <w:rPr>
          <w:rFonts w:ascii="仿宋" w:hAnsi="仿宋" w:eastAsia="仿宋" w:cs="仿宋"/>
          <w:color w:val="000000"/>
          <w:kern w:val="0"/>
          <w:sz w:val="32"/>
          <w:szCs w:val="32"/>
        </w:rPr>
      </w:pPr>
      <w:r>
        <w:rPr>
          <w:rFonts w:hint="eastAsia" w:ascii="仿宋" w:hAnsi="仿宋" w:eastAsia="仿宋" w:cs="仿宋"/>
          <w:color w:val="000000"/>
          <w:kern w:val="0"/>
          <w:sz w:val="32"/>
          <w:szCs w:val="32"/>
        </w:rPr>
        <w:t>（六）按规定处理园区涉外事务，管理、指导、协调招商引资、对外经济合作工作。</w:t>
      </w:r>
    </w:p>
    <w:p>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pPr>
        <w:widowControl/>
        <w:spacing w:line="60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（一）内设机构设置。株洲</w:t>
      </w:r>
      <w:r>
        <w:rPr>
          <w:rFonts w:hint="eastAsia" w:ascii="仿宋" w:hAnsi="仿宋" w:eastAsia="仿宋" w:cs="仿宋"/>
          <w:bCs/>
          <w:kern w:val="0"/>
          <w:sz w:val="32"/>
          <w:szCs w:val="32"/>
          <w:lang w:val="en-US" w:eastAsia="zh-CN"/>
        </w:rPr>
        <w:t>高新技术产业开发区田心片区管理委员会</w:t>
      </w:r>
      <w:r>
        <w:rPr>
          <w:rFonts w:hint="eastAsia" w:ascii="仿宋" w:hAnsi="仿宋" w:eastAsia="仿宋" w:cs="仿宋"/>
          <w:bCs/>
          <w:kern w:val="0"/>
          <w:sz w:val="32"/>
          <w:szCs w:val="32"/>
        </w:rPr>
        <w:t>内设机构包括：</w:t>
      </w:r>
      <w:r>
        <w:rPr>
          <w:rFonts w:hint="eastAsia" w:ascii="仿宋" w:hAnsi="仿宋" w:eastAsia="仿宋" w:cs="仿宋"/>
          <w:color w:val="000000"/>
          <w:sz w:val="32"/>
          <w:szCs w:val="32"/>
        </w:rPr>
        <w:t>办公室、</w:t>
      </w:r>
      <w:r>
        <w:rPr>
          <w:rFonts w:hint="eastAsia" w:ascii="仿宋" w:hAnsi="仿宋" w:eastAsia="仿宋" w:cs="仿宋"/>
          <w:color w:val="000000"/>
          <w:sz w:val="32"/>
          <w:szCs w:val="32"/>
          <w:lang w:val="en-US" w:eastAsia="zh-CN"/>
        </w:rPr>
        <w:t>营商环境管理局</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产业发展局（安全生产监管局）、经济合作局、开发建设局</w:t>
      </w:r>
      <w:r>
        <w:rPr>
          <w:rFonts w:hint="eastAsia" w:ascii="仿宋" w:hAnsi="仿宋" w:eastAsia="仿宋" w:cs="仿宋"/>
          <w:color w:val="000000"/>
          <w:sz w:val="32"/>
          <w:szCs w:val="32"/>
        </w:rPr>
        <w:t>。</w:t>
      </w:r>
    </w:p>
    <w:p>
      <w:pPr>
        <w:widowControl/>
        <w:spacing w:line="60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（二）决算单位构成。株洲</w:t>
      </w:r>
      <w:r>
        <w:rPr>
          <w:rFonts w:hint="eastAsia" w:ascii="仿宋" w:hAnsi="仿宋" w:eastAsia="仿宋" w:cs="仿宋"/>
          <w:bCs/>
          <w:kern w:val="0"/>
          <w:sz w:val="32"/>
          <w:szCs w:val="32"/>
          <w:lang w:val="en-US" w:eastAsia="zh-CN"/>
        </w:rPr>
        <w:t>高新技术产业开发区田心片区管理委员会</w:t>
      </w:r>
      <w:r>
        <w:rPr>
          <w:rFonts w:hint="eastAsia" w:ascii="仿宋" w:hAnsi="仿宋" w:eastAsia="仿宋" w:cs="仿宋"/>
          <w:bCs/>
          <w:kern w:val="0"/>
          <w:sz w:val="32"/>
          <w:szCs w:val="32"/>
        </w:rPr>
        <w:t>202</w:t>
      </w:r>
      <w:r>
        <w:rPr>
          <w:rFonts w:hint="eastAsia" w:ascii="仿宋" w:hAnsi="仿宋" w:eastAsia="仿宋" w:cs="仿宋"/>
          <w:bCs/>
          <w:kern w:val="0"/>
          <w:sz w:val="32"/>
          <w:szCs w:val="32"/>
          <w:lang w:val="en-US" w:eastAsia="zh-CN"/>
        </w:rPr>
        <w:t>3</w:t>
      </w:r>
      <w:r>
        <w:rPr>
          <w:rFonts w:hint="eastAsia" w:ascii="仿宋" w:hAnsi="仿宋" w:eastAsia="仿宋" w:cs="仿宋"/>
          <w:bCs/>
          <w:kern w:val="0"/>
          <w:sz w:val="32"/>
          <w:szCs w:val="32"/>
        </w:rPr>
        <w:t>年部门决算汇总公开单位构成包括：株洲</w:t>
      </w:r>
      <w:r>
        <w:rPr>
          <w:rFonts w:hint="eastAsia" w:ascii="仿宋" w:hAnsi="仿宋" w:eastAsia="仿宋" w:cs="仿宋"/>
          <w:bCs/>
          <w:kern w:val="0"/>
          <w:sz w:val="32"/>
          <w:szCs w:val="32"/>
          <w:lang w:val="en-US" w:eastAsia="zh-CN"/>
        </w:rPr>
        <w:t>高新技术产业开发区田心片区管理委员会</w:t>
      </w:r>
      <w:r>
        <w:rPr>
          <w:rFonts w:hint="eastAsia" w:ascii="仿宋" w:hAnsi="仿宋" w:eastAsia="仿宋" w:cs="仿宋"/>
          <w:bCs/>
          <w:kern w:val="0"/>
          <w:sz w:val="32"/>
          <w:szCs w:val="32"/>
        </w:rPr>
        <w:t>本级</w:t>
      </w:r>
      <w:r>
        <w:rPr>
          <w:rFonts w:hint="eastAsia" w:ascii="仿宋" w:hAnsi="仿宋" w:eastAsia="仿宋" w:cs="仿宋"/>
          <w:kern w:val="0"/>
          <w:sz w:val="24"/>
          <w:szCs w:val="24"/>
        </w:rPr>
        <w:t>。</w:t>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hint="eastAsia" w:ascii="黑体" w:hAnsi="黑体" w:eastAsia="黑体" w:cs="黑体"/>
          <w:sz w:val="76"/>
          <w:szCs w:val="76"/>
        </w:rPr>
      </w:pPr>
      <w:r>
        <w:rPr>
          <w:rFonts w:hint="eastAsia" w:ascii="黑体" w:hAnsi="黑体" w:eastAsia="黑体" w:cs="黑体"/>
          <w:sz w:val="76"/>
          <w:szCs w:val="76"/>
        </w:rPr>
        <w:t>第二部分</w:t>
      </w:r>
    </w:p>
    <w:p>
      <w:pPr>
        <w:pStyle w:val="18"/>
        <w:jc w:val="center"/>
        <w:rPr>
          <w:rFonts w:hint="eastAsia" w:ascii="黑体" w:hAnsi="黑体" w:eastAsia="黑体" w:cs="黑体"/>
          <w:sz w:val="76"/>
          <w:szCs w:val="76"/>
        </w:rPr>
      </w:pPr>
    </w:p>
    <w:p>
      <w:pPr>
        <w:pStyle w:val="18"/>
        <w:jc w:val="center"/>
        <w:rPr>
          <w:rFonts w:hint="eastAsia" w:ascii="黑体" w:hAnsi="黑体" w:eastAsia="黑体" w:cs="黑体"/>
          <w:w w:val="90"/>
          <w:sz w:val="76"/>
          <w:szCs w:val="76"/>
        </w:rPr>
      </w:pPr>
      <w:r>
        <w:rPr>
          <w:rFonts w:hint="eastAsia" w:ascii="黑体" w:hAnsi="黑体" w:eastAsia="黑体" w:cs="黑体"/>
          <w:sz w:val="76"/>
          <w:szCs w:val="76"/>
        </w:rPr>
        <w:t>部门决算表</w:t>
      </w:r>
    </w:p>
    <w:p>
      <w:pPr>
        <w:rPr>
          <w:rFonts w:ascii="Times New Roman" w:hAnsi="Times New Roman" w:eastAsia="仿宋_GB2312" w:cs="Times New Roman"/>
          <w:sz w:val="72"/>
          <w:szCs w:val="72"/>
        </w:rPr>
      </w:pPr>
    </w:p>
    <w:p>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hint="eastAsia" w:ascii="黑体" w:hAnsi="黑体" w:eastAsia="黑体" w:cs="黑体"/>
          <w:sz w:val="72"/>
          <w:szCs w:val="72"/>
        </w:rPr>
      </w:pPr>
    </w:p>
    <w:p>
      <w:pPr>
        <w:pStyle w:val="18"/>
        <w:jc w:val="center"/>
        <w:rPr>
          <w:rFonts w:hint="eastAsia" w:ascii="黑体" w:hAnsi="黑体" w:eastAsia="黑体" w:cs="黑体"/>
          <w:sz w:val="76"/>
          <w:szCs w:val="76"/>
        </w:rPr>
      </w:pPr>
      <w:r>
        <w:rPr>
          <w:rFonts w:hint="eastAsia" w:ascii="黑体" w:hAnsi="黑体" w:eastAsia="黑体" w:cs="黑体"/>
          <w:sz w:val="72"/>
          <w:szCs w:val="72"/>
        </w:rPr>
        <w:t>第三部分</w:t>
      </w:r>
    </w:p>
    <w:p>
      <w:pPr>
        <w:pStyle w:val="18"/>
        <w:jc w:val="center"/>
        <w:rPr>
          <w:rFonts w:hint="eastAsia" w:ascii="黑体" w:hAnsi="黑体" w:eastAsia="黑体" w:cs="黑体"/>
          <w:sz w:val="76"/>
          <w:szCs w:val="76"/>
        </w:rPr>
      </w:pPr>
    </w:p>
    <w:p>
      <w:pPr>
        <w:pStyle w:val="18"/>
        <w:jc w:val="center"/>
        <w:rPr>
          <w:rFonts w:hint="eastAsia" w:ascii="黑体" w:hAnsi="黑体" w:eastAsia="黑体" w:cs="黑体"/>
          <w:sz w:val="28"/>
          <w:szCs w:val="28"/>
        </w:rPr>
      </w:pPr>
      <w:r>
        <w:rPr>
          <w:rFonts w:hint="eastAsia" w:ascii="黑体" w:hAnsi="黑体" w:eastAsia="黑体" w:cs="黑体"/>
          <w:sz w:val="72"/>
          <w:szCs w:val="72"/>
        </w:rPr>
        <w:t>202</w:t>
      </w:r>
      <w:r>
        <w:rPr>
          <w:rFonts w:hint="eastAsia" w:hAnsi="黑体" w:cs="黑体"/>
          <w:sz w:val="72"/>
          <w:szCs w:val="72"/>
          <w:lang w:val="en-US" w:eastAsia="zh-CN"/>
        </w:rPr>
        <w:t>3</w:t>
      </w:r>
      <w:r>
        <w:rPr>
          <w:rFonts w:hint="eastAsia" w:ascii="黑体" w:hAnsi="黑体" w:eastAsia="黑体" w:cs="黑体"/>
          <w:sz w:val="72"/>
          <w:szCs w:val="72"/>
        </w:rPr>
        <w:t>年度部门决算情况说明</w:t>
      </w:r>
    </w:p>
    <w:p>
      <w:pPr>
        <w:pStyle w:val="18"/>
        <w:spacing w:line="570" w:lineRule="exact"/>
        <w:ind w:firstLine="640" w:firstLineChars="200"/>
        <w:jc w:val="both"/>
        <w:rPr>
          <w:rFonts w:ascii="Times New Roman" w:hAnsi="Times New Roman" w:cs="Times New Roman"/>
          <w:sz w:val="32"/>
          <w:szCs w:val="32"/>
        </w:rPr>
      </w:pPr>
    </w:p>
    <w:p>
      <w:pPr>
        <w:pStyle w:val="18"/>
        <w:spacing w:line="570" w:lineRule="exact"/>
        <w:ind w:firstLine="640" w:firstLineChars="200"/>
        <w:jc w:val="both"/>
        <w:rPr>
          <w:rFonts w:ascii="Times New Roman" w:hAnsi="Times New Roman" w:cs="Times New Roman"/>
          <w:sz w:val="32"/>
          <w:szCs w:val="32"/>
        </w:rPr>
      </w:pPr>
    </w:p>
    <w:p>
      <w:pPr>
        <w:pStyle w:val="18"/>
        <w:spacing w:line="570" w:lineRule="exact"/>
        <w:ind w:firstLine="640" w:firstLineChars="200"/>
        <w:jc w:val="both"/>
        <w:rPr>
          <w:rFonts w:ascii="Times New Roman" w:hAnsi="Times New Roman" w:cs="Times New Roman"/>
          <w:sz w:val="32"/>
          <w:szCs w:val="32"/>
        </w:rPr>
      </w:pPr>
    </w:p>
    <w:p>
      <w:pPr>
        <w:pStyle w:val="18"/>
        <w:spacing w:line="570" w:lineRule="exact"/>
        <w:ind w:firstLine="640" w:firstLineChars="200"/>
        <w:jc w:val="both"/>
        <w:rPr>
          <w:rFonts w:ascii="Times New Roman" w:hAnsi="Times New Roman" w:cs="Times New Roman"/>
          <w:sz w:val="32"/>
          <w:szCs w:val="32"/>
        </w:rPr>
      </w:pPr>
    </w:p>
    <w:p>
      <w:pPr>
        <w:pStyle w:val="18"/>
        <w:spacing w:line="570" w:lineRule="exact"/>
        <w:ind w:firstLine="640" w:firstLineChars="200"/>
        <w:jc w:val="both"/>
        <w:rPr>
          <w:rFonts w:ascii="Times New Roman" w:hAnsi="Times New Roman" w:cs="Times New Roman"/>
          <w:sz w:val="32"/>
          <w:szCs w:val="32"/>
        </w:rPr>
      </w:pPr>
    </w:p>
    <w:p>
      <w:pPr>
        <w:pStyle w:val="18"/>
        <w:spacing w:line="570" w:lineRule="exact"/>
        <w:ind w:firstLine="640" w:firstLineChars="200"/>
        <w:jc w:val="both"/>
        <w:rPr>
          <w:rFonts w:ascii="Times New Roman" w:hAnsi="Times New Roman" w:cs="Times New Roman"/>
          <w:sz w:val="32"/>
          <w:szCs w:val="32"/>
        </w:rPr>
      </w:pPr>
    </w:p>
    <w:p>
      <w:pPr>
        <w:pStyle w:val="18"/>
        <w:spacing w:line="570" w:lineRule="exact"/>
        <w:ind w:firstLine="640" w:firstLineChars="200"/>
        <w:jc w:val="both"/>
        <w:rPr>
          <w:rFonts w:ascii="Times New Roman" w:hAnsi="Times New Roman" w:cs="Times New Roman"/>
          <w:sz w:val="32"/>
          <w:szCs w:val="32"/>
        </w:rPr>
      </w:pPr>
    </w:p>
    <w:p>
      <w:pPr>
        <w:pStyle w:val="18"/>
        <w:spacing w:line="570" w:lineRule="exact"/>
        <w:ind w:firstLine="640" w:firstLineChars="200"/>
        <w:jc w:val="both"/>
        <w:rPr>
          <w:rFonts w:ascii="Times New Roman" w:hAnsi="Times New Roman" w:cs="Times New Roman"/>
          <w:sz w:val="32"/>
          <w:szCs w:val="32"/>
        </w:rPr>
      </w:pPr>
    </w:p>
    <w:p>
      <w:pPr>
        <w:pStyle w:val="18"/>
        <w:spacing w:line="570" w:lineRule="exact"/>
        <w:ind w:firstLine="640" w:firstLineChars="200"/>
        <w:jc w:val="both"/>
        <w:rPr>
          <w:rFonts w:ascii="Times New Roman" w:hAnsi="Times New Roman" w:cs="Times New Roman"/>
          <w:sz w:val="32"/>
          <w:szCs w:val="32"/>
        </w:rPr>
      </w:pPr>
    </w:p>
    <w:p>
      <w:pPr>
        <w:pStyle w:val="18"/>
        <w:spacing w:line="570" w:lineRule="exact"/>
        <w:ind w:firstLine="640" w:firstLineChars="200"/>
        <w:jc w:val="both"/>
        <w:rPr>
          <w:rFonts w:ascii="Times New Roman" w:hAnsi="Times New Roman" w:cs="Times New Roman"/>
          <w:sz w:val="32"/>
          <w:szCs w:val="32"/>
        </w:rPr>
      </w:pPr>
    </w:p>
    <w:p>
      <w:pPr>
        <w:pStyle w:val="18"/>
        <w:spacing w:line="570" w:lineRule="exact"/>
        <w:ind w:firstLine="640" w:firstLineChars="200"/>
        <w:jc w:val="both"/>
        <w:rPr>
          <w:rFonts w:ascii="Times New Roman" w:hAnsi="Times New Roman" w:cs="Times New Roman"/>
          <w:sz w:val="32"/>
          <w:szCs w:val="32"/>
        </w:rPr>
      </w:pPr>
    </w:p>
    <w:p>
      <w:pPr>
        <w:pStyle w:val="18"/>
        <w:spacing w:line="570" w:lineRule="exact"/>
        <w:jc w:val="both"/>
        <w:rPr>
          <w:rFonts w:ascii="Times New Roman" w:hAnsi="Times New Roman" w:cs="Times New Roman"/>
          <w:sz w:val="32"/>
          <w:szCs w:val="32"/>
        </w:rPr>
      </w:pPr>
    </w:p>
    <w:p>
      <w:pPr>
        <w:pStyle w:val="18"/>
        <w:numPr>
          <w:ilvl w:val="0"/>
          <w:numId w:val="2"/>
        </w:numPr>
        <w:spacing w:line="570" w:lineRule="exact"/>
        <w:ind w:left="-10" w:leftChars="0" w:firstLine="640" w:firstLineChars="0"/>
        <w:jc w:val="both"/>
        <w:rPr>
          <w:rFonts w:ascii="Times New Roman" w:hAnsi="Times New Roman" w:cs="Times New Roman"/>
          <w:sz w:val="32"/>
          <w:szCs w:val="32"/>
        </w:rPr>
      </w:pPr>
      <w:r>
        <w:rPr>
          <w:rFonts w:ascii="Times New Roman" w:hAnsi="Times New Roman" w:cs="Times New Roman"/>
          <w:sz w:val="32"/>
          <w:szCs w:val="32"/>
        </w:rPr>
        <w:t>收入支出决算总体情况说明</w:t>
      </w:r>
    </w:p>
    <w:p>
      <w:pPr>
        <w:pStyle w:val="18"/>
        <w:ind w:firstLine="960" w:firstLineChars="300"/>
        <w:rPr>
          <w:rFonts w:hint="default" w:ascii="Times New Roman" w:hAnsi="Times New Roman" w:eastAsia="黑体" w:cs="Times New Roman"/>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年度收、支总计</w:t>
      </w:r>
      <w:r>
        <w:rPr>
          <w:rFonts w:hint="eastAsia" w:ascii="仿宋" w:hAnsi="仿宋" w:eastAsia="仿宋" w:cs="仿宋"/>
          <w:sz w:val="32"/>
          <w:szCs w:val="32"/>
          <w:lang w:val="en-US" w:eastAsia="zh-CN"/>
        </w:rPr>
        <w:t>464.59</w:t>
      </w:r>
      <w:r>
        <w:rPr>
          <w:rFonts w:hint="eastAsia" w:ascii="仿宋" w:hAnsi="仿宋" w:eastAsia="仿宋" w:cs="仿宋"/>
          <w:sz w:val="32"/>
          <w:szCs w:val="32"/>
        </w:rPr>
        <w:t>万元。与上年相比，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24490.83</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98.14</w:t>
      </w:r>
      <w:r>
        <w:rPr>
          <w:rFonts w:hint="eastAsia" w:ascii="仿宋" w:hAnsi="仿宋" w:eastAsia="仿宋" w:cs="仿宋"/>
          <w:sz w:val="32"/>
          <w:szCs w:val="32"/>
        </w:rPr>
        <w:t>%，主要是因为是</w:t>
      </w:r>
      <w:r>
        <w:rPr>
          <w:rFonts w:hint="eastAsia" w:ascii="仿宋" w:hAnsi="仿宋" w:eastAsia="仿宋" w:cs="仿宋"/>
          <w:sz w:val="32"/>
          <w:szCs w:val="32"/>
          <w:lang w:eastAsia="zh-CN"/>
        </w:rPr>
        <w:t>减少</w:t>
      </w:r>
      <w:r>
        <w:rPr>
          <w:rFonts w:hint="eastAsia" w:ascii="仿宋" w:hAnsi="仿宋" w:eastAsia="仿宋" w:cs="仿宋"/>
          <w:sz w:val="32"/>
          <w:szCs w:val="32"/>
        </w:rPr>
        <w:t>轨道交通产业园雪峰岭综合配套服务基础设施建设项目</w:t>
      </w:r>
      <w:r>
        <w:rPr>
          <w:rFonts w:hint="eastAsia" w:ascii="仿宋" w:hAnsi="仿宋" w:eastAsia="仿宋" w:cs="仿宋"/>
          <w:sz w:val="32"/>
          <w:szCs w:val="32"/>
          <w:lang w:eastAsia="zh-CN"/>
        </w:rPr>
        <w:t>经费</w:t>
      </w:r>
      <w:r>
        <w:rPr>
          <w:rFonts w:hint="eastAsia" w:ascii="仿宋" w:hAnsi="仿宋" w:eastAsia="仿宋" w:cs="仿宋"/>
          <w:sz w:val="32"/>
          <w:szCs w:val="32"/>
        </w:rPr>
        <w:t>。</w:t>
      </w:r>
    </w:p>
    <w:p>
      <w:pPr>
        <w:pStyle w:val="18"/>
        <w:numPr>
          <w:ilvl w:val="0"/>
          <w:numId w:val="2"/>
        </w:numPr>
        <w:spacing w:line="570" w:lineRule="exact"/>
        <w:ind w:left="-10" w:leftChars="0" w:firstLine="640" w:firstLineChars="0"/>
        <w:jc w:val="both"/>
        <w:rPr>
          <w:rFonts w:ascii="Times New Roman" w:hAnsi="Times New Roman" w:cs="Times New Roman"/>
          <w:sz w:val="32"/>
          <w:szCs w:val="32"/>
        </w:rPr>
      </w:pPr>
      <w:r>
        <w:rPr>
          <w:rFonts w:ascii="Times New Roman" w:hAnsi="Times New Roman" w:cs="Times New Roman"/>
          <w:sz w:val="32"/>
          <w:szCs w:val="32"/>
        </w:rPr>
        <w:t>收入决算情况说明</w:t>
      </w:r>
    </w:p>
    <w:p>
      <w:pPr>
        <w:pStyle w:val="18"/>
        <w:numPr>
          <w:ilvl w:val="0"/>
          <w:numId w:val="0"/>
        </w:numPr>
        <w:spacing w:line="570" w:lineRule="exact"/>
        <w:ind w:left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年度收入合计</w:t>
      </w:r>
      <w:r>
        <w:rPr>
          <w:rFonts w:hint="eastAsia" w:ascii="仿宋" w:hAnsi="仿宋" w:eastAsia="仿宋" w:cs="仿宋"/>
          <w:sz w:val="32"/>
          <w:szCs w:val="32"/>
          <w:lang w:val="en-US" w:eastAsia="zh-CN"/>
        </w:rPr>
        <w:t>464.59</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463.77</w:t>
      </w:r>
      <w:r>
        <w:rPr>
          <w:rFonts w:hint="eastAsia" w:ascii="仿宋" w:hAnsi="仿宋" w:eastAsia="仿宋" w:cs="仿宋"/>
          <w:sz w:val="32"/>
          <w:szCs w:val="32"/>
        </w:rPr>
        <w:t>万元，占</w:t>
      </w:r>
      <w:r>
        <w:rPr>
          <w:rFonts w:hint="eastAsia" w:ascii="仿宋" w:hAnsi="仿宋" w:eastAsia="仿宋" w:cs="仿宋"/>
          <w:sz w:val="32"/>
          <w:szCs w:val="32"/>
          <w:lang w:val="en-US" w:eastAsia="zh-CN"/>
        </w:rPr>
        <w:t>99.82</w:t>
      </w:r>
      <w:r>
        <w:rPr>
          <w:rFonts w:hint="eastAsia" w:ascii="仿宋" w:hAnsi="仿宋" w:eastAsia="仿宋" w:cs="仿宋"/>
          <w:sz w:val="32"/>
          <w:szCs w:val="32"/>
        </w:rPr>
        <w:t>%</w:t>
      </w:r>
      <w:r>
        <w:rPr>
          <w:rFonts w:hint="eastAsia" w:ascii="仿宋" w:hAnsi="仿宋" w:eastAsia="仿宋" w:cs="仿宋"/>
          <w:sz w:val="32"/>
          <w:szCs w:val="32"/>
          <w:lang w:eastAsia="zh-CN"/>
        </w:rPr>
        <w:t>；其他收入</w:t>
      </w:r>
      <w:r>
        <w:rPr>
          <w:rFonts w:hint="eastAsia" w:ascii="仿宋" w:hAnsi="仿宋" w:eastAsia="仿宋" w:cs="仿宋"/>
          <w:sz w:val="32"/>
          <w:szCs w:val="32"/>
          <w:lang w:val="en-US" w:eastAsia="zh-CN"/>
        </w:rPr>
        <w:t>0.82万元，占0.18%</w:t>
      </w:r>
      <w:r>
        <w:rPr>
          <w:rFonts w:hint="eastAsia" w:ascii="仿宋" w:hAnsi="仿宋" w:eastAsia="仿宋" w:cs="仿宋"/>
          <w:sz w:val="32"/>
          <w:szCs w:val="32"/>
        </w:rPr>
        <w:t>。</w:t>
      </w:r>
    </w:p>
    <w:p>
      <w:pPr>
        <w:pStyle w:val="18"/>
        <w:numPr>
          <w:ilvl w:val="0"/>
          <w:numId w:val="2"/>
        </w:numPr>
        <w:spacing w:line="570" w:lineRule="exact"/>
        <w:ind w:left="-10" w:leftChars="0" w:firstLine="640" w:firstLineChars="0"/>
        <w:jc w:val="both"/>
        <w:rPr>
          <w:rFonts w:ascii="Times New Roman" w:hAnsi="Times New Roman" w:cs="Times New Roman"/>
          <w:sz w:val="32"/>
          <w:szCs w:val="32"/>
        </w:rPr>
      </w:pPr>
      <w:r>
        <w:rPr>
          <w:rFonts w:ascii="Times New Roman" w:hAnsi="Times New Roman" w:cs="Times New Roman"/>
          <w:sz w:val="32"/>
          <w:szCs w:val="32"/>
        </w:rPr>
        <w:t>支出决算情况说明</w:t>
      </w:r>
    </w:p>
    <w:p>
      <w:pPr>
        <w:pStyle w:val="18"/>
        <w:numPr>
          <w:ilvl w:val="0"/>
          <w:numId w:val="0"/>
        </w:numPr>
        <w:spacing w:line="570" w:lineRule="exact"/>
        <w:ind w:leftChars="200"/>
        <w:jc w:val="both"/>
        <w:rPr>
          <w:rFonts w:hint="default" w:ascii="Times New Roman" w:hAnsi="Times New Roman" w:eastAsia="黑体"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年度支出合计</w:t>
      </w:r>
      <w:r>
        <w:rPr>
          <w:rFonts w:hint="eastAsia" w:ascii="仿宋" w:hAnsi="仿宋" w:eastAsia="仿宋" w:cs="仿宋"/>
          <w:sz w:val="32"/>
          <w:szCs w:val="32"/>
          <w:lang w:val="en-US" w:eastAsia="zh-CN"/>
        </w:rPr>
        <w:t>464.59</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242.58</w:t>
      </w:r>
      <w:r>
        <w:rPr>
          <w:rFonts w:hint="eastAsia" w:ascii="仿宋" w:hAnsi="仿宋" w:eastAsia="仿宋" w:cs="仿宋"/>
          <w:sz w:val="32"/>
          <w:szCs w:val="32"/>
        </w:rPr>
        <w:t>万元，占</w:t>
      </w:r>
      <w:r>
        <w:rPr>
          <w:rFonts w:hint="eastAsia" w:ascii="仿宋" w:hAnsi="仿宋" w:eastAsia="仿宋" w:cs="仿宋"/>
          <w:sz w:val="32"/>
          <w:szCs w:val="32"/>
          <w:lang w:val="en-US" w:eastAsia="zh-CN"/>
        </w:rPr>
        <w:t>52.21</w:t>
      </w:r>
      <w:r>
        <w:rPr>
          <w:rFonts w:hint="eastAsia" w:ascii="仿宋" w:hAnsi="仿宋" w:eastAsia="仿宋" w:cs="仿宋"/>
          <w:sz w:val="32"/>
          <w:szCs w:val="32"/>
        </w:rPr>
        <w:t>%；项目支出</w:t>
      </w:r>
      <w:r>
        <w:rPr>
          <w:rFonts w:hint="eastAsia" w:ascii="仿宋" w:hAnsi="仿宋" w:eastAsia="仿宋" w:cs="仿宋"/>
          <w:sz w:val="32"/>
          <w:szCs w:val="32"/>
          <w:lang w:val="en-US" w:eastAsia="zh-CN"/>
        </w:rPr>
        <w:t>222.00</w:t>
      </w:r>
      <w:r>
        <w:rPr>
          <w:rFonts w:hint="eastAsia" w:ascii="仿宋" w:hAnsi="仿宋" w:eastAsia="仿宋" w:cs="仿宋"/>
          <w:sz w:val="32"/>
          <w:szCs w:val="32"/>
        </w:rPr>
        <w:t>万元，占</w:t>
      </w:r>
      <w:r>
        <w:rPr>
          <w:rFonts w:hint="eastAsia" w:ascii="仿宋" w:hAnsi="仿宋" w:eastAsia="仿宋" w:cs="仿宋"/>
          <w:sz w:val="32"/>
          <w:szCs w:val="32"/>
          <w:lang w:val="en-US" w:eastAsia="zh-CN"/>
        </w:rPr>
        <w:t>47.79</w:t>
      </w:r>
      <w:r>
        <w:rPr>
          <w:rFonts w:hint="eastAsia" w:ascii="仿宋" w:hAnsi="仿宋" w:eastAsia="仿宋" w:cs="仿宋"/>
          <w:sz w:val="32"/>
          <w:szCs w:val="32"/>
        </w:rPr>
        <w:t>%。</w:t>
      </w:r>
    </w:p>
    <w:p>
      <w:pPr>
        <w:pStyle w:val="18"/>
        <w:numPr>
          <w:ilvl w:val="0"/>
          <w:numId w:val="2"/>
        </w:numPr>
        <w:spacing w:line="570" w:lineRule="exact"/>
        <w:ind w:left="-10" w:leftChars="0" w:firstLine="640" w:firstLineChars="0"/>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pPr>
        <w:pStyle w:val="18"/>
        <w:ind w:firstLine="640"/>
        <w:rPr>
          <w:rFonts w:hint="eastAsia" w:ascii="Times New Roman" w:hAnsi="Times New Roman" w:eastAsia="黑体"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年度财政拨款收、支总计</w:t>
      </w:r>
      <w:r>
        <w:rPr>
          <w:rFonts w:hint="eastAsia" w:ascii="仿宋" w:hAnsi="仿宋" w:eastAsia="仿宋" w:cs="仿宋"/>
          <w:sz w:val="32"/>
          <w:szCs w:val="32"/>
          <w:lang w:val="en-US" w:eastAsia="zh-CN"/>
        </w:rPr>
        <w:t>463.77</w:t>
      </w:r>
      <w:r>
        <w:rPr>
          <w:rFonts w:hint="eastAsia" w:ascii="仿宋" w:hAnsi="仿宋" w:eastAsia="仿宋" w:cs="仿宋"/>
          <w:sz w:val="32"/>
          <w:szCs w:val="32"/>
        </w:rPr>
        <w:t>万元，与上年相比，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27207.55</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98.32</w:t>
      </w:r>
      <w:r>
        <w:rPr>
          <w:rFonts w:hint="eastAsia" w:ascii="仿宋" w:hAnsi="仿宋" w:eastAsia="仿宋" w:cs="仿宋"/>
          <w:sz w:val="32"/>
          <w:szCs w:val="32"/>
        </w:rPr>
        <w:t>%，主要是因为是</w:t>
      </w:r>
      <w:r>
        <w:rPr>
          <w:rFonts w:hint="eastAsia" w:ascii="仿宋" w:hAnsi="仿宋" w:eastAsia="仿宋" w:cs="仿宋"/>
          <w:sz w:val="32"/>
          <w:szCs w:val="32"/>
          <w:lang w:eastAsia="zh-CN"/>
        </w:rPr>
        <w:t>减少</w:t>
      </w:r>
      <w:r>
        <w:rPr>
          <w:rFonts w:hint="eastAsia" w:ascii="仿宋" w:hAnsi="仿宋" w:eastAsia="仿宋" w:cs="仿宋"/>
          <w:sz w:val="32"/>
          <w:szCs w:val="32"/>
        </w:rPr>
        <w:t>轨道交通产业园雪峰岭综合配套服务基础设施建设项目</w:t>
      </w:r>
      <w:r>
        <w:rPr>
          <w:rFonts w:hint="eastAsia" w:ascii="仿宋" w:hAnsi="仿宋" w:eastAsia="仿宋" w:cs="仿宋"/>
          <w:sz w:val="32"/>
          <w:szCs w:val="32"/>
          <w:lang w:eastAsia="zh-CN"/>
        </w:rPr>
        <w:t>经费</w:t>
      </w:r>
      <w:r>
        <w:rPr>
          <w:rFonts w:hint="eastAsia" w:ascii="仿宋" w:hAnsi="仿宋" w:eastAsia="仿宋" w:cs="仿宋"/>
          <w:sz w:val="32"/>
          <w:szCs w:val="32"/>
        </w:rPr>
        <w:t>。</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463.77</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99.82</w:t>
      </w:r>
      <w:r>
        <w:rPr>
          <w:rFonts w:hint="eastAsia" w:ascii="仿宋" w:hAnsi="仿宋" w:eastAsia="仿宋" w:cs="仿宋"/>
          <w:sz w:val="32"/>
          <w:szCs w:val="32"/>
        </w:rPr>
        <w:t>%，与上年相比，财政拨款支出</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27207.55</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98.32</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主要是因为是</w:t>
      </w:r>
      <w:r>
        <w:rPr>
          <w:rFonts w:hint="eastAsia" w:ascii="仿宋" w:hAnsi="仿宋" w:eastAsia="仿宋" w:cs="仿宋"/>
          <w:sz w:val="32"/>
          <w:szCs w:val="32"/>
          <w:lang w:eastAsia="zh-CN"/>
        </w:rPr>
        <w:t>减少</w:t>
      </w:r>
      <w:r>
        <w:rPr>
          <w:rFonts w:hint="eastAsia" w:ascii="仿宋" w:hAnsi="仿宋" w:eastAsia="仿宋" w:cs="仿宋"/>
          <w:sz w:val="32"/>
          <w:szCs w:val="32"/>
        </w:rPr>
        <w:t>轨道交通产业园雪峰岭综合配套服务基础设施建设项目</w:t>
      </w:r>
      <w:r>
        <w:rPr>
          <w:rFonts w:hint="eastAsia" w:ascii="仿宋" w:hAnsi="仿宋" w:eastAsia="仿宋" w:cs="仿宋"/>
          <w:sz w:val="32"/>
          <w:szCs w:val="32"/>
          <w:lang w:eastAsia="zh-CN"/>
        </w:rPr>
        <w:t>经费</w:t>
      </w:r>
      <w:r>
        <w:rPr>
          <w:rFonts w:hint="eastAsia" w:ascii="仿宋" w:hAnsi="仿宋" w:eastAsia="仿宋" w:cs="仿宋"/>
          <w:sz w:val="32"/>
          <w:szCs w:val="32"/>
        </w:rPr>
        <w:t>。</w:t>
      </w:r>
    </w:p>
    <w:p>
      <w:pPr>
        <w:pStyle w:val="8"/>
        <w:numPr>
          <w:ilvl w:val="0"/>
          <w:numId w:val="3"/>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pPr>
        <w:pStyle w:val="8"/>
        <w:numPr>
          <w:ilvl w:val="0"/>
          <w:numId w:val="0"/>
        </w:numPr>
        <w:autoSpaceDE w:val="0"/>
        <w:autoSpaceDN w:val="0"/>
        <w:adjustRightInd w:val="0"/>
        <w:spacing w:line="570" w:lineRule="exact"/>
        <w:rPr>
          <w:rFonts w:hint="eastAsia" w:ascii="Times New Roman" w:hAnsi="Times New Roman" w:eastAsia="仿宋" w:cs="Times New Roman"/>
          <w:b/>
          <w:color w:val="000000"/>
          <w:kern w:val="0"/>
          <w:sz w:val="32"/>
          <w:szCs w:val="32"/>
          <w:lang w:val="en-US" w:eastAsia="zh-CN"/>
        </w:rPr>
      </w:pPr>
      <w:r>
        <w:rPr>
          <w:rFonts w:hint="eastAsia" w:ascii="Times New Roman" w:hAnsi="Times New Roman" w:eastAsia="楷体_GB2312" w:cs="Times New Roman"/>
          <w:b/>
          <w:color w:val="000000"/>
          <w:kern w:val="0"/>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463.77</w:t>
      </w:r>
      <w:r>
        <w:rPr>
          <w:rFonts w:hint="eastAsia" w:ascii="仿宋" w:hAnsi="仿宋" w:eastAsia="仿宋" w:cs="仿宋"/>
          <w:sz w:val="32"/>
          <w:szCs w:val="32"/>
        </w:rPr>
        <w:t>万元，主要用于以下方面：一般公共服务（类）支出</w:t>
      </w:r>
      <w:r>
        <w:rPr>
          <w:rFonts w:hint="eastAsia" w:ascii="仿宋" w:hAnsi="仿宋" w:eastAsia="仿宋" w:cs="仿宋"/>
          <w:sz w:val="32"/>
          <w:szCs w:val="32"/>
          <w:lang w:val="en-US" w:eastAsia="zh-CN"/>
        </w:rPr>
        <w:t>262.76</w:t>
      </w:r>
      <w:r>
        <w:rPr>
          <w:rFonts w:hint="eastAsia" w:ascii="仿宋" w:hAnsi="仿宋" w:eastAsia="仿宋" w:cs="仿宋"/>
          <w:sz w:val="32"/>
          <w:szCs w:val="32"/>
        </w:rPr>
        <w:t>万元，占</w:t>
      </w:r>
      <w:r>
        <w:rPr>
          <w:rFonts w:hint="eastAsia" w:ascii="仿宋" w:hAnsi="仿宋" w:eastAsia="仿宋" w:cs="仿宋"/>
          <w:sz w:val="32"/>
          <w:szCs w:val="32"/>
          <w:lang w:val="en-US" w:eastAsia="zh-CN"/>
        </w:rPr>
        <w:t>56.66</w:t>
      </w:r>
      <w:r>
        <w:rPr>
          <w:rFonts w:hint="eastAsia" w:ascii="仿宋" w:hAnsi="仿宋" w:eastAsia="仿宋" w:cs="仿宋"/>
          <w:sz w:val="32"/>
          <w:szCs w:val="32"/>
        </w:rPr>
        <w:t>%；科学技术（类）支出</w:t>
      </w:r>
      <w:r>
        <w:rPr>
          <w:rFonts w:hint="eastAsia" w:ascii="仿宋" w:hAnsi="仿宋" w:eastAsia="仿宋" w:cs="仿宋"/>
          <w:sz w:val="32"/>
          <w:szCs w:val="32"/>
          <w:lang w:val="en-US" w:eastAsia="zh-CN"/>
        </w:rPr>
        <w:t>52.71</w:t>
      </w:r>
      <w:r>
        <w:rPr>
          <w:rFonts w:hint="eastAsia" w:ascii="仿宋" w:hAnsi="仿宋" w:eastAsia="仿宋" w:cs="仿宋"/>
          <w:sz w:val="32"/>
          <w:szCs w:val="32"/>
        </w:rPr>
        <w:t>万元，占</w:t>
      </w:r>
      <w:r>
        <w:rPr>
          <w:rFonts w:hint="eastAsia" w:ascii="仿宋" w:hAnsi="仿宋" w:eastAsia="仿宋" w:cs="仿宋"/>
          <w:sz w:val="32"/>
          <w:szCs w:val="32"/>
          <w:lang w:val="en-US" w:eastAsia="zh-CN"/>
        </w:rPr>
        <w:t>11.37</w:t>
      </w:r>
      <w:r>
        <w:rPr>
          <w:rFonts w:hint="eastAsia" w:ascii="仿宋" w:hAnsi="仿宋" w:eastAsia="仿宋" w:cs="仿宋"/>
          <w:sz w:val="32"/>
          <w:szCs w:val="32"/>
        </w:rPr>
        <w:t>%;</w:t>
      </w:r>
      <w:r>
        <w:rPr>
          <w:rFonts w:hint="eastAsia" w:ascii="仿宋" w:hAnsi="仿宋" w:eastAsia="仿宋" w:cs="仿宋"/>
          <w:sz w:val="32"/>
          <w:szCs w:val="32"/>
          <w:lang w:eastAsia="zh-CN"/>
        </w:rPr>
        <w:t>城乡社区支出</w:t>
      </w:r>
      <w:r>
        <w:rPr>
          <w:rFonts w:hint="eastAsia" w:ascii="仿宋" w:hAnsi="仿宋" w:eastAsia="仿宋" w:cs="仿宋"/>
          <w:sz w:val="32"/>
          <w:szCs w:val="32"/>
          <w:lang w:val="en-US" w:eastAsia="zh-CN"/>
        </w:rPr>
        <w:t>104.58万元，占22.55%；</w:t>
      </w:r>
      <w:r>
        <w:rPr>
          <w:rFonts w:hint="eastAsia" w:ascii="仿宋" w:hAnsi="仿宋" w:eastAsia="仿宋" w:cs="仿宋"/>
          <w:sz w:val="32"/>
          <w:szCs w:val="32"/>
        </w:rPr>
        <w:t>资源勘探工业信息（类）支出</w:t>
      </w:r>
      <w:r>
        <w:rPr>
          <w:rFonts w:hint="eastAsia" w:ascii="仿宋" w:hAnsi="仿宋" w:eastAsia="仿宋" w:cs="仿宋"/>
          <w:sz w:val="32"/>
          <w:szCs w:val="32"/>
          <w:lang w:val="en-US" w:eastAsia="zh-CN"/>
        </w:rPr>
        <w:t>43.72</w:t>
      </w:r>
      <w:r>
        <w:rPr>
          <w:rFonts w:hint="eastAsia" w:ascii="仿宋" w:hAnsi="仿宋" w:eastAsia="仿宋" w:cs="仿宋"/>
          <w:sz w:val="32"/>
          <w:szCs w:val="32"/>
        </w:rPr>
        <w:t>万元，占</w:t>
      </w:r>
      <w:r>
        <w:rPr>
          <w:rFonts w:hint="eastAsia" w:ascii="仿宋" w:hAnsi="仿宋" w:eastAsia="仿宋" w:cs="仿宋"/>
          <w:sz w:val="32"/>
          <w:szCs w:val="32"/>
          <w:lang w:val="en-US" w:eastAsia="zh-CN"/>
        </w:rPr>
        <w:t>9.42</w:t>
      </w:r>
      <w:r>
        <w:rPr>
          <w:rFonts w:hint="eastAsia" w:ascii="仿宋" w:hAnsi="仿宋" w:eastAsia="仿宋" w:cs="仿宋"/>
          <w:sz w:val="32"/>
          <w:szCs w:val="32"/>
        </w:rPr>
        <w:t>％</w:t>
      </w:r>
      <w:r>
        <w:rPr>
          <w:rFonts w:hint="eastAsia" w:ascii="仿宋" w:hAnsi="仿宋" w:eastAsia="仿宋" w:cs="仿宋"/>
          <w:sz w:val="32"/>
          <w:szCs w:val="32"/>
          <w:lang w:eastAsia="zh-CN"/>
        </w:rPr>
        <w:t>；</w:t>
      </w:r>
    </w:p>
    <w:p>
      <w:pPr>
        <w:pStyle w:val="8"/>
        <w:numPr>
          <w:ilvl w:val="0"/>
          <w:numId w:val="3"/>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pPr>
        <w:pStyle w:val="18"/>
        <w:ind w:firstLine="800" w:firstLineChars="250"/>
        <w:rPr>
          <w:rFonts w:ascii="仿宋" w:hAnsi="仿宋" w:eastAsia="仿宋" w:cs="仿宋"/>
          <w:sz w:val="32"/>
          <w:szCs w:val="32"/>
        </w:rPr>
      </w:pPr>
      <w:r>
        <w:rPr>
          <w:rFonts w:hint="eastAsia" w:ascii="Times New Roman" w:hAnsi="Times New Roman" w:eastAsia="楷体_GB2312" w:cs="Times New Roman"/>
          <w:b/>
          <w:color w:val="000000"/>
          <w:kern w:val="0"/>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年度财政拨款支出年初预算数为</w:t>
      </w:r>
      <w:r>
        <w:rPr>
          <w:rFonts w:hint="eastAsia" w:ascii="仿宋" w:hAnsi="仿宋" w:eastAsia="仿宋" w:cs="仿宋"/>
          <w:sz w:val="32"/>
          <w:szCs w:val="32"/>
          <w:lang w:val="en-US" w:eastAsia="zh-CN"/>
        </w:rPr>
        <w:t>284.18</w:t>
      </w:r>
      <w:r>
        <w:rPr>
          <w:rFonts w:hint="eastAsia" w:ascii="仿宋" w:hAnsi="仿宋" w:eastAsia="仿宋" w:cs="仿宋"/>
          <w:sz w:val="32"/>
          <w:szCs w:val="32"/>
        </w:rPr>
        <w:t>万元，支出决算数为</w:t>
      </w:r>
      <w:r>
        <w:rPr>
          <w:rFonts w:hint="eastAsia" w:ascii="仿宋" w:hAnsi="仿宋" w:eastAsia="仿宋" w:cs="仿宋"/>
          <w:sz w:val="32"/>
          <w:szCs w:val="32"/>
          <w:lang w:val="en-US" w:eastAsia="zh-CN"/>
        </w:rPr>
        <w:t>463.77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163.19</w:t>
      </w:r>
      <w:r>
        <w:rPr>
          <w:rFonts w:hint="eastAsia" w:ascii="仿宋" w:hAnsi="仿宋" w:eastAsia="仿宋" w:cs="仿宋"/>
          <w:sz w:val="32"/>
          <w:szCs w:val="32"/>
        </w:rPr>
        <w:t>%，其中：</w:t>
      </w:r>
    </w:p>
    <w:p>
      <w:pPr>
        <w:pStyle w:val="18"/>
        <w:ind w:firstLine="800" w:firstLineChars="250"/>
        <w:rPr>
          <w:rFonts w:ascii="仿宋" w:hAnsi="仿宋" w:eastAsia="仿宋" w:cs="仿宋"/>
          <w:sz w:val="32"/>
          <w:szCs w:val="32"/>
        </w:rPr>
      </w:pPr>
      <w:r>
        <w:rPr>
          <w:rFonts w:hint="eastAsia" w:ascii="仿宋" w:hAnsi="仿宋" w:eastAsia="仿宋" w:cs="仿宋"/>
          <w:sz w:val="32"/>
          <w:szCs w:val="32"/>
        </w:rPr>
        <w:t>1、一般公共服务支出（类）政府办公厅及相关机构事务（款）行政运行（项）。</w:t>
      </w:r>
    </w:p>
    <w:p>
      <w:pPr>
        <w:pStyle w:val="18"/>
        <w:ind w:firstLine="800" w:firstLineChars="250"/>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281.48</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240.86</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85.57</w:t>
      </w:r>
      <w:r>
        <w:rPr>
          <w:rFonts w:hint="eastAsia" w:ascii="仿宋" w:hAnsi="仿宋" w:eastAsia="仿宋" w:cs="仿宋"/>
          <w:sz w:val="32"/>
          <w:szCs w:val="32"/>
        </w:rPr>
        <w:t>%，决算数</w:t>
      </w:r>
      <w:r>
        <w:rPr>
          <w:rFonts w:hint="eastAsia" w:ascii="仿宋" w:hAnsi="仿宋" w:eastAsia="仿宋" w:cs="仿宋"/>
          <w:sz w:val="32"/>
          <w:szCs w:val="32"/>
          <w:lang w:eastAsia="zh-CN"/>
        </w:rPr>
        <w:t>小于</w:t>
      </w:r>
      <w:r>
        <w:rPr>
          <w:rFonts w:hint="eastAsia" w:ascii="仿宋" w:hAnsi="仿宋" w:eastAsia="仿宋" w:cs="仿宋"/>
          <w:sz w:val="32"/>
          <w:szCs w:val="32"/>
        </w:rPr>
        <w:t>年初预算数的主要原因是：</w:t>
      </w:r>
      <w:r>
        <w:rPr>
          <w:rFonts w:hint="eastAsia" w:ascii="仿宋" w:hAnsi="仿宋" w:eastAsia="仿宋" w:cs="仿宋"/>
          <w:sz w:val="32"/>
          <w:szCs w:val="32"/>
          <w:lang w:eastAsia="zh-CN"/>
        </w:rPr>
        <w:t>厉行节约，经费减少。</w:t>
      </w:r>
    </w:p>
    <w:p>
      <w:pPr>
        <w:pStyle w:val="18"/>
        <w:ind w:firstLine="800" w:firstLineChars="250"/>
        <w:rPr>
          <w:rFonts w:ascii="仿宋" w:hAnsi="仿宋" w:eastAsia="仿宋" w:cs="仿宋"/>
          <w:sz w:val="32"/>
          <w:szCs w:val="32"/>
        </w:rPr>
      </w:pPr>
      <w:r>
        <w:rPr>
          <w:rFonts w:hint="eastAsia" w:ascii="仿宋" w:hAnsi="仿宋" w:eastAsia="仿宋" w:cs="仿宋"/>
          <w:sz w:val="32"/>
          <w:szCs w:val="32"/>
        </w:rPr>
        <w:t>2、一般公共服务支出（类）政府办公厅及相关机构事务（款）一般行政管理事务（项）。</w:t>
      </w:r>
    </w:p>
    <w:p>
      <w:pPr>
        <w:pStyle w:val="18"/>
        <w:ind w:firstLine="800" w:firstLineChars="250"/>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2.70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3</w:t>
      </w:r>
      <w:r>
        <w:rPr>
          <w:rFonts w:hint="eastAsia" w:ascii="仿宋" w:hAnsi="仿宋" w:eastAsia="仿宋" w:cs="仿宋"/>
          <w:sz w:val="32"/>
          <w:szCs w:val="32"/>
        </w:rPr>
        <w:t>万元，完成年初预算的100%，决算数</w:t>
      </w:r>
      <w:r>
        <w:rPr>
          <w:rFonts w:hint="eastAsia" w:ascii="仿宋" w:hAnsi="仿宋" w:eastAsia="仿宋" w:cs="仿宋"/>
          <w:sz w:val="32"/>
          <w:szCs w:val="32"/>
          <w:lang w:eastAsia="zh-CN"/>
        </w:rPr>
        <w:t>大于</w:t>
      </w:r>
      <w:r>
        <w:rPr>
          <w:rFonts w:hint="eastAsia" w:ascii="仿宋" w:hAnsi="仿宋" w:eastAsia="仿宋" w:cs="仿宋"/>
          <w:sz w:val="32"/>
          <w:szCs w:val="32"/>
        </w:rPr>
        <w:t>年初预算数</w:t>
      </w:r>
      <w:r>
        <w:rPr>
          <w:rFonts w:hint="eastAsia" w:ascii="仿宋" w:hAnsi="仿宋" w:eastAsia="仿宋" w:cs="仿宋"/>
          <w:sz w:val="32"/>
          <w:szCs w:val="32"/>
          <w:lang w:eastAsia="zh-CN"/>
        </w:rPr>
        <w:t>的主要原因是：</w:t>
      </w:r>
      <w:r>
        <w:rPr>
          <w:rFonts w:hint="eastAsia" w:ascii="仿宋" w:hAnsi="仿宋" w:eastAsia="仿宋" w:cs="仿宋"/>
          <w:sz w:val="32"/>
          <w:szCs w:val="32"/>
        </w:rPr>
        <w:t>上级追加的专项资金支出。</w:t>
      </w:r>
    </w:p>
    <w:p>
      <w:pPr>
        <w:pStyle w:val="18"/>
        <w:numPr>
          <w:ilvl w:val="0"/>
          <w:numId w:val="4"/>
        </w:numPr>
        <w:ind w:firstLine="800" w:firstLineChars="25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一般公共服务支出（类）政府办公厅（室）及相关机构事务（款）其他政府办公厅（室）及相关机构事务支出（项）</w:t>
      </w:r>
    </w:p>
    <w:p>
      <w:pPr>
        <w:pStyle w:val="18"/>
        <w:ind w:firstLine="800" w:firstLineChars="25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年初预算为0万元，支出决算为0.90万元，完成年初预算的100%，决算数大于年初预算数的主要原因是：</w:t>
      </w:r>
      <w:r>
        <w:rPr>
          <w:rFonts w:hint="eastAsia" w:ascii="仿宋" w:hAnsi="仿宋" w:eastAsia="仿宋" w:cs="仿宋"/>
          <w:sz w:val="32"/>
          <w:szCs w:val="32"/>
        </w:rPr>
        <w:t>上级追加的专项资金支出。</w:t>
      </w:r>
    </w:p>
    <w:p>
      <w:pPr>
        <w:pStyle w:val="18"/>
        <w:numPr>
          <w:ilvl w:val="0"/>
          <w:numId w:val="4"/>
        </w:numPr>
        <w:ind w:left="0" w:leftChars="0" w:firstLine="800" w:firstLineChars="25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一般公共服务支出（类）知识产权事务（款）知道产权宏观管理（项）。</w:t>
      </w:r>
    </w:p>
    <w:p>
      <w:pPr>
        <w:pStyle w:val="18"/>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年初预算为0万元，支出决算为</w:t>
      </w:r>
      <w:r>
        <w:rPr>
          <w:rFonts w:hint="eastAsia" w:ascii="仿宋" w:hAnsi="仿宋" w:eastAsia="仿宋" w:cs="仿宋"/>
          <w:sz w:val="32"/>
          <w:szCs w:val="32"/>
          <w:lang w:val="en-US" w:eastAsia="zh-CN"/>
        </w:rPr>
        <w:t>18.00</w:t>
      </w:r>
      <w:r>
        <w:rPr>
          <w:rFonts w:hint="eastAsia" w:ascii="仿宋" w:hAnsi="仿宋" w:eastAsia="仿宋" w:cs="仿宋"/>
          <w:sz w:val="32"/>
          <w:szCs w:val="32"/>
        </w:rPr>
        <w:t>万元，完成年初预算的100%，决算数大于年初预算数的主要原因是：上级追加的专项资金支出。</w:t>
      </w:r>
    </w:p>
    <w:p>
      <w:pPr>
        <w:pStyle w:val="18"/>
        <w:ind w:firstLine="800" w:firstLineChars="250"/>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、科学技术支出（类）</w:t>
      </w:r>
      <w:r>
        <w:rPr>
          <w:rFonts w:hint="eastAsia" w:ascii="仿宋" w:hAnsi="仿宋" w:eastAsia="仿宋" w:cs="仿宋"/>
          <w:sz w:val="32"/>
          <w:szCs w:val="32"/>
          <w:lang w:eastAsia="zh-CN"/>
        </w:rPr>
        <w:t>其他科学技术支出</w:t>
      </w:r>
      <w:r>
        <w:rPr>
          <w:rFonts w:hint="eastAsia" w:ascii="仿宋" w:hAnsi="仿宋" w:eastAsia="仿宋" w:cs="仿宋"/>
          <w:sz w:val="32"/>
          <w:szCs w:val="32"/>
        </w:rPr>
        <w:t>（款）其他科学技术支出（项）。</w:t>
      </w:r>
    </w:p>
    <w:p>
      <w:pPr>
        <w:pStyle w:val="18"/>
        <w:ind w:firstLine="800" w:firstLineChars="250"/>
        <w:rPr>
          <w:rFonts w:ascii="仿宋" w:hAnsi="仿宋" w:eastAsia="仿宋" w:cs="仿宋"/>
          <w:sz w:val="32"/>
          <w:szCs w:val="32"/>
        </w:rPr>
      </w:pPr>
      <w:r>
        <w:rPr>
          <w:rFonts w:hint="eastAsia" w:ascii="仿宋" w:hAnsi="仿宋" w:eastAsia="仿宋" w:cs="仿宋"/>
          <w:sz w:val="32"/>
          <w:szCs w:val="32"/>
        </w:rPr>
        <w:t>年初预算为0万元，支出决算为</w:t>
      </w:r>
      <w:r>
        <w:rPr>
          <w:rFonts w:hint="eastAsia" w:ascii="仿宋" w:hAnsi="仿宋" w:eastAsia="仿宋" w:cs="仿宋"/>
          <w:sz w:val="32"/>
          <w:szCs w:val="32"/>
          <w:lang w:val="en-US" w:eastAsia="zh-CN"/>
        </w:rPr>
        <w:t>52.71</w:t>
      </w:r>
      <w:r>
        <w:rPr>
          <w:rFonts w:hint="eastAsia" w:ascii="仿宋" w:hAnsi="仿宋" w:eastAsia="仿宋" w:cs="仿宋"/>
          <w:sz w:val="32"/>
          <w:szCs w:val="32"/>
        </w:rPr>
        <w:t>万元，完成年初预算的100%，决算数大于年初预算数的主要原因是：上级追加的专项资金支出。</w:t>
      </w:r>
    </w:p>
    <w:p>
      <w:pPr>
        <w:pStyle w:val="18"/>
        <w:ind w:firstLine="800" w:firstLineChars="25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6、城乡社区支出（类）城乡社区管理事务（款）其他城乡社区管理事务支出（项）</w:t>
      </w:r>
    </w:p>
    <w:p>
      <w:pPr>
        <w:pStyle w:val="18"/>
        <w:ind w:firstLine="800" w:firstLineChars="25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年初预算为0万元，支出决算为104.58万元，完成年初预算的100%，决算数大于年初预算数的主要原因是：上级追加的专项资金支出。</w:t>
      </w:r>
    </w:p>
    <w:p>
      <w:pPr>
        <w:pStyle w:val="18"/>
        <w:ind w:firstLine="800" w:firstLineChars="250"/>
        <w:rPr>
          <w:rFonts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、资源勘探工业信息等支出（类）</w:t>
      </w:r>
      <w:r>
        <w:rPr>
          <w:rFonts w:hint="eastAsia" w:ascii="仿宋" w:hAnsi="仿宋" w:eastAsia="仿宋" w:cs="仿宋"/>
          <w:sz w:val="32"/>
          <w:szCs w:val="32"/>
          <w:lang w:eastAsia="zh-CN"/>
        </w:rPr>
        <w:t>工业和信息产业监管</w:t>
      </w:r>
      <w:r>
        <w:rPr>
          <w:rFonts w:hint="eastAsia" w:ascii="仿宋" w:hAnsi="仿宋" w:eastAsia="仿宋" w:cs="仿宋"/>
          <w:sz w:val="32"/>
          <w:szCs w:val="32"/>
        </w:rPr>
        <w:t>（款）</w:t>
      </w:r>
      <w:r>
        <w:rPr>
          <w:rFonts w:hint="eastAsia" w:ascii="仿宋" w:hAnsi="仿宋" w:eastAsia="仿宋" w:cs="仿宋"/>
          <w:sz w:val="32"/>
          <w:szCs w:val="32"/>
          <w:lang w:eastAsia="zh-CN"/>
        </w:rPr>
        <w:t>其他工业和信息产业监管支出</w:t>
      </w:r>
      <w:r>
        <w:rPr>
          <w:rFonts w:hint="eastAsia" w:ascii="仿宋" w:hAnsi="仿宋" w:eastAsia="仿宋" w:cs="仿宋"/>
          <w:sz w:val="32"/>
          <w:szCs w:val="32"/>
        </w:rPr>
        <w:t>（项）。</w:t>
      </w:r>
    </w:p>
    <w:p>
      <w:pPr>
        <w:pStyle w:val="18"/>
        <w:ind w:firstLine="800" w:firstLineChars="250"/>
        <w:rPr>
          <w:rFonts w:hint="eastAsia" w:ascii="仿宋" w:hAnsi="仿宋" w:eastAsia="仿宋" w:cs="仿宋"/>
          <w:sz w:val="32"/>
          <w:szCs w:val="32"/>
        </w:rPr>
      </w:pPr>
      <w:r>
        <w:rPr>
          <w:rFonts w:hint="eastAsia" w:ascii="仿宋" w:hAnsi="仿宋" w:eastAsia="仿宋" w:cs="仿宋"/>
          <w:sz w:val="32"/>
          <w:szCs w:val="32"/>
        </w:rPr>
        <w:t>年初预算为0万元，支出决算为</w:t>
      </w:r>
      <w:r>
        <w:rPr>
          <w:rFonts w:hint="eastAsia" w:ascii="仿宋" w:hAnsi="仿宋" w:eastAsia="仿宋" w:cs="仿宋"/>
          <w:sz w:val="32"/>
          <w:szCs w:val="32"/>
          <w:lang w:val="en-US" w:eastAsia="zh-CN"/>
        </w:rPr>
        <w:t>43.71</w:t>
      </w:r>
      <w:r>
        <w:rPr>
          <w:rFonts w:hint="eastAsia" w:ascii="仿宋" w:hAnsi="仿宋" w:eastAsia="仿宋" w:cs="仿宋"/>
          <w:sz w:val="32"/>
          <w:szCs w:val="32"/>
        </w:rPr>
        <w:t>万元，完成年初预算的100%，决算数大于年初预算数的主要原因是：上级追加的专项资金支出。</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六、一般公共预算财政拨款基本支出决算情况说明</w:t>
      </w:r>
    </w:p>
    <w:p>
      <w:pPr>
        <w:pStyle w:val="8"/>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年度财政拨款基本支出</w:t>
      </w:r>
      <w:r>
        <w:rPr>
          <w:rFonts w:hint="eastAsia" w:ascii="仿宋" w:hAnsi="仿宋" w:eastAsia="仿宋" w:cs="仿宋"/>
          <w:sz w:val="32"/>
          <w:szCs w:val="32"/>
          <w:lang w:val="en-US" w:eastAsia="zh-CN"/>
        </w:rPr>
        <w:t>241.77</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204.84</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84.72</w:t>
      </w:r>
      <w:r>
        <w:rPr>
          <w:rFonts w:hint="eastAsia" w:ascii="仿宋" w:hAnsi="仿宋" w:eastAsia="仿宋" w:cs="仿宋"/>
          <w:sz w:val="32"/>
          <w:szCs w:val="32"/>
        </w:rPr>
        <w:t>%,主要包括基本工资、津贴补贴、奖金、伙食补助费</w:t>
      </w:r>
      <w:r>
        <w:rPr>
          <w:rFonts w:hint="eastAsia" w:ascii="仿宋" w:hAnsi="仿宋" w:eastAsia="仿宋" w:cs="仿宋"/>
          <w:sz w:val="32"/>
          <w:szCs w:val="32"/>
          <w:lang w:eastAsia="zh-CN"/>
        </w:rPr>
        <w:t>、机关事业单位基本养老保险缴费</w:t>
      </w:r>
      <w:r>
        <w:rPr>
          <w:rFonts w:hint="eastAsia" w:ascii="仿宋" w:hAnsi="仿宋" w:eastAsia="仿宋" w:cs="仿宋"/>
          <w:sz w:val="32"/>
          <w:szCs w:val="32"/>
        </w:rPr>
        <w:t>等；公用经费</w:t>
      </w:r>
      <w:r>
        <w:rPr>
          <w:rFonts w:hint="eastAsia" w:ascii="仿宋" w:hAnsi="仿宋" w:eastAsia="仿宋" w:cs="仿宋"/>
          <w:sz w:val="32"/>
          <w:szCs w:val="32"/>
          <w:lang w:val="en-US" w:eastAsia="zh-CN"/>
        </w:rPr>
        <w:t>36.93</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15.28</w:t>
      </w:r>
      <w:r>
        <w:rPr>
          <w:rFonts w:hint="eastAsia" w:ascii="仿宋" w:hAnsi="仿宋" w:eastAsia="仿宋" w:cs="仿宋"/>
          <w:sz w:val="32"/>
          <w:szCs w:val="32"/>
        </w:rPr>
        <w:t>%，主要包括办公费、印刷费、</w:t>
      </w:r>
      <w:r>
        <w:rPr>
          <w:rFonts w:hint="eastAsia" w:ascii="仿宋" w:hAnsi="仿宋" w:eastAsia="仿宋" w:cs="仿宋"/>
          <w:sz w:val="32"/>
          <w:szCs w:val="32"/>
          <w:lang w:eastAsia="zh-CN"/>
        </w:rPr>
        <w:t>邮电费、差旅费</w:t>
      </w:r>
      <w:r>
        <w:rPr>
          <w:rFonts w:hint="eastAsia" w:ascii="仿宋" w:hAnsi="仿宋" w:eastAsia="仿宋" w:cs="仿宋"/>
          <w:sz w:val="32"/>
          <w:szCs w:val="32"/>
        </w:rPr>
        <w:t>等。</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2023年度“三公”经费财政拨款支出预算为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万元，决算数等于预算数,其中：</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因公出国（境）费支出预算为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公务接待费支出预算为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公务用车购置费支出预算为0万元，支出决算为0万元决算数等于预算数。</w:t>
      </w:r>
    </w:p>
    <w:p>
      <w:pPr>
        <w:pStyle w:val="18"/>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公务用车运行维护费支出预算为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pPr>
        <w:pStyle w:val="18"/>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8"/>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万元。其中：</w:t>
      </w:r>
    </w:p>
    <w:p>
      <w:pPr>
        <w:pStyle w:val="18"/>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pPr>
        <w:pStyle w:val="18"/>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pPr>
        <w:pStyle w:val="8"/>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pPr>
        <w:pStyle w:val="18"/>
        <w:ind w:firstLine="640" w:firstLineChars="200"/>
        <w:rPr>
          <w:rFonts w:ascii="Times New Roman" w:hAnsi="Times New Roman" w:eastAsia="黑体" w:cs="Times New Roman"/>
          <w:color w:val="000000"/>
          <w:kern w:val="0"/>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3</w:t>
      </w:r>
      <w:r>
        <w:rPr>
          <w:rFonts w:hint="eastAsia" w:ascii="仿宋" w:hAnsi="仿宋" w:eastAsia="仿宋" w:cs="仿宋"/>
          <w:sz w:val="32"/>
          <w:szCs w:val="32"/>
        </w:rPr>
        <w:t>年度政府性基金预算财政拨款收入</w:t>
      </w:r>
      <w:r>
        <w:rPr>
          <w:rFonts w:hint="eastAsia" w:ascii="仿宋" w:hAnsi="仿宋" w:eastAsia="仿宋" w:cs="仿宋"/>
          <w:sz w:val="32"/>
          <w:szCs w:val="32"/>
          <w:lang w:val="en-US" w:eastAsia="zh-CN"/>
        </w:rPr>
        <w:t>84.58</w:t>
      </w:r>
      <w:r>
        <w:rPr>
          <w:rFonts w:hint="eastAsia" w:ascii="仿宋" w:hAnsi="仿宋" w:eastAsia="仿宋" w:cs="仿宋"/>
          <w:sz w:val="32"/>
          <w:szCs w:val="32"/>
        </w:rPr>
        <w:t>万元；年初结转和结余0万元；支出</w:t>
      </w:r>
      <w:r>
        <w:rPr>
          <w:rFonts w:hint="eastAsia" w:ascii="仿宋" w:hAnsi="仿宋" w:eastAsia="仿宋" w:cs="仿宋"/>
          <w:sz w:val="32"/>
          <w:szCs w:val="32"/>
          <w:lang w:val="en-US" w:eastAsia="zh-CN"/>
        </w:rPr>
        <w:t>84.58</w:t>
      </w:r>
      <w:r>
        <w:rPr>
          <w:rFonts w:hint="eastAsia" w:ascii="仿宋" w:hAnsi="仿宋" w:eastAsia="仿宋" w:cs="仿宋"/>
          <w:sz w:val="32"/>
          <w:szCs w:val="32"/>
        </w:rPr>
        <w:t>万元，其中基本支出0万元，项目支出</w:t>
      </w:r>
      <w:r>
        <w:rPr>
          <w:rFonts w:hint="eastAsia" w:ascii="仿宋" w:hAnsi="仿宋" w:eastAsia="仿宋" w:cs="仿宋"/>
          <w:sz w:val="32"/>
          <w:szCs w:val="32"/>
          <w:lang w:val="en-US" w:eastAsia="zh-CN"/>
        </w:rPr>
        <w:t>84.58</w:t>
      </w:r>
      <w:r>
        <w:rPr>
          <w:rFonts w:hint="eastAsia" w:ascii="仿宋" w:hAnsi="仿宋" w:eastAsia="仿宋" w:cs="仿宋"/>
          <w:sz w:val="32"/>
          <w:szCs w:val="32"/>
        </w:rPr>
        <w:t>万元；年末结转和结余0万元。</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pPr>
        <w:pStyle w:val="8"/>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pPr>
        <w:pStyle w:val="8"/>
        <w:numPr>
          <w:ilvl w:val="0"/>
          <w:numId w:val="5"/>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pPr>
        <w:pStyle w:val="18"/>
        <w:ind w:firstLine="640" w:firstLineChars="200"/>
        <w:rPr>
          <w:rFonts w:hint="default" w:ascii="Times New Roman" w:hAnsi="Times New Roman" w:eastAsia="黑体" w:cs="Times New Roman"/>
          <w:color w:val="000000"/>
          <w:kern w:val="0"/>
          <w:sz w:val="32"/>
          <w:szCs w:val="32"/>
          <w:lang w:val="en-US" w:eastAsia="zh-CN"/>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3</w:t>
      </w:r>
      <w:r>
        <w:rPr>
          <w:rFonts w:hint="eastAsia" w:ascii="仿宋" w:hAnsi="仿宋" w:eastAsia="仿宋" w:cs="仿宋"/>
          <w:sz w:val="32"/>
          <w:szCs w:val="32"/>
        </w:rPr>
        <w:t>年度机关运行经费支出</w:t>
      </w:r>
      <w:r>
        <w:rPr>
          <w:rFonts w:hint="eastAsia" w:ascii="仿宋" w:hAnsi="仿宋" w:eastAsia="仿宋" w:cs="仿宋"/>
          <w:sz w:val="32"/>
          <w:szCs w:val="32"/>
          <w:lang w:val="en-US" w:eastAsia="zh-CN"/>
        </w:rPr>
        <w:t>36.93</w:t>
      </w:r>
      <w:r>
        <w:rPr>
          <w:rFonts w:hint="eastAsia" w:ascii="仿宋" w:hAnsi="仿宋" w:eastAsia="仿宋" w:cs="仿宋"/>
          <w:sz w:val="32"/>
          <w:szCs w:val="32"/>
        </w:rPr>
        <w:t>万元，比年初预算数</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4.43</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13.63</w:t>
      </w:r>
      <w:r>
        <w:rPr>
          <w:rFonts w:hint="eastAsia" w:ascii="仿宋" w:hAnsi="仿宋" w:eastAsia="仿宋" w:cs="仿宋"/>
          <w:sz w:val="32"/>
          <w:szCs w:val="32"/>
        </w:rPr>
        <w:t>%。决算数</w:t>
      </w:r>
      <w:r>
        <w:rPr>
          <w:rFonts w:hint="eastAsia" w:ascii="仿宋" w:hAnsi="仿宋" w:eastAsia="仿宋" w:cs="仿宋"/>
          <w:sz w:val="32"/>
          <w:szCs w:val="32"/>
          <w:lang w:eastAsia="zh-CN"/>
        </w:rPr>
        <w:t>大于</w:t>
      </w:r>
      <w:r>
        <w:rPr>
          <w:rFonts w:hint="eastAsia" w:ascii="仿宋" w:hAnsi="仿宋" w:eastAsia="仿宋" w:cs="仿宋"/>
          <w:sz w:val="32"/>
          <w:szCs w:val="32"/>
        </w:rPr>
        <w:t>年初预算数</w:t>
      </w:r>
      <w:r>
        <w:rPr>
          <w:rFonts w:hint="eastAsia" w:ascii="仿宋" w:hAnsi="仿宋" w:eastAsia="仿宋" w:cs="仿宋"/>
          <w:sz w:val="32"/>
          <w:szCs w:val="32"/>
          <w:lang w:eastAsia="zh-CN"/>
        </w:rPr>
        <w:t>，</w:t>
      </w:r>
      <w:r>
        <w:rPr>
          <w:rFonts w:hint="eastAsia" w:ascii="仿宋" w:hAnsi="仿宋" w:eastAsia="仿宋"/>
          <w:sz w:val="32"/>
          <w:szCs w:val="32"/>
        </w:rPr>
        <w:t>主要原因是</w:t>
      </w:r>
      <w:r>
        <w:rPr>
          <w:rFonts w:hint="eastAsia" w:ascii="仿宋" w:hAnsi="仿宋" w:eastAsia="仿宋" w:cs="仿宋"/>
          <w:sz w:val="32"/>
          <w:szCs w:val="32"/>
          <w:lang w:eastAsia="zh-CN"/>
        </w:rPr>
        <w:t>职工保险基数提高。</w:t>
      </w:r>
    </w:p>
    <w:p>
      <w:pPr>
        <w:pStyle w:val="8"/>
        <w:numPr>
          <w:ilvl w:val="0"/>
          <w:numId w:val="5"/>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pPr>
        <w:pStyle w:val="18"/>
        <w:ind w:firstLine="800" w:firstLineChars="250"/>
        <w:rPr>
          <w:rFonts w:ascii="Times New Roman" w:hAnsi="Times New Roman" w:eastAsia="黑体" w:cs="Times New Roman"/>
          <w:color w:val="000000"/>
          <w:kern w:val="0"/>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年本部门开支会议费</w:t>
      </w:r>
      <w:r>
        <w:rPr>
          <w:rFonts w:hint="eastAsia" w:ascii="仿宋" w:hAnsi="仿宋" w:eastAsia="仿宋"/>
          <w:sz w:val="32"/>
          <w:szCs w:val="32"/>
          <w:lang w:val="en-US" w:eastAsia="zh-CN"/>
        </w:rPr>
        <w:t>0.10</w:t>
      </w:r>
      <w:r>
        <w:rPr>
          <w:rFonts w:hint="eastAsia" w:ascii="仿宋" w:hAnsi="仿宋" w:eastAsia="仿宋"/>
          <w:sz w:val="32"/>
          <w:szCs w:val="32"/>
        </w:rPr>
        <w:t>万元，人数</w:t>
      </w:r>
      <w:r>
        <w:rPr>
          <w:rFonts w:hint="eastAsia" w:ascii="仿宋" w:hAnsi="仿宋" w:eastAsia="仿宋"/>
          <w:sz w:val="32"/>
          <w:szCs w:val="32"/>
          <w:lang w:val="en-US" w:eastAsia="zh-CN"/>
        </w:rPr>
        <w:t>20</w:t>
      </w:r>
      <w:r>
        <w:rPr>
          <w:rFonts w:hint="eastAsia" w:ascii="仿宋" w:hAnsi="仿宋" w:eastAsia="仿宋"/>
          <w:sz w:val="32"/>
          <w:szCs w:val="32"/>
        </w:rPr>
        <w:t>人；开支培训费</w:t>
      </w:r>
      <w:r>
        <w:rPr>
          <w:rFonts w:hint="eastAsia" w:ascii="仿宋" w:hAnsi="仿宋" w:eastAsia="仿宋"/>
          <w:sz w:val="32"/>
          <w:szCs w:val="32"/>
          <w:lang w:val="en-US" w:eastAsia="zh-CN"/>
        </w:rPr>
        <w:t>0.02</w:t>
      </w:r>
      <w:r>
        <w:rPr>
          <w:rFonts w:hint="eastAsia" w:ascii="仿宋" w:hAnsi="仿宋" w:eastAsia="仿宋"/>
          <w:sz w:val="32"/>
          <w:szCs w:val="32"/>
        </w:rPr>
        <w:t>万元，人数</w:t>
      </w:r>
      <w:r>
        <w:rPr>
          <w:rFonts w:hint="eastAsia" w:ascii="仿宋" w:hAnsi="仿宋" w:eastAsia="仿宋"/>
          <w:sz w:val="32"/>
          <w:szCs w:val="32"/>
          <w:lang w:val="en-US" w:eastAsia="zh-CN"/>
        </w:rPr>
        <w:t>1</w:t>
      </w:r>
      <w:r>
        <w:rPr>
          <w:rFonts w:hint="eastAsia" w:ascii="仿宋" w:hAnsi="仿宋" w:eastAsia="仿宋"/>
          <w:sz w:val="32"/>
          <w:szCs w:val="32"/>
        </w:rPr>
        <w:t>人</w:t>
      </w:r>
      <w:r>
        <w:rPr>
          <w:rFonts w:hint="eastAsia" w:ascii="仿宋" w:hAnsi="仿宋" w:eastAsia="仿宋"/>
          <w:sz w:val="32"/>
          <w:szCs w:val="32"/>
          <w:lang w:eastAsia="zh-CN"/>
        </w:rPr>
        <w:t>。</w:t>
      </w:r>
    </w:p>
    <w:p>
      <w:pPr>
        <w:pStyle w:val="8"/>
        <w:numPr>
          <w:ilvl w:val="0"/>
          <w:numId w:val="5"/>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pPr>
        <w:pStyle w:val="8"/>
        <w:numPr>
          <w:ilvl w:val="0"/>
          <w:numId w:val="0"/>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3</w:t>
      </w:r>
      <w:r>
        <w:rPr>
          <w:rFonts w:hint="eastAsia" w:ascii="仿宋" w:hAnsi="仿宋" w:eastAsia="仿宋" w:cs="仿宋"/>
          <w:sz w:val="32"/>
          <w:szCs w:val="32"/>
        </w:rPr>
        <w:t>年度政府采购支出总额</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万元、政府采购工程支出0 万元、政府采购服务支出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十三、国有资产占用情况说明</w:t>
      </w:r>
    </w:p>
    <w:p>
      <w:pPr>
        <w:pStyle w:val="18"/>
        <w:ind w:firstLine="640" w:firstLineChars="200"/>
        <w:rPr>
          <w:rFonts w:ascii="Times New Roman" w:hAnsi="Times New Roman" w:cs="Times New Roman"/>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3</w:t>
      </w:r>
      <w:r>
        <w:rPr>
          <w:rFonts w:hint="eastAsia" w:ascii="仿宋" w:hAnsi="仿宋" w:eastAsia="仿宋" w:cs="仿宋"/>
          <w:sz w:val="32"/>
          <w:szCs w:val="32"/>
        </w:rPr>
        <w:t>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（一）绩效管理评价工作开展情况。</w:t>
      </w:r>
    </w:p>
    <w:p>
      <w:pPr>
        <w:autoSpaceDE w:val="0"/>
        <w:autoSpaceDN w:val="0"/>
        <w:adjustRightInd w:val="0"/>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根据预算绩效管理要求，我部门组织对2023年度一般公共预算项目支出全面开展绩效自评，其中，一级项目5个，二级项目0 个，共涉及资金379.19万元，占一般公共预算项目支出总额的100%。组织对2023年度1 个政府性基金预算项目支出开展绩效自评，共涉及资金84.58万元，占政府性基金预算项目支出总额的100%。</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（二）部门评价项目绩效评价结果。</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对应年初预算申报及年中预算调整的子项目分别描述绩效情况（可单独提供项目绩效评价报告），格式参考如下：</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项目“</w:t>
      </w:r>
      <w:r>
        <w:rPr>
          <w:rFonts w:hint="eastAsia" w:ascii="Times New Roman" w:hAnsi="Times New Roman" w:eastAsia="仿宋_GB2312" w:cs="Times New Roman"/>
          <w:color w:val="000000" w:themeColor="text1"/>
          <w:sz w:val="32"/>
          <w:szCs w:val="32"/>
          <w14:textFill>
            <w14:solidFill>
              <w14:schemeClr w14:val="tx1"/>
            </w14:solidFill>
          </w14:textFill>
        </w:rPr>
        <w:t>业务性专项</w:t>
      </w:r>
      <w:r>
        <w:rPr>
          <w:rFonts w:ascii="Times New Roman" w:hAnsi="Times New Roman" w:eastAsia="仿宋_GB2312" w:cs="Times New Roman"/>
          <w:color w:val="000000" w:themeColor="text1"/>
          <w:sz w:val="32"/>
          <w:szCs w:val="32"/>
          <w14:textFill>
            <w14:solidFill>
              <w14:schemeClr w14:val="tx1"/>
            </w14:solidFill>
          </w14:textFill>
        </w:rPr>
        <w:t>项目</w:t>
      </w:r>
      <w:r>
        <w:rPr>
          <w:rFonts w:ascii="Times New Roman" w:hAnsi="Times New Roman" w:eastAsia="仿宋_GB2312" w:cs="Times New Roman"/>
          <w:sz w:val="32"/>
          <w:szCs w:val="32"/>
        </w:rPr>
        <w:t>”年初预算金额</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实际支出</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万元。项目实施及绩效情况如下：</w:t>
      </w:r>
    </w:p>
    <w:p>
      <w:pPr>
        <w:tabs>
          <w:tab w:val="left" w:pos="7560"/>
        </w:tabs>
        <w:adjustRightInd w:val="0"/>
        <w:snapToGrid w:val="0"/>
        <w:spacing w:line="54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业务性专项</w:t>
      </w:r>
      <w:r>
        <w:rPr>
          <w:rFonts w:ascii="Times New Roman" w:hAnsi="Times New Roman" w:eastAsia="仿宋_GB2312" w:cs="Times New Roman"/>
          <w:color w:val="000000" w:themeColor="text1"/>
          <w:sz w:val="32"/>
          <w:szCs w:val="32"/>
          <w14:textFill>
            <w14:solidFill>
              <w14:schemeClr w14:val="tx1"/>
            </w14:solidFill>
          </w14:textFill>
        </w:rPr>
        <w:t>项目</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项目支出</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万元</w:t>
      </w:r>
      <w:r>
        <w:rPr>
          <w:rFonts w:ascii="Times New Roman" w:hAnsi="Times New Roman" w:eastAsia="仿宋_GB2312" w:cs="Times New Roman"/>
          <w:sz w:val="32"/>
          <w:szCs w:val="32"/>
        </w:rPr>
        <w:t>，主要用于</w:t>
      </w:r>
      <w:r>
        <w:rPr>
          <w:rFonts w:hint="eastAsia" w:ascii="Times New Roman" w:hAnsi="Times New Roman" w:eastAsia="仿宋_GB2312" w:cs="Times New Roman"/>
          <w:color w:val="000000" w:themeColor="text1"/>
          <w:sz w:val="32"/>
          <w:szCs w:val="32"/>
          <w14:textFill>
            <w14:solidFill>
              <w14:schemeClr w14:val="tx1"/>
            </w14:solidFill>
          </w14:textFill>
        </w:rPr>
        <w:t>先进轨道交通产业链及园区招商推介手册支出。</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项目“</w:t>
      </w:r>
      <w:r>
        <w:rPr>
          <w:rFonts w:ascii="Times New Roman" w:hAnsi="Times New Roman" w:eastAsia="仿宋_GB2312" w:cs="Times New Roman"/>
          <w:color w:val="000000" w:themeColor="text1"/>
          <w:sz w:val="32"/>
          <w:szCs w:val="32"/>
          <w14:textFill>
            <w14:solidFill>
              <w14:schemeClr w14:val="tx1"/>
            </w14:solidFill>
          </w14:textFill>
        </w:rPr>
        <w:t>田心高科园工业用地出让收入</w:t>
      </w:r>
      <w:r>
        <w:rPr>
          <w:rFonts w:ascii="Times New Roman" w:hAnsi="Times New Roman" w:eastAsia="仿宋_GB2312" w:cs="Times New Roman"/>
          <w:sz w:val="32"/>
          <w:szCs w:val="32"/>
        </w:rPr>
        <w:t>”年初预算金额</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万元，年中</w:t>
      </w:r>
      <w:r>
        <w:rPr>
          <w:rFonts w:hint="eastAsia" w:ascii="Times New Roman" w:hAnsi="Times New Roman" w:eastAsia="仿宋_GB2312" w:cs="Times New Roman"/>
          <w:sz w:val="32"/>
          <w:szCs w:val="32"/>
        </w:rPr>
        <w:t>追加3082.67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调减9.60万元，</w:t>
      </w:r>
      <w:r>
        <w:rPr>
          <w:rFonts w:ascii="Times New Roman" w:hAnsi="Times New Roman" w:eastAsia="仿宋_GB2312" w:cs="Times New Roman"/>
          <w:sz w:val="32"/>
          <w:szCs w:val="32"/>
        </w:rPr>
        <w:t>实际支出</w:t>
      </w:r>
      <w:r>
        <w:rPr>
          <w:rFonts w:hint="eastAsia" w:ascii="Times New Roman" w:hAnsi="Times New Roman" w:eastAsia="仿宋_GB2312" w:cs="Times New Roman"/>
          <w:sz w:val="32"/>
          <w:szCs w:val="32"/>
        </w:rPr>
        <w:t>84.58</w:t>
      </w:r>
      <w:r>
        <w:rPr>
          <w:rFonts w:ascii="Times New Roman" w:hAnsi="Times New Roman" w:eastAsia="仿宋_GB2312" w:cs="Times New Roman"/>
          <w:sz w:val="32"/>
          <w:szCs w:val="32"/>
        </w:rPr>
        <w:t>万元，结余结转</w:t>
      </w:r>
      <w:r>
        <w:rPr>
          <w:rFonts w:hint="eastAsia" w:ascii="Times New Roman" w:hAnsi="Times New Roman" w:eastAsia="仿宋_GB2312" w:cs="Times New Roman"/>
          <w:sz w:val="32"/>
          <w:szCs w:val="32"/>
        </w:rPr>
        <w:t>2988.49</w:t>
      </w:r>
      <w:r>
        <w:rPr>
          <w:rFonts w:ascii="Times New Roman" w:hAnsi="Times New Roman" w:eastAsia="仿宋_GB2312" w:cs="Times New Roman"/>
          <w:sz w:val="32"/>
          <w:szCs w:val="32"/>
        </w:rPr>
        <w:t>万元。项目实施及绩效情况如下：</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田心高科园工业用地出让收入</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主要用于中车大道补征地前期费用、株机公司车辆调试试验资源技术改造项目费用等支出。</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园区考核奖励资金</w:t>
      </w:r>
      <w:r>
        <w:rPr>
          <w:rFonts w:ascii="Times New Roman" w:hAnsi="Times New Roman" w:eastAsia="仿宋_GB2312" w:cs="Times New Roman"/>
          <w:sz w:val="32"/>
          <w:szCs w:val="32"/>
        </w:rPr>
        <w:t>”年初预算金额</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追加200.33万元，</w:t>
      </w:r>
      <w:r>
        <w:rPr>
          <w:rFonts w:ascii="Times New Roman" w:hAnsi="Times New Roman" w:eastAsia="仿宋_GB2312" w:cs="Times New Roman"/>
          <w:sz w:val="32"/>
          <w:szCs w:val="32"/>
        </w:rPr>
        <w:t>实际支出</w:t>
      </w:r>
      <w:r>
        <w:rPr>
          <w:rFonts w:hint="eastAsia" w:ascii="Times New Roman" w:hAnsi="Times New Roman" w:eastAsia="仿宋_GB2312" w:cs="Times New Roman"/>
          <w:sz w:val="32"/>
          <w:szCs w:val="32"/>
        </w:rPr>
        <w:t>96.42</w:t>
      </w:r>
      <w:r>
        <w:rPr>
          <w:rFonts w:ascii="Times New Roman" w:hAnsi="Times New Roman" w:eastAsia="仿宋_GB2312" w:cs="Times New Roman"/>
          <w:sz w:val="32"/>
          <w:szCs w:val="32"/>
        </w:rPr>
        <w:t>万元，结余结转</w:t>
      </w:r>
      <w:r>
        <w:rPr>
          <w:rFonts w:hint="eastAsia" w:ascii="Times New Roman" w:hAnsi="Times New Roman" w:eastAsia="仿宋_GB2312" w:cs="Times New Roman"/>
          <w:sz w:val="32"/>
          <w:szCs w:val="32"/>
        </w:rPr>
        <w:t>103.91</w:t>
      </w:r>
      <w:r>
        <w:rPr>
          <w:rFonts w:ascii="Times New Roman" w:hAnsi="Times New Roman" w:eastAsia="仿宋_GB2312" w:cs="Times New Roman"/>
          <w:sz w:val="32"/>
          <w:szCs w:val="32"/>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园区考核奖励资金项</w:t>
      </w:r>
      <w:r>
        <w:rPr>
          <w:rFonts w:hint="eastAsia" w:ascii="Times New Roman" w:hAnsi="Times New Roman" w:eastAsia="仿宋_GB2312" w:cs="Times New Roman"/>
          <w:sz w:val="32"/>
          <w:szCs w:val="32"/>
          <w:lang w:eastAsia="zh-CN"/>
        </w:rPr>
        <w:t>目</w:t>
      </w:r>
    </w:p>
    <w:p>
      <w:pPr>
        <w:tabs>
          <w:tab w:val="left" w:pos="7560"/>
        </w:tabs>
        <w:adjustRightInd w:val="0"/>
        <w:snapToGrid w:val="0"/>
        <w:spacing w:line="540" w:lineRule="exact"/>
        <w:ind w:firstLine="640" w:firstLineChars="200"/>
        <w:jc w:val="left"/>
        <w:rPr>
          <w:rFonts w:eastAsia="仿宋_GB2312"/>
        </w:rPr>
      </w:pP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96.42</w:t>
      </w:r>
      <w:r>
        <w:rPr>
          <w:rFonts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rPr>
        <w:t>环保管家费用、企业综合评价费用、安全生产风险评估以及钉钉办公软件费用等支出。</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知识产权战略失时专项资金</w:t>
      </w:r>
      <w:r>
        <w:rPr>
          <w:rFonts w:ascii="Times New Roman" w:hAnsi="Times New Roman" w:eastAsia="仿宋_GB2312" w:cs="Times New Roman"/>
          <w:sz w:val="32"/>
          <w:szCs w:val="32"/>
        </w:rPr>
        <w:t>”年初预算金额</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万元，年中调增</w:t>
      </w:r>
      <w:r>
        <w:rPr>
          <w:rFonts w:hint="eastAsia" w:ascii="Times New Roman" w:hAnsi="Times New Roman" w:eastAsia="仿宋_GB2312" w:cs="Times New Roman"/>
          <w:sz w:val="32"/>
          <w:szCs w:val="32"/>
        </w:rPr>
        <w:t>20.00</w:t>
      </w:r>
      <w:r>
        <w:rPr>
          <w:rFonts w:ascii="Times New Roman" w:hAnsi="Times New Roman" w:eastAsia="仿宋_GB2312" w:cs="Times New Roman"/>
          <w:sz w:val="32"/>
          <w:szCs w:val="32"/>
        </w:rPr>
        <w:t>万元，实际支出</w:t>
      </w:r>
      <w:r>
        <w:rPr>
          <w:rFonts w:hint="eastAsia" w:ascii="Times New Roman" w:hAnsi="Times New Roman" w:eastAsia="仿宋_GB2312" w:cs="Times New Roman"/>
          <w:sz w:val="32"/>
          <w:szCs w:val="32"/>
        </w:rPr>
        <w:t>18.00</w:t>
      </w:r>
      <w:r>
        <w:rPr>
          <w:rFonts w:ascii="Times New Roman" w:hAnsi="Times New Roman" w:eastAsia="仿宋_GB2312" w:cs="Times New Roman"/>
          <w:sz w:val="32"/>
          <w:szCs w:val="32"/>
        </w:rPr>
        <w:t>万元，结余结转</w:t>
      </w:r>
      <w:r>
        <w:rPr>
          <w:rFonts w:hint="eastAsia" w:ascii="Times New Roman" w:hAnsi="Times New Roman" w:eastAsia="仿宋_GB2312" w:cs="Times New Roman"/>
          <w:sz w:val="32"/>
          <w:szCs w:val="32"/>
        </w:rPr>
        <w:t>2.00</w:t>
      </w:r>
      <w:r>
        <w:rPr>
          <w:rFonts w:ascii="Times New Roman" w:hAnsi="Times New Roman" w:eastAsia="仿宋_GB2312" w:cs="Times New Roman"/>
          <w:sz w:val="32"/>
          <w:szCs w:val="32"/>
        </w:rPr>
        <w:t>万元。项目实施及绩效情况如下：</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知识产权战略失时专项资金</w:t>
      </w:r>
      <w:r>
        <w:rPr>
          <w:rFonts w:ascii="Times New Roman" w:hAnsi="Times New Roman" w:eastAsia="仿宋_GB2312" w:cs="Times New Roman"/>
          <w:sz w:val="32"/>
          <w:szCs w:val="32"/>
        </w:rPr>
        <w:t>项目</w:t>
      </w:r>
    </w:p>
    <w:p>
      <w:pPr>
        <w:pStyle w:val="3"/>
        <w:ind w:firstLine="640" w:firstLineChars="200"/>
        <w:rPr>
          <w:rFonts w:eastAsia="仿宋_GB2312"/>
          <w:sz w:val="32"/>
          <w:szCs w:val="32"/>
        </w:rPr>
      </w:pPr>
      <w:r>
        <w:rPr>
          <w:rFonts w:eastAsia="仿宋_GB2312"/>
          <w:sz w:val="32"/>
          <w:szCs w:val="32"/>
        </w:rPr>
        <w:t>项目支出</w:t>
      </w:r>
      <w:r>
        <w:rPr>
          <w:rFonts w:hint="eastAsia" w:eastAsia="仿宋_GB2312"/>
          <w:sz w:val="32"/>
          <w:szCs w:val="32"/>
        </w:rPr>
        <w:t>18.00</w:t>
      </w:r>
      <w:r>
        <w:rPr>
          <w:rFonts w:eastAsia="仿宋_GB2312"/>
          <w:sz w:val="32"/>
          <w:szCs w:val="32"/>
        </w:rPr>
        <w:t>万元，主要用于</w:t>
      </w:r>
      <w:r>
        <w:rPr>
          <w:rFonts w:hint="eastAsia" w:eastAsia="仿宋_GB2312"/>
          <w:sz w:val="32"/>
          <w:szCs w:val="32"/>
        </w:rPr>
        <w:t>知识产权管理费用支出。</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两图两库两报告工作经费</w:t>
      </w:r>
      <w:r>
        <w:rPr>
          <w:rFonts w:ascii="Times New Roman" w:hAnsi="Times New Roman" w:eastAsia="仿宋_GB2312" w:cs="Times New Roman"/>
          <w:sz w:val="32"/>
          <w:szCs w:val="32"/>
        </w:rPr>
        <w:t>”年初预算金额</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万元，年中调增</w:t>
      </w:r>
      <w:r>
        <w:rPr>
          <w:rFonts w:hint="eastAsia" w:ascii="Times New Roman" w:hAnsi="Times New Roman" w:eastAsia="仿宋_GB2312" w:cs="Times New Roman"/>
          <w:sz w:val="32"/>
          <w:szCs w:val="32"/>
        </w:rPr>
        <w:t>20.00</w:t>
      </w:r>
      <w:r>
        <w:rPr>
          <w:rFonts w:ascii="Times New Roman" w:hAnsi="Times New Roman" w:eastAsia="仿宋_GB2312" w:cs="Times New Roman"/>
          <w:sz w:val="32"/>
          <w:szCs w:val="32"/>
        </w:rPr>
        <w:t>万元，实际支出</w:t>
      </w:r>
      <w:r>
        <w:rPr>
          <w:rFonts w:hint="eastAsia" w:ascii="Times New Roman" w:hAnsi="Times New Roman" w:eastAsia="仿宋_GB2312" w:cs="Times New Roman"/>
          <w:sz w:val="32"/>
          <w:szCs w:val="32"/>
        </w:rPr>
        <w:t>20.00</w:t>
      </w:r>
      <w:r>
        <w:rPr>
          <w:rFonts w:ascii="Times New Roman" w:hAnsi="Times New Roman" w:eastAsia="仿宋_GB2312" w:cs="Times New Roman"/>
          <w:sz w:val="32"/>
          <w:szCs w:val="32"/>
        </w:rPr>
        <w:t>万元。项目实施及绩效情况如下：</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两图两库两报告工作经费</w:t>
      </w:r>
      <w:r>
        <w:rPr>
          <w:rFonts w:ascii="Times New Roman" w:hAnsi="Times New Roman" w:eastAsia="仿宋_GB2312" w:cs="Times New Roman"/>
          <w:sz w:val="32"/>
          <w:szCs w:val="32"/>
        </w:rPr>
        <w:t>项目</w:t>
      </w:r>
    </w:p>
    <w:p>
      <w:pPr>
        <w:tabs>
          <w:tab w:val="left" w:pos="7560"/>
        </w:tabs>
        <w:adjustRightInd w:val="0"/>
        <w:snapToGrid w:val="0"/>
        <w:spacing w:line="540" w:lineRule="exact"/>
        <w:ind w:firstLine="640" w:firstLineChars="200"/>
        <w:jc w:val="left"/>
        <w:rPr>
          <w:rFonts w:eastAsia="仿宋_GB2312"/>
          <w:sz w:val="32"/>
          <w:szCs w:val="32"/>
        </w:rPr>
      </w:pPr>
      <w:r>
        <w:rPr>
          <w:rFonts w:eastAsia="仿宋_GB2312"/>
          <w:sz w:val="32"/>
          <w:szCs w:val="32"/>
        </w:rPr>
        <w:t>项目支出</w:t>
      </w:r>
      <w:r>
        <w:rPr>
          <w:rFonts w:hint="eastAsia" w:eastAsia="仿宋_GB2312"/>
          <w:sz w:val="32"/>
          <w:szCs w:val="32"/>
        </w:rPr>
        <w:t>20.00</w:t>
      </w:r>
      <w:r>
        <w:rPr>
          <w:rFonts w:eastAsia="仿宋_GB2312"/>
          <w:sz w:val="32"/>
          <w:szCs w:val="32"/>
        </w:rPr>
        <w:t>万元，主要用于</w:t>
      </w:r>
      <w:r>
        <w:rPr>
          <w:rFonts w:hint="eastAsia" w:eastAsia="仿宋_GB2312"/>
          <w:sz w:val="32"/>
          <w:szCs w:val="32"/>
        </w:rPr>
        <w:t>“两图两库两报告”工作经费。</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pPr>
        <w:autoSpaceDE w:val="0"/>
        <w:autoSpaceDN w:val="0"/>
        <w:adjustRightInd w:val="0"/>
        <w:spacing w:line="570" w:lineRule="exact"/>
        <w:ind w:firstLine="640" w:firstLineChars="200"/>
        <w:rPr>
          <w:rFonts w:hint="eastAsia" w:ascii="Times New Roman" w:hAnsi="Times New Roman" w:eastAsia="仿宋_GB2312" w:cs="Times New Roman"/>
          <w:sz w:val="32"/>
          <w:szCs w:val="32"/>
          <w:lang w:eastAsia="zh-CN"/>
        </w:rPr>
        <w:sectPr>
          <w:footerReference r:id="rId4" w:type="default"/>
          <w:pgSz w:w="11906" w:h="16838"/>
          <w:pgMar w:top="1531" w:right="1531" w:bottom="1531" w:left="1531" w:header="851" w:footer="992" w:gutter="0"/>
          <w:pgNumType w:start="4"/>
          <w:cols w:space="425" w:num="1"/>
          <w:docGrid w:type="linesAndChars" w:linePitch="312" w:charSpace="0"/>
        </w:sect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hint="eastAsia" w:ascii="黑体" w:hAnsi="黑体" w:eastAsia="黑体" w:cs="黑体"/>
          <w:sz w:val="76"/>
          <w:szCs w:val="76"/>
        </w:rPr>
      </w:pPr>
      <w:r>
        <w:rPr>
          <w:rFonts w:hint="eastAsia" w:ascii="黑体" w:hAnsi="黑体" w:eastAsia="黑体" w:cs="黑体"/>
          <w:sz w:val="76"/>
          <w:szCs w:val="76"/>
        </w:rPr>
        <w:t>第四部分</w:t>
      </w:r>
    </w:p>
    <w:p>
      <w:pPr>
        <w:pStyle w:val="18"/>
        <w:jc w:val="center"/>
        <w:rPr>
          <w:rFonts w:hint="eastAsia" w:ascii="黑体" w:hAnsi="黑体" w:eastAsia="黑体" w:cs="黑体"/>
          <w:sz w:val="76"/>
          <w:szCs w:val="76"/>
        </w:rPr>
      </w:pPr>
    </w:p>
    <w:p>
      <w:pPr>
        <w:pStyle w:val="18"/>
        <w:jc w:val="center"/>
        <w:rPr>
          <w:rFonts w:hint="eastAsia" w:ascii="黑体" w:hAnsi="黑体" w:eastAsia="黑体" w:cs="黑体"/>
          <w:sz w:val="76"/>
          <w:szCs w:val="76"/>
        </w:rPr>
      </w:pPr>
      <w:r>
        <w:rPr>
          <w:rFonts w:hint="eastAsia" w:ascii="黑体" w:hAnsi="黑体" w:eastAsia="黑体" w:cs="黑体"/>
          <w:sz w:val="76"/>
          <w:szCs w:val="76"/>
        </w:rPr>
        <w:t>名词解释</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pStyle w:val="18"/>
        <w:jc w:val="both"/>
        <w:rPr>
          <w:rFonts w:hint="eastAsia" w:ascii="Times New Roman" w:hAnsi="Times New Roman" w:cs="Times New Roman"/>
          <w:sz w:val="72"/>
          <w:szCs w:val="72"/>
        </w:rPr>
      </w:pPr>
    </w:p>
    <w:p>
      <w:pPr>
        <w:pStyle w:val="18"/>
        <w:jc w:val="both"/>
        <w:rPr>
          <w:rFonts w:ascii="Times New Roman" w:hAnsi="Times New Roman" w:cs="Times New Roman"/>
          <w:sz w:val="84"/>
          <w:szCs w:val="84"/>
        </w:rPr>
      </w:pPr>
    </w:p>
    <w:p>
      <w:pPr>
        <w:pStyle w:val="18"/>
        <w:jc w:val="center"/>
        <w:rPr>
          <w:rFonts w:hint="eastAsia" w:ascii="黑体" w:hAnsi="黑体" w:eastAsia="黑体" w:cs="黑体"/>
          <w:sz w:val="76"/>
          <w:szCs w:val="76"/>
        </w:rPr>
      </w:pPr>
    </w:p>
    <w:p>
      <w:pPr>
        <w:pStyle w:val="18"/>
        <w:jc w:val="center"/>
        <w:rPr>
          <w:rFonts w:hint="eastAsia" w:ascii="黑体" w:hAnsi="黑体" w:eastAsia="黑体" w:cs="黑体"/>
          <w:sz w:val="76"/>
          <w:szCs w:val="76"/>
        </w:rPr>
      </w:pPr>
      <w:r>
        <w:rPr>
          <w:rFonts w:hint="eastAsia" w:ascii="黑体" w:hAnsi="黑体" w:eastAsia="黑体" w:cs="黑体"/>
          <w:sz w:val="76"/>
          <w:szCs w:val="76"/>
        </w:rPr>
        <w:t>第五部分</w:t>
      </w:r>
    </w:p>
    <w:p>
      <w:pPr>
        <w:pStyle w:val="18"/>
        <w:jc w:val="center"/>
        <w:rPr>
          <w:rFonts w:hint="eastAsia" w:ascii="黑体" w:hAnsi="黑体" w:eastAsia="黑体" w:cs="黑体"/>
          <w:sz w:val="76"/>
          <w:szCs w:val="76"/>
        </w:rPr>
      </w:pPr>
    </w:p>
    <w:p>
      <w:pPr>
        <w:pStyle w:val="18"/>
        <w:jc w:val="center"/>
        <w:rPr>
          <w:rFonts w:hint="eastAsia" w:ascii="黑体" w:hAnsi="黑体" w:eastAsia="黑体" w:cs="黑体"/>
          <w:sz w:val="76"/>
          <w:szCs w:val="76"/>
        </w:rPr>
      </w:pPr>
      <w:r>
        <w:rPr>
          <w:rFonts w:hint="eastAsia" w:ascii="黑体" w:hAnsi="黑体" w:eastAsia="黑体" w:cs="黑体"/>
          <w:sz w:val="76"/>
          <w:szCs w:val="76"/>
        </w:rPr>
        <w:t>附  件</w:t>
      </w:r>
    </w:p>
    <w:p>
      <w:pPr>
        <w:pStyle w:val="18"/>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pPr>
        <w:pStyle w:val="18"/>
        <w:spacing w:line="596" w:lineRule="exact"/>
        <w:jc w:val="center"/>
        <w:rPr>
          <w:rFonts w:hint="eastAsia" w:ascii="Times New Roman" w:hAnsi="Times New Roman" w:eastAsia="黑体" w:cs="Times New Roman"/>
          <w:color w:val="000000"/>
          <w:kern w:val="0"/>
          <w:sz w:val="32"/>
          <w:szCs w:val="32"/>
          <w:lang w:val="en-US" w:eastAsia="zh-CN" w:bidi="ar-SA"/>
        </w:rPr>
      </w:pPr>
      <w:r>
        <w:rPr>
          <w:rFonts w:ascii="Times New Roman" w:hAnsi="Times New Roman" w:eastAsia="黑体" w:cs="Times New Roman"/>
          <w:color w:val="000000"/>
          <w:kern w:val="0"/>
          <w:sz w:val="32"/>
          <w:szCs w:val="32"/>
          <w:lang w:val="en-US" w:eastAsia="zh-CN" w:bidi="ar-SA"/>
        </w:rPr>
        <w:t>202</w:t>
      </w:r>
      <w:r>
        <w:rPr>
          <w:rFonts w:hint="eastAsia" w:ascii="Times New Roman" w:hAnsi="Times New Roman" w:eastAsia="黑体" w:cs="Times New Roman"/>
          <w:color w:val="000000"/>
          <w:kern w:val="0"/>
          <w:sz w:val="32"/>
          <w:szCs w:val="32"/>
          <w:lang w:val="en-US" w:eastAsia="zh-CN" w:bidi="ar-SA"/>
        </w:rPr>
        <w:t>3</w:t>
      </w:r>
      <w:r>
        <w:rPr>
          <w:rFonts w:ascii="Times New Roman" w:hAnsi="Times New Roman" w:eastAsia="黑体" w:cs="Times New Roman"/>
          <w:color w:val="000000"/>
          <w:kern w:val="0"/>
          <w:sz w:val="32"/>
          <w:szCs w:val="32"/>
          <w:lang w:val="en-US" w:eastAsia="zh-CN" w:bidi="ar-SA"/>
        </w:rPr>
        <w:t>年度部门整体支出绩效</w:t>
      </w:r>
      <w:r>
        <w:rPr>
          <w:rFonts w:hint="eastAsia" w:ascii="Times New Roman" w:hAnsi="Times New Roman" w:eastAsia="黑体" w:cs="Times New Roman"/>
          <w:color w:val="000000"/>
          <w:kern w:val="0"/>
          <w:sz w:val="32"/>
          <w:szCs w:val="32"/>
          <w:lang w:val="en-US" w:eastAsia="zh-CN" w:bidi="ar-SA"/>
        </w:rPr>
        <w:t>自评报告</w:t>
      </w:r>
    </w:p>
    <w:p>
      <w:pPr>
        <w:pStyle w:val="18"/>
        <w:spacing w:line="596" w:lineRule="exact"/>
        <w:jc w:val="center"/>
        <w:rPr>
          <w:rFonts w:hint="eastAsia" w:ascii="Times New Roman" w:hAnsi="Times New Roman" w:eastAsia="方正小标宋简体" w:cs="Times New Roman"/>
          <w:sz w:val="32"/>
          <w:szCs w:val="32"/>
          <w:lang w:eastAsia="zh-CN"/>
        </w:rPr>
      </w:pPr>
    </w:p>
    <w:p>
      <w:pPr>
        <w:pStyle w:val="18"/>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K">
    <w:altName w:val="Courier New"/>
    <w:panose1 w:val="00000000000000000000"/>
    <w:charset w:val="00"/>
    <w:family w:val="auto"/>
    <w:pitch w:val="default"/>
    <w:sig w:usb0="00000000" w:usb1="00000000" w:usb2="0000000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fkvlHc0BAACqAwAADgAAAAAAAAABACAAAAAeAQAAZHJzL2Uy&#10;b0RvYy54bWxQSwUGAAAAAAYABgBZAQAAXQUAAAAA&#10;">
              <v:fill on="f" focussize="0,0"/>
              <v:stroke on="f"/>
              <v:imagedata o:title=""/>
              <o:lock v:ext="edit" aspectratio="f"/>
              <v:textbox inset="0mm,0mm,0mm,0mm" style="mso-fit-shape-to-text:t;">
                <w:txbxContent>
                  <w:p>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3898EC"/>
    <w:multiLevelType w:val="singleLevel"/>
    <w:tmpl w:val="A13898EC"/>
    <w:lvl w:ilvl="0" w:tentative="0">
      <w:start w:val="10"/>
      <w:numFmt w:val="chineseCounting"/>
      <w:suff w:val="nothing"/>
      <w:lvlText w:val="%1、"/>
      <w:lvlJc w:val="left"/>
      <w:rPr>
        <w:rFonts w:hint="eastAsia"/>
      </w:rPr>
    </w:lvl>
  </w:abstractNum>
  <w:abstractNum w:abstractNumId="1">
    <w:nsid w:val="AAEC04AF"/>
    <w:multiLevelType w:val="singleLevel"/>
    <w:tmpl w:val="AAEC04AF"/>
    <w:lvl w:ilvl="0" w:tentative="0">
      <w:start w:val="3"/>
      <w:numFmt w:val="decimal"/>
      <w:suff w:val="nothing"/>
      <w:lvlText w:val="%1、"/>
      <w:lvlJc w:val="left"/>
    </w:lvl>
  </w:abstractNum>
  <w:abstractNum w:abstractNumId="2">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0AF101F"/>
    <w:multiLevelType w:val="singleLevel"/>
    <w:tmpl w:val="40AF101F"/>
    <w:lvl w:ilvl="0" w:tentative="0">
      <w:start w:val="2"/>
      <w:numFmt w:val="chineseCounting"/>
      <w:suff w:val="nothing"/>
      <w:lvlText w:val="（%1）"/>
      <w:lvlJc w:val="left"/>
      <w:rPr>
        <w:rFonts w:hint="eastAsia"/>
      </w:rPr>
    </w:lvl>
  </w:abstractNum>
  <w:abstractNum w:abstractNumId="4">
    <w:nsid w:val="531A6104"/>
    <w:multiLevelType w:val="singleLevel"/>
    <w:tmpl w:val="531A6104"/>
    <w:lvl w:ilvl="0" w:tentative="0">
      <w:start w:val="1"/>
      <w:numFmt w:val="chineseCounting"/>
      <w:suff w:val="nothing"/>
      <w:lvlText w:val="%1、"/>
      <w:lvlJc w:val="left"/>
      <w:pPr>
        <w:ind w:left="-10"/>
      </w:pPr>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NzE4NzA3ODMyMWQ5YzEzOWVjMzJmMDg5NzgyM2E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2F653B4"/>
    <w:rsid w:val="06915006"/>
    <w:rsid w:val="06A44D39"/>
    <w:rsid w:val="0751274D"/>
    <w:rsid w:val="07634BF4"/>
    <w:rsid w:val="07A77932"/>
    <w:rsid w:val="08F14AE1"/>
    <w:rsid w:val="0B567F72"/>
    <w:rsid w:val="0C7C6B53"/>
    <w:rsid w:val="0D3F15F5"/>
    <w:rsid w:val="0E8E3AA1"/>
    <w:rsid w:val="0EF6245F"/>
    <w:rsid w:val="11E43B98"/>
    <w:rsid w:val="13692089"/>
    <w:rsid w:val="14E804E7"/>
    <w:rsid w:val="173619DD"/>
    <w:rsid w:val="18985D2F"/>
    <w:rsid w:val="18FA38C9"/>
    <w:rsid w:val="1B167D23"/>
    <w:rsid w:val="1B323160"/>
    <w:rsid w:val="1B714E5F"/>
    <w:rsid w:val="1E532BCB"/>
    <w:rsid w:val="1EBE63A2"/>
    <w:rsid w:val="1F041D62"/>
    <w:rsid w:val="1F6317DE"/>
    <w:rsid w:val="1F745786"/>
    <w:rsid w:val="219E6AFD"/>
    <w:rsid w:val="21B1218A"/>
    <w:rsid w:val="23897791"/>
    <w:rsid w:val="238B2E7B"/>
    <w:rsid w:val="2A766639"/>
    <w:rsid w:val="2AD95BF4"/>
    <w:rsid w:val="2BD90E57"/>
    <w:rsid w:val="2F101369"/>
    <w:rsid w:val="2F913883"/>
    <w:rsid w:val="2FDE27BA"/>
    <w:rsid w:val="321612FC"/>
    <w:rsid w:val="32B56379"/>
    <w:rsid w:val="38090922"/>
    <w:rsid w:val="38D75D21"/>
    <w:rsid w:val="395219B1"/>
    <w:rsid w:val="3BA359B7"/>
    <w:rsid w:val="43B307DD"/>
    <w:rsid w:val="450C3C4E"/>
    <w:rsid w:val="46BE0A2A"/>
    <w:rsid w:val="472236C4"/>
    <w:rsid w:val="47867568"/>
    <w:rsid w:val="47C05439"/>
    <w:rsid w:val="4A0E5DEA"/>
    <w:rsid w:val="4B1C68ED"/>
    <w:rsid w:val="4B8003CD"/>
    <w:rsid w:val="4C121D12"/>
    <w:rsid w:val="4DC614FB"/>
    <w:rsid w:val="4EDD03B5"/>
    <w:rsid w:val="4F976C0B"/>
    <w:rsid w:val="523F5138"/>
    <w:rsid w:val="538D47D7"/>
    <w:rsid w:val="538E105C"/>
    <w:rsid w:val="53BF69FD"/>
    <w:rsid w:val="564E3947"/>
    <w:rsid w:val="591A5257"/>
    <w:rsid w:val="5D2E7409"/>
    <w:rsid w:val="60841B7E"/>
    <w:rsid w:val="635D15B9"/>
    <w:rsid w:val="6419746C"/>
    <w:rsid w:val="64714AD2"/>
    <w:rsid w:val="64857E64"/>
    <w:rsid w:val="65965345"/>
    <w:rsid w:val="65F04BE5"/>
    <w:rsid w:val="66F127F8"/>
    <w:rsid w:val="6A484E25"/>
    <w:rsid w:val="6E0F6D2F"/>
    <w:rsid w:val="6EAE4254"/>
    <w:rsid w:val="6F7044D6"/>
    <w:rsid w:val="72C85015"/>
    <w:rsid w:val="74205B29"/>
    <w:rsid w:val="75F714AD"/>
    <w:rsid w:val="76856AB9"/>
    <w:rsid w:val="78081C98"/>
    <w:rsid w:val="7D2D3A06"/>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style>
  <w:style w:type="paragraph" w:styleId="3">
    <w:name w:val="Body Text"/>
    <w:basedOn w:val="1"/>
    <w:link w:val="14"/>
    <w:qFormat/>
    <w:uiPriority w:val="99"/>
    <w:pPr>
      <w:spacing w:before="100" w:beforeAutospacing="1" w:after="120"/>
    </w:pPr>
    <w:rPr>
      <w:rFonts w:ascii="Times New Roman" w:hAnsi="Times New Roman" w:cs="Times New Roman"/>
    </w:rPr>
  </w:style>
  <w:style w:type="paragraph" w:styleId="4">
    <w:name w:val="Body Text Indent"/>
    <w:basedOn w:val="1"/>
    <w:qFormat/>
    <w:uiPriority w:val="99"/>
    <w:pPr>
      <w:spacing w:line="360" w:lineRule="auto"/>
      <w:ind w:firstLine="600" w:firstLineChars="200"/>
    </w:pPr>
    <w:rPr>
      <w:rFonts w:ascii="????_GBK" w:eastAsia="Times New Roman"/>
      <w:sz w:val="30"/>
    </w:rPr>
  </w:style>
  <w:style w:type="paragraph" w:styleId="5">
    <w:name w:val="Balloon Text"/>
    <w:basedOn w:val="1"/>
    <w:link w:val="15"/>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paragraph" w:styleId="9">
    <w:name w:val="Body Text First Indent 2"/>
    <w:basedOn w:val="4"/>
    <w:qFormat/>
    <w:uiPriority w:val="99"/>
    <w:pPr>
      <w:tabs>
        <w:tab w:val="left" w:pos="630"/>
      </w:tabs>
      <w:ind w:firstLine="420"/>
    </w:pPr>
    <w:rPr>
      <w:rFonts w:ascii="Times New Roman" w:hAnsi="Times New Roman" w:eastAsia="宋体"/>
    </w:rPr>
  </w:style>
  <w:style w:type="character" w:styleId="12">
    <w:name w:val="annotation reference"/>
    <w:basedOn w:val="11"/>
    <w:semiHidden/>
    <w:qFormat/>
    <w:uiPriority w:val="99"/>
    <w:rPr>
      <w:sz w:val="21"/>
      <w:szCs w:val="21"/>
    </w:rPr>
  </w:style>
  <w:style w:type="character" w:customStyle="1" w:styleId="13">
    <w:name w:val="批注文字 Char"/>
    <w:basedOn w:val="11"/>
    <w:link w:val="2"/>
    <w:semiHidden/>
    <w:qFormat/>
    <w:locked/>
    <w:uiPriority w:val="99"/>
    <w:rPr>
      <w:rFonts w:ascii="Calibri" w:hAnsi="Calibri" w:cs="Calibri"/>
      <w:sz w:val="21"/>
      <w:szCs w:val="21"/>
    </w:rPr>
  </w:style>
  <w:style w:type="character" w:customStyle="1" w:styleId="14">
    <w:name w:val="正文文本 Char"/>
    <w:basedOn w:val="11"/>
    <w:link w:val="3"/>
    <w:qFormat/>
    <w:locked/>
    <w:uiPriority w:val="99"/>
    <w:rPr>
      <w:rFonts w:eastAsia="宋体"/>
      <w:kern w:val="2"/>
      <w:sz w:val="21"/>
      <w:szCs w:val="21"/>
      <w:lang w:val="en-US" w:eastAsia="zh-CN"/>
    </w:rPr>
  </w:style>
  <w:style w:type="character" w:customStyle="1" w:styleId="15">
    <w:name w:val="批注框文本 Char"/>
    <w:basedOn w:val="11"/>
    <w:link w:val="5"/>
    <w:semiHidden/>
    <w:qFormat/>
    <w:locked/>
    <w:uiPriority w:val="99"/>
    <w:rPr>
      <w:sz w:val="18"/>
      <w:szCs w:val="18"/>
    </w:rPr>
  </w:style>
  <w:style w:type="character" w:customStyle="1" w:styleId="16">
    <w:name w:val="页脚 Char"/>
    <w:basedOn w:val="11"/>
    <w:link w:val="6"/>
    <w:qFormat/>
    <w:locked/>
    <w:uiPriority w:val="99"/>
    <w:rPr>
      <w:sz w:val="18"/>
      <w:szCs w:val="18"/>
    </w:rPr>
  </w:style>
  <w:style w:type="character" w:customStyle="1" w:styleId="17">
    <w:name w:val="页眉 Char"/>
    <w:basedOn w:val="11"/>
    <w:link w:val="7"/>
    <w:qFormat/>
    <w:locked/>
    <w:uiPriority w:val="99"/>
    <w:rPr>
      <w:sz w:val="18"/>
      <w:szCs w:val="18"/>
    </w:rPr>
  </w:style>
  <w:style w:type="paragraph" w:customStyle="1" w:styleId="1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9">
    <w:name w:val="List Paragraph"/>
    <w:basedOn w:val="1"/>
    <w:qFormat/>
    <w:uiPriority w:val="99"/>
    <w:pPr>
      <w:ind w:firstLine="420" w:firstLineChars="200"/>
    </w:pPr>
  </w:style>
  <w:style w:type="paragraph" w:customStyle="1" w:styleId="20">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4818</Words>
  <Characters>5257</Characters>
  <Lines>56</Lines>
  <Paragraphs>15</Paragraphs>
  <TotalTime>7</TotalTime>
  <ScaleCrop>false</ScaleCrop>
  <LinksUpToDate>false</LinksUpToDate>
  <CharactersWithSpaces>5290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lenovo</cp:lastModifiedBy>
  <cp:lastPrinted>2022-10-11T01:13:00Z</cp:lastPrinted>
  <dcterms:modified xsi:type="dcterms:W3CDTF">2024-11-13T07:56:27Z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415BBAAB2A5F4FD9BCFB48052DBCAF02_13</vt:lpwstr>
  </property>
</Properties>
</file>