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58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仿宋" w:cs="Times New Roman"/>
          <w:b/>
          <w:bCs/>
          <w:smallCaps w:val="0"/>
          <w:color w:val="auto"/>
          <w:sz w:val="44"/>
          <w:szCs w:val="44"/>
          <w:u w:val="none"/>
          <w:lang w:eastAsia="zh-CN"/>
        </w:rPr>
      </w:pPr>
      <w:bookmarkStart w:id="0" w:name="_Toc4171"/>
      <w:bookmarkStart w:id="487" w:name="_GoBack"/>
      <w:bookmarkEnd w:id="487"/>
      <w:r>
        <w:rPr>
          <w:rFonts w:hint="default" w:ascii="Times New Roman" w:hAnsi="Times New Roman" w:eastAsia="仿宋" w:cs="Times New Roman"/>
          <w:b/>
          <w:bCs/>
          <w:smallCaps w:val="0"/>
          <w:color w:val="auto"/>
          <w:sz w:val="44"/>
          <w:szCs w:val="44"/>
          <w:u w:val="none"/>
          <w:lang w:val="en-US" w:eastAsia="zh-CN"/>
        </w:rPr>
        <w:t>炎陵</w:t>
      </w:r>
      <w:r>
        <w:rPr>
          <w:rFonts w:hint="default" w:ascii="Times New Roman" w:hAnsi="Times New Roman" w:eastAsia="仿宋" w:cs="Times New Roman"/>
          <w:b/>
          <w:bCs/>
          <w:smallCaps w:val="0"/>
          <w:color w:val="auto"/>
          <w:sz w:val="44"/>
          <w:szCs w:val="44"/>
          <w:u w:val="none"/>
          <w:lang w:eastAsia="zh-CN"/>
        </w:rPr>
        <w:t>县突发环境事件应急预案</w:t>
      </w:r>
    </w:p>
    <w:p w14:paraId="54A299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仿宋" w:cs="Times New Roman"/>
          <w:b/>
          <w:bCs/>
          <w:smallCaps w:val="0"/>
          <w:color w:val="auto"/>
          <w:sz w:val="44"/>
          <w:szCs w:val="44"/>
          <w:u w:val="none"/>
          <w:lang w:eastAsia="zh-CN"/>
        </w:rPr>
      </w:pPr>
      <w:r>
        <w:rPr>
          <w:rFonts w:hint="eastAsia" w:ascii="Times New Roman" w:hAnsi="Times New Roman" w:eastAsia="仿宋" w:cs="Times New Roman"/>
          <w:b/>
          <w:bCs/>
          <w:smallCaps w:val="0"/>
          <w:color w:val="auto"/>
          <w:sz w:val="44"/>
          <w:szCs w:val="44"/>
          <w:u w:val="none"/>
          <w:lang w:eastAsia="zh-CN"/>
        </w:rPr>
        <w:t>（</w:t>
      </w:r>
      <w:r>
        <w:rPr>
          <w:rFonts w:hint="eastAsia" w:ascii="Times New Roman" w:hAnsi="Times New Roman" w:eastAsia="仿宋" w:cs="Times New Roman"/>
          <w:b/>
          <w:bCs/>
          <w:smallCaps w:val="0"/>
          <w:color w:val="auto"/>
          <w:sz w:val="44"/>
          <w:szCs w:val="44"/>
          <w:u w:val="none"/>
          <w:lang w:val="en-US" w:eastAsia="zh-CN"/>
        </w:rPr>
        <w:t>征求意见稿</w:t>
      </w:r>
      <w:r>
        <w:rPr>
          <w:rFonts w:hint="eastAsia" w:ascii="Times New Roman" w:hAnsi="Times New Roman" w:eastAsia="仿宋" w:cs="Times New Roman"/>
          <w:b/>
          <w:bCs/>
          <w:smallCaps w:val="0"/>
          <w:color w:val="auto"/>
          <w:sz w:val="44"/>
          <w:szCs w:val="44"/>
          <w:u w:val="none"/>
          <w:lang w:eastAsia="zh-CN"/>
        </w:rPr>
        <w:t>）</w:t>
      </w:r>
    </w:p>
    <w:p w14:paraId="55066E1E">
      <w:pPr>
        <w:pStyle w:val="10"/>
        <w:keepNext w:val="0"/>
        <w:keepLines w:val="0"/>
        <w:pageBreakBefore w:val="0"/>
        <w:widowControl w:val="0"/>
        <w:tabs>
          <w:tab w:val="right" w:leader="dot" w:pos="9298"/>
        </w:tabs>
        <w:kinsoku/>
        <w:wordWrap/>
        <w:overflowPunct/>
        <w:topLinePunct w:val="0"/>
        <w:autoSpaceDE/>
        <w:autoSpaceDN/>
        <w:bidi w:val="0"/>
        <w:adjustRightInd/>
        <w:snapToGrid/>
        <w:spacing w:before="0" w:beforeLines="0" w:after="0" w:afterLines="0" w:line="560" w:lineRule="exact"/>
        <w:ind w:left="0" w:leftChars="0" w:right="0" w:rightChars="0" w:firstLine="0" w:firstLineChars="0"/>
        <w:textAlignment w:val="auto"/>
        <w:outlineLvl w:val="9"/>
        <w:rPr>
          <w:rFonts w:hint="default" w:ascii="Times New Roman" w:hAnsi="Times New Roman" w:eastAsia="仿宋" w:cs="Times New Roman"/>
          <w:b/>
          <w:smallCaps w:val="0"/>
          <w:color w:val="auto"/>
          <w:sz w:val="32"/>
          <w:szCs w:val="32"/>
          <w:u w:val="none"/>
          <w:lang w:eastAsia="zh-CN"/>
        </w:rPr>
      </w:pPr>
    </w:p>
    <w:p w14:paraId="5734AA0B">
      <w:pPr>
        <w:rPr>
          <w:rFonts w:hint="default" w:ascii="Times New Roman" w:hAnsi="Times New Roman" w:eastAsia="仿宋" w:cs="Times New Roman"/>
          <w:b/>
          <w:smallCaps w:val="0"/>
          <w:color w:val="auto"/>
          <w:sz w:val="32"/>
          <w:szCs w:val="32"/>
          <w:u w:val="none"/>
          <w:lang w:eastAsia="zh-CN"/>
        </w:rPr>
      </w:pPr>
    </w:p>
    <w:p w14:paraId="015EECA1">
      <w:pPr>
        <w:rPr>
          <w:rFonts w:hint="default" w:ascii="Times New Roman" w:hAnsi="Times New Roman" w:eastAsia="仿宋" w:cs="Times New Roman"/>
          <w:b/>
          <w:smallCaps w:val="0"/>
          <w:color w:val="auto"/>
          <w:sz w:val="32"/>
          <w:szCs w:val="32"/>
          <w:u w:val="none"/>
          <w:lang w:eastAsia="zh-CN"/>
        </w:rPr>
      </w:pPr>
    </w:p>
    <w:p w14:paraId="7A7C33AF">
      <w:pPr>
        <w:rPr>
          <w:rFonts w:hint="default" w:ascii="Times New Roman" w:hAnsi="Times New Roman" w:eastAsia="仿宋" w:cs="Times New Roman"/>
          <w:b/>
          <w:smallCaps w:val="0"/>
          <w:color w:val="auto"/>
          <w:sz w:val="32"/>
          <w:szCs w:val="32"/>
          <w:u w:val="none"/>
          <w:lang w:eastAsia="zh-CN"/>
        </w:rPr>
      </w:pPr>
    </w:p>
    <w:p w14:paraId="6BF720F9">
      <w:pPr>
        <w:rPr>
          <w:rFonts w:hint="default" w:ascii="Times New Roman" w:hAnsi="Times New Roman" w:eastAsia="仿宋" w:cs="Times New Roman"/>
          <w:b/>
          <w:smallCaps w:val="0"/>
          <w:color w:val="auto"/>
          <w:sz w:val="32"/>
          <w:szCs w:val="32"/>
          <w:u w:val="none"/>
          <w:lang w:eastAsia="zh-CN"/>
        </w:rPr>
      </w:pPr>
    </w:p>
    <w:p w14:paraId="57E2B9BB">
      <w:pPr>
        <w:rPr>
          <w:rFonts w:hint="default" w:ascii="Times New Roman" w:hAnsi="Times New Roman" w:eastAsia="仿宋" w:cs="Times New Roman"/>
          <w:b/>
          <w:smallCaps w:val="0"/>
          <w:color w:val="auto"/>
          <w:sz w:val="32"/>
          <w:szCs w:val="32"/>
          <w:u w:val="none"/>
          <w:lang w:eastAsia="zh-CN"/>
        </w:rPr>
      </w:pPr>
    </w:p>
    <w:p w14:paraId="7A8E8ACC">
      <w:pPr>
        <w:rPr>
          <w:rFonts w:hint="default" w:ascii="Times New Roman" w:hAnsi="Times New Roman" w:eastAsia="仿宋" w:cs="Times New Roman"/>
          <w:b/>
          <w:smallCaps w:val="0"/>
          <w:color w:val="auto"/>
          <w:sz w:val="32"/>
          <w:szCs w:val="32"/>
          <w:u w:val="none"/>
          <w:lang w:eastAsia="zh-CN"/>
        </w:rPr>
      </w:pPr>
    </w:p>
    <w:p w14:paraId="5FEA7F61">
      <w:pPr>
        <w:rPr>
          <w:rFonts w:hint="default" w:ascii="Times New Roman" w:hAnsi="Times New Roman" w:eastAsia="仿宋" w:cs="Times New Roman"/>
          <w:b/>
          <w:smallCaps w:val="0"/>
          <w:color w:val="auto"/>
          <w:sz w:val="32"/>
          <w:szCs w:val="32"/>
          <w:u w:val="none"/>
          <w:lang w:eastAsia="zh-CN"/>
        </w:rPr>
      </w:pPr>
    </w:p>
    <w:p w14:paraId="190C6760">
      <w:pPr>
        <w:rPr>
          <w:rFonts w:hint="default" w:ascii="Times New Roman" w:hAnsi="Times New Roman" w:eastAsia="仿宋" w:cs="Times New Roman"/>
          <w:b/>
          <w:smallCaps w:val="0"/>
          <w:color w:val="auto"/>
          <w:sz w:val="32"/>
          <w:szCs w:val="32"/>
          <w:u w:val="none"/>
          <w:lang w:eastAsia="zh-CN"/>
        </w:rPr>
      </w:pPr>
    </w:p>
    <w:p w14:paraId="5AB4530B">
      <w:pPr>
        <w:rPr>
          <w:rFonts w:hint="default" w:ascii="Times New Roman" w:hAnsi="Times New Roman" w:eastAsia="仿宋" w:cs="Times New Roman"/>
          <w:b/>
          <w:smallCaps w:val="0"/>
          <w:color w:val="auto"/>
          <w:sz w:val="32"/>
          <w:szCs w:val="32"/>
          <w:u w:val="none"/>
          <w:lang w:eastAsia="zh-CN"/>
        </w:rPr>
      </w:pPr>
    </w:p>
    <w:p w14:paraId="5618AC41">
      <w:pPr>
        <w:rPr>
          <w:rFonts w:hint="default" w:ascii="Times New Roman" w:hAnsi="Times New Roman" w:eastAsia="仿宋" w:cs="Times New Roman"/>
          <w:b/>
          <w:smallCaps w:val="0"/>
          <w:color w:val="auto"/>
          <w:sz w:val="32"/>
          <w:szCs w:val="32"/>
          <w:u w:val="none"/>
          <w:lang w:eastAsia="zh-CN"/>
        </w:rPr>
      </w:pPr>
    </w:p>
    <w:p w14:paraId="01749136">
      <w:pPr>
        <w:rPr>
          <w:rFonts w:hint="default" w:ascii="Times New Roman" w:hAnsi="Times New Roman" w:eastAsia="仿宋" w:cs="Times New Roman"/>
          <w:b/>
          <w:smallCaps w:val="0"/>
          <w:color w:val="auto"/>
          <w:sz w:val="32"/>
          <w:szCs w:val="32"/>
          <w:u w:val="none"/>
          <w:lang w:eastAsia="zh-CN"/>
        </w:rPr>
      </w:pPr>
    </w:p>
    <w:p w14:paraId="0A1364B5">
      <w:pPr>
        <w:rPr>
          <w:rFonts w:hint="default" w:ascii="Times New Roman" w:hAnsi="Times New Roman" w:eastAsia="仿宋" w:cs="Times New Roman"/>
          <w:b/>
          <w:smallCaps w:val="0"/>
          <w:color w:val="auto"/>
          <w:sz w:val="32"/>
          <w:szCs w:val="32"/>
          <w:u w:val="none"/>
          <w:lang w:eastAsia="zh-CN"/>
        </w:rPr>
      </w:pPr>
    </w:p>
    <w:p w14:paraId="11FC1D5C">
      <w:pPr>
        <w:rPr>
          <w:rFonts w:hint="default" w:ascii="Times New Roman" w:hAnsi="Times New Roman" w:eastAsia="仿宋" w:cs="Times New Roman"/>
          <w:b/>
          <w:smallCaps w:val="0"/>
          <w:color w:val="auto"/>
          <w:sz w:val="32"/>
          <w:szCs w:val="32"/>
          <w:u w:val="none"/>
          <w:lang w:eastAsia="zh-CN"/>
        </w:rPr>
      </w:pPr>
    </w:p>
    <w:p w14:paraId="19752418">
      <w:pPr>
        <w:rPr>
          <w:rFonts w:hint="default" w:ascii="Times New Roman" w:hAnsi="Times New Roman" w:eastAsia="仿宋" w:cs="Times New Roman"/>
          <w:b/>
          <w:smallCaps w:val="0"/>
          <w:color w:val="auto"/>
          <w:sz w:val="32"/>
          <w:szCs w:val="32"/>
          <w:u w:val="none"/>
          <w:lang w:eastAsia="zh-CN"/>
        </w:rPr>
      </w:pPr>
    </w:p>
    <w:p w14:paraId="5331A3CD">
      <w:pPr>
        <w:rPr>
          <w:rFonts w:hint="default" w:ascii="Times New Roman" w:hAnsi="Times New Roman" w:eastAsia="仿宋" w:cs="Times New Roman"/>
          <w:b/>
          <w:smallCaps w:val="0"/>
          <w:color w:val="auto"/>
          <w:sz w:val="32"/>
          <w:szCs w:val="32"/>
          <w:u w:val="none"/>
          <w:lang w:eastAsia="zh-CN"/>
        </w:rPr>
      </w:pPr>
    </w:p>
    <w:p w14:paraId="32117369">
      <w:pPr>
        <w:rPr>
          <w:rFonts w:hint="default" w:ascii="Times New Roman" w:hAnsi="Times New Roman" w:eastAsia="仿宋" w:cs="Times New Roman"/>
          <w:b/>
          <w:smallCaps w:val="0"/>
          <w:color w:val="auto"/>
          <w:sz w:val="32"/>
          <w:szCs w:val="32"/>
          <w:u w:val="none"/>
          <w:lang w:eastAsia="zh-CN"/>
        </w:rPr>
      </w:pPr>
    </w:p>
    <w:p w14:paraId="78A4A2BD">
      <w:pPr>
        <w:rPr>
          <w:rFonts w:hint="default" w:ascii="Times New Roman" w:hAnsi="Times New Roman" w:eastAsia="仿宋" w:cs="Times New Roman"/>
          <w:b/>
          <w:smallCaps w:val="0"/>
          <w:color w:val="auto"/>
          <w:sz w:val="32"/>
          <w:szCs w:val="32"/>
          <w:u w:val="none"/>
          <w:lang w:eastAsia="zh-CN"/>
        </w:rPr>
      </w:pPr>
    </w:p>
    <w:p w14:paraId="6A149B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mallCaps w:val="0"/>
          <w:color w:val="auto"/>
          <w:sz w:val="32"/>
          <w:szCs w:val="32"/>
          <w:u w:val="none"/>
          <w:lang w:eastAsia="zh-CN"/>
        </w:rPr>
      </w:pPr>
    </w:p>
    <w:p w14:paraId="48BFFA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mallCaps w:val="0"/>
          <w:color w:val="auto"/>
          <w:sz w:val="36"/>
          <w:szCs w:val="36"/>
          <w:u w:val="none"/>
          <w:lang w:val="en-US" w:eastAsia="zh-CN"/>
        </w:rPr>
      </w:pPr>
      <w:r>
        <w:rPr>
          <w:rFonts w:hint="default" w:ascii="Times New Roman" w:hAnsi="Times New Roman" w:eastAsia="仿宋" w:cs="Times New Roman"/>
          <w:b/>
          <w:smallCaps w:val="0"/>
          <w:color w:val="auto"/>
          <w:sz w:val="36"/>
          <w:szCs w:val="36"/>
          <w:u w:val="none"/>
          <w:lang w:val="en-US" w:eastAsia="zh-CN"/>
        </w:rPr>
        <w:t>炎陵县人民政府</w:t>
      </w:r>
    </w:p>
    <w:p w14:paraId="65CA17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mallCaps w:val="0"/>
          <w:color w:val="auto"/>
          <w:sz w:val="36"/>
          <w:szCs w:val="36"/>
          <w:u w:val="none"/>
          <w:lang w:val="en-US" w:eastAsia="zh-CN"/>
        </w:rPr>
        <w:sectPr>
          <w:pgSz w:w="11906" w:h="16838"/>
          <w:pgMar w:top="1984" w:right="1474" w:bottom="1871" w:left="1587" w:header="851" w:footer="1587" w:gutter="0"/>
          <w:pgBorders>
            <w:top w:val="none" w:sz="0" w:space="0"/>
            <w:left w:val="none" w:sz="0" w:space="0"/>
            <w:bottom w:val="none" w:sz="0" w:space="0"/>
            <w:right w:val="none" w:sz="0" w:space="0"/>
          </w:pgBorders>
          <w:pgNumType w:fmt="decimal" w:start="1"/>
          <w:cols w:space="720" w:num="1"/>
          <w:titlePg/>
          <w:rtlGutter w:val="0"/>
          <w:docGrid w:linePitch="318" w:charSpace="0"/>
        </w:sectPr>
      </w:pPr>
      <w:r>
        <w:rPr>
          <w:rFonts w:hint="default" w:ascii="Times New Roman" w:hAnsi="Times New Roman" w:eastAsia="仿宋" w:cs="Times New Roman"/>
          <w:b/>
          <w:smallCaps w:val="0"/>
          <w:color w:val="auto"/>
          <w:sz w:val="36"/>
          <w:szCs w:val="36"/>
          <w:u w:val="none"/>
          <w:lang w:val="en-US" w:eastAsia="zh-CN"/>
        </w:rPr>
        <w:t>2024年</w:t>
      </w:r>
      <w:r>
        <w:rPr>
          <w:rFonts w:hint="eastAsia" w:ascii="Times New Roman" w:hAnsi="Times New Roman" w:eastAsia="仿宋" w:cs="Times New Roman"/>
          <w:b/>
          <w:smallCaps w:val="0"/>
          <w:color w:val="auto"/>
          <w:sz w:val="36"/>
          <w:szCs w:val="36"/>
          <w:u w:val="none"/>
          <w:lang w:val="en-US" w:eastAsia="zh-CN"/>
        </w:rPr>
        <w:t>10</w:t>
      </w:r>
      <w:r>
        <w:rPr>
          <w:rFonts w:hint="default" w:ascii="Times New Roman" w:hAnsi="Times New Roman" w:eastAsia="仿宋" w:cs="Times New Roman"/>
          <w:b/>
          <w:smallCaps w:val="0"/>
          <w:color w:val="auto"/>
          <w:sz w:val="36"/>
          <w:szCs w:val="36"/>
          <w:u w:val="none"/>
          <w:lang w:val="en-US" w:eastAsia="zh-CN"/>
        </w:rPr>
        <w:t>月</w:t>
      </w:r>
    </w:p>
    <w:p w14:paraId="20DC2A5F">
      <w:pPr>
        <w:keepNext/>
        <w:keepLines/>
        <w:spacing w:before="240" w:line="259" w:lineRule="auto"/>
        <w:jc w:val="center"/>
        <w:rPr>
          <w:rFonts w:ascii="Times New Roman" w:hAnsi="Times New Roman" w:eastAsia="黑体" w:cs="Times New Roman"/>
          <w:color w:val="auto"/>
          <w:sz w:val="36"/>
          <w:szCs w:val="36"/>
          <w:lang w:eastAsia="zh-CN"/>
        </w:rPr>
      </w:pPr>
      <w:r>
        <w:rPr>
          <w:rFonts w:ascii="Times New Roman" w:hAnsi="Times New Roman" w:eastAsia="黑体" w:cs="Times New Roman"/>
          <w:color w:val="auto"/>
          <w:sz w:val="36"/>
          <w:szCs w:val="36"/>
          <w:lang w:val="zh-CN" w:eastAsia="zh-CN"/>
        </w:rPr>
        <w:t>目   录</w:t>
      </w:r>
      <w:bookmarkEnd w:id="0"/>
    </w:p>
    <w:p w14:paraId="5FD4F777">
      <w:pPr>
        <w:pStyle w:val="10"/>
        <w:tabs>
          <w:tab w:val="right" w:leader="dot" w:pos="8845"/>
        </w:tabs>
        <w:rPr>
          <w:rFonts w:hint="eastAsia" w:ascii="仿宋" w:hAnsi="仿宋" w:eastAsia="仿宋" w:cs="仿宋"/>
          <w:sz w:val="32"/>
          <w:szCs w:val="32"/>
        </w:rPr>
      </w:pPr>
      <w:r>
        <w:rPr>
          <w:rFonts w:ascii="Times New Roman" w:hAnsi="Times New Roman" w:eastAsia="黑体" w:cs="Times New Roman"/>
          <w:bCs/>
          <w:color w:val="auto"/>
          <w:kern w:val="2"/>
          <w:sz w:val="28"/>
          <w:szCs w:val="28"/>
          <w:lang w:val="zh-CN" w:eastAsia="zh-CN"/>
        </w:rPr>
        <w:fldChar w:fldCharType="begin"/>
      </w:r>
      <w:r>
        <w:rPr>
          <w:rFonts w:ascii="Times New Roman" w:hAnsi="Times New Roman" w:eastAsia="黑体" w:cs="Times New Roman"/>
          <w:bCs/>
          <w:color w:val="auto"/>
          <w:kern w:val="2"/>
          <w:sz w:val="28"/>
          <w:szCs w:val="28"/>
          <w:lang w:val="zh-CN" w:eastAsia="zh-CN"/>
        </w:rPr>
        <w:instrText xml:space="preserve"> TOC \o "1-3" \h \z \u </w:instrText>
      </w:r>
      <w:r>
        <w:rPr>
          <w:rFonts w:ascii="Times New Roman" w:hAnsi="Times New Roman" w:eastAsia="黑体" w:cs="Times New Roman"/>
          <w:bCs/>
          <w:color w:val="auto"/>
          <w:kern w:val="2"/>
          <w:sz w:val="28"/>
          <w:szCs w:val="28"/>
          <w:lang w:val="zh-CN" w:eastAsia="zh-CN"/>
        </w:rPr>
        <w:fldChar w:fldCharType="separate"/>
      </w:r>
      <w:r>
        <w:rPr>
          <w:rFonts w:hint="eastAsia" w:ascii="仿宋" w:hAnsi="仿宋" w:eastAsia="仿宋" w:cs="仿宋"/>
          <w:bCs/>
          <w:color w:val="auto"/>
          <w:kern w:val="2"/>
          <w:sz w:val="32"/>
          <w:szCs w:val="32"/>
          <w:lang w:val="zh-CN" w:eastAsia="zh-CN"/>
        </w:rPr>
        <w:fldChar w:fldCharType="begin"/>
      </w:r>
      <w:r>
        <w:rPr>
          <w:rFonts w:hint="eastAsia" w:ascii="仿宋" w:hAnsi="仿宋" w:eastAsia="仿宋" w:cs="仿宋"/>
          <w:bCs/>
          <w:kern w:val="2"/>
          <w:sz w:val="32"/>
          <w:szCs w:val="32"/>
          <w:lang w:val="zh-CN" w:eastAsia="zh-CN"/>
        </w:rPr>
        <w:instrText xml:space="preserve"> HYPERLINK \l _Toc2557 </w:instrText>
      </w:r>
      <w:r>
        <w:rPr>
          <w:rFonts w:hint="eastAsia" w:ascii="仿宋" w:hAnsi="仿宋" w:eastAsia="仿宋" w:cs="仿宋"/>
          <w:bCs/>
          <w:kern w:val="2"/>
          <w:sz w:val="32"/>
          <w:szCs w:val="32"/>
          <w:lang w:val="zh-CN" w:eastAsia="zh-CN"/>
        </w:rPr>
        <w:fldChar w:fldCharType="separate"/>
      </w:r>
      <w:r>
        <w:rPr>
          <w:rFonts w:hint="eastAsia" w:ascii="仿宋" w:hAnsi="仿宋" w:eastAsia="仿宋" w:cs="仿宋"/>
          <w:snapToGrid/>
          <w:sz w:val="32"/>
          <w:szCs w:val="32"/>
          <w:lang w:eastAsia="zh-CN"/>
        </w:rPr>
        <w:t>1  总则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_Toc2557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bCs/>
          <w:color w:val="auto"/>
          <w:kern w:val="2"/>
          <w:sz w:val="32"/>
          <w:szCs w:val="32"/>
          <w:lang w:val="zh-CN" w:eastAsia="zh-CN"/>
        </w:rPr>
        <w:fldChar w:fldCharType="end"/>
      </w:r>
    </w:p>
    <w:p w14:paraId="207191B1">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_Toc667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1.1 编制目的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_Toc667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69C4633">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_Toc5966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1.2 编制依据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_Toc5966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20CFB0E0">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_Toc130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1.</w:t>
      </w:r>
      <w:r>
        <w:rPr>
          <w:rFonts w:hint="eastAsia" w:ascii="仿宋" w:hAnsi="仿宋" w:eastAsia="仿宋" w:cs="仿宋"/>
          <w:bCs/>
          <w:snapToGrid/>
          <w:kern w:val="2"/>
          <w:sz w:val="32"/>
          <w:szCs w:val="32"/>
          <w:lang w:val="en-US" w:eastAsia="zh-CN"/>
        </w:rPr>
        <w:t>3</w:t>
      </w:r>
      <w:r>
        <w:rPr>
          <w:rFonts w:hint="eastAsia" w:ascii="仿宋" w:hAnsi="仿宋" w:eastAsia="仿宋" w:cs="仿宋"/>
          <w:bCs/>
          <w:snapToGrid/>
          <w:kern w:val="2"/>
          <w:sz w:val="32"/>
          <w:szCs w:val="32"/>
          <w:lang w:eastAsia="zh-CN"/>
        </w:rPr>
        <w:t xml:space="preserve"> 适用范围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_Toc130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7B03B345">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_Toc9776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1.</w:t>
      </w:r>
      <w:r>
        <w:rPr>
          <w:rFonts w:hint="eastAsia" w:ascii="仿宋" w:hAnsi="仿宋" w:eastAsia="仿宋" w:cs="仿宋"/>
          <w:bCs/>
          <w:snapToGrid/>
          <w:kern w:val="2"/>
          <w:sz w:val="32"/>
          <w:szCs w:val="32"/>
          <w:lang w:val="en-US" w:eastAsia="zh-CN"/>
        </w:rPr>
        <w:t>4</w:t>
      </w:r>
      <w:r>
        <w:rPr>
          <w:rFonts w:hint="eastAsia" w:ascii="仿宋" w:hAnsi="仿宋" w:eastAsia="仿宋" w:cs="仿宋"/>
          <w:bCs/>
          <w:snapToGrid/>
          <w:kern w:val="2"/>
          <w:sz w:val="32"/>
          <w:szCs w:val="32"/>
          <w:lang w:eastAsia="zh-CN"/>
        </w:rPr>
        <w:t xml:space="preserve"> 工作原则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_Toc9776 \h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189FDE4">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_Toc19380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1.</w:t>
      </w:r>
      <w:r>
        <w:rPr>
          <w:rFonts w:hint="eastAsia" w:ascii="仿宋" w:hAnsi="仿宋" w:eastAsia="仿宋" w:cs="仿宋"/>
          <w:bCs/>
          <w:snapToGrid/>
          <w:kern w:val="2"/>
          <w:sz w:val="32"/>
          <w:szCs w:val="32"/>
          <w:lang w:val="en-US" w:eastAsia="zh-CN"/>
        </w:rPr>
        <w:t>5</w:t>
      </w:r>
      <w:r>
        <w:rPr>
          <w:rFonts w:hint="eastAsia" w:ascii="仿宋" w:hAnsi="仿宋" w:eastAsia="仿宋" w:cs="仿宋"/>
          <w:bCs/>
          <w:snapToGrid/>
          <w:kern w:val="2"/>
          <w:sz w:val="32"/>
          <w:szCs w:val="32"/>
          <w:lang w:eastAsia="zh-CN"/>
        </w:rPr>
        <w:t xml:space="preserve"> 事件分级</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_Toc19380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7653E294">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_Toc2247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val="en-US" w:eastAsia="zh-CN" w:bidi="ar-SA"/>
        </w:rPr>
        <w:t>1.6 应急预案体系</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_Toc2247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5F960991">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_Toc15454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snapToGrid/>
          <w:sz w:val="32"/>
          <w:szCs w:val="32"/>
          <w:lang w:eastAsia="zh-CN"/>
        </w:rPr>
        <w:t>2  应急指挥体系及职责</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_Toc15454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46AFA6A6">
      <w:pPr>
        <w:pStyle w:val="7"/>
        <w:tabs>
          <w:tab w:val="right" w:leader="dot" w:pos="8845"/>
        </w:tabs>
        <w:ind w:left="0" w:leftChars="0" w:firstLine="0" w:firstLineChars="0"/>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t>　</w:t>
      </w: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_Toc25674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2.1 应急指挥体系</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_Toc25674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FF59D76">
      <w:pPr>
        <w:pStyle w:val="7"/>
        <w:tabs>
          <w:tab w:val="right" w:leader="dot" w:pos="8845"/>
        </w:tabs>
        <w:ind w:left="0" w:leftChars="0" w:firstLine="0" w:firstLineChars="0"/>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t>　</w:t>
      </w: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_Toc21728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2.</w:t>
      </w:r>
      <w:r>
        <w:rPr>
          <w:rFonts w:hint="eastAsia" w:ascii="仿宋" w:hAnsi="仿宋" w:eastAsia="仿宋" w:cs="仿宋"/>
          <w:bCs/>
          <w:snapToGrid/>
          <w:kern w:val="2"/>
          <w:sz w:val="32"/>
          <w:szCs w:val="32"/>
          <w:lang w:val="en-US" w:eastAsia="zh-CN"/>
        </w:rPr>
        <w:t>2</w:t>
      </w:r>
      <w:r>
        <w:rPr>
          <w:rFonts w:hint="eastAsia" w:ascii="仿宋" w:hAnsi="仿宋" w:eastAsia="仿宋" w:cs="仿宋"/>
          <w:bCs/>
          <w:snapToGrid/>
          <w:kern w:val="2"/>
          <w:sz w:val="32"/>
          <w:szCs w:val="32"/>
          <w:lang w:eastAsia="zh-CN"/>
        </w:rPr>
        <w:t xml:space="preserve"> 应急组织机构职责</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_Toc21728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3240FCFA">
      <w:pPr>
        <w:pStyle w:val="11"/>
        <w:tabs>
          <w:tab w:val="right" w:leader="dot" w:pos="8845"/>
        </w:tabs>
        <w:ind w:left="0" w:leftChars="0" w:firstLine="0" w:firstLineChars="0"/>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t>　</w:t>
      </w: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_Toc24646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2.</w:t>
      </w:r>
      <w:r>
        <w:rPr>
          <w:rFonts w:hint="eastAsia" w:ascii="仿宋" w:hAnsi="仿宋" w:eastAsia="仿宋" w:cs="仿宋"/>
          <w:bCs/>
          <w:snapToGrid/>
          <w:kern w:val="2"/>
          <w:sz w:val="32"/>
          <w:szCs w:val="32"/>
          <w:lang w:val="en-US" w:eastAsia="zh-CN"/>
        </w:rPr>
        <w:t>3</w:t>
      </w:r>
      <w:r>
        <w:rPr>
          <w:rFonts w:hint="eastAsia" w:ascii="仿宋" w:hAnsi="仿宋" w:eastAsia="仿宋" w:cs="仿宋"/>
          <w:bCs/>
          <w:snapToGrid/>
          <w:kern w:val="2"/>
          <w:sz w:val="32"/>
          <w:szCs w:val="32"/>
          <w:lang w:eastAsia="zh-CN"/>
        </w:rPr>
        <w:t>专家组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_Toc24646 \h </w:instrText>
      </w:r>
      <w:r>
        <w:rPr>
          <w:rFonts w:hint="eastAsia" w:ascii="仿宋" w:hAnsi="仿宋" w:eastAsia="仿宋" w:cs="仿宋"/>
          <w:sz w:val="32"/>
          <w:szCs w:val="32"/>
        </w:rPr>
        <w:fldChar w:fldCharType="separate"/>
      </w:r>
      <w:r>
        <w:rPr>
          <w:rFonts w:hint="eastAsia" w:ascii="仿宋" w:hAnsi="仿宋" w:eastAsia="仿宋" w:cs="仿宋"/>
          <w:sz w:val="32"/>
          <w:szCs w:val="32"/>
        </w:rPr>
        <w:t>13</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7D3F82FB">
      <w:pPr>
        <w:pStyle w:val="11"/>
        <w:tabs>
          <w:tab w:val="right" w:leader="dot" w:pos="8845"/>
        </w:tabs>
        <w:ind w:left="0" w:leftChars="0" w:firstLine="0" w:firstLineChars="0"/>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t>　</w:t>
      </w: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_Toc21634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2.</w:t>
      </w:r>
      <w:r>
        <w:rPr>
          <w:rFonts w:hint="eastAsia" w:ascii="仿宋" w:hAnsi="仿宋" w:eastAsia="仿宋" w:cs="仿宋"/>
          <w:bCs/>
          <w:snapToGrid/>
          <w:kern w:val="2"/>
          <w:sz w:val="32"/>
          <w:szCs w:val="32"/>
          <w:lang w:val="en-US" w:eastAsia="zh-CN"/>
        </w:rPr>
        <w:t>4</w:t>
      </w:r>
      <w:r>
        <w:rPr>
          <w:rFonts w:hint="eastAsia" w:ascii="仿宋" w:hAnsi="仿宋" w:eastAsia="仿宋" w:cs="仿宋"/>
          <w:bCs/>
          <w:snapToGrid/>
          <w:kern w:val="2"/>
          <w:sz w:val="32"/>
          <w:szCs w:val="32"/>
          <w:lang w:eastAsia="zh-CN"/>
        </w:rPr>
        <w:t xml:space="preserve"> 现场指挥部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_Toc21634 \h </w:instrText>
      </w:r>
      <w:r>
        <w:rPr>
          <w:rFonts w:hint="eastAsia" w:ascii="仿宋" w:hAnsi="仿宋" w:eastAsia="仿宋" w:cs="仿宋"/>
          <w:sz w:val="32"/>
          <w:szCs w:val="32"/>
        </w:rPr>
        <w:fldChar w:fldCharType="separate"/>
      </w:r>
      <w:r>
        <w:rPr>
          <w:rFonts w:hint="eastAsia" w:ascii="仿宋" w:hAnsi="仿宋" w:eastAsia="仿宋" w:cs="仿宋"/>
          <w:sz w:val="32"/>
          <w:szCs w:val="32"/>
        </w:rPr>
        <w:t>14</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061A062">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_Toc31869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snapToGrid/>
          <w:sz w:val="32"/>
          <w:szCs w:val="32"/>
          <w:lang w:eastAsia="zh-CN"/>
        </w:rPr>
        <w:t>3  预防预警</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_Toc31869 \h </w:instrText>
      </w:r>
      <w:r>
        <w:rPr>
          <w:rFonts w:hint="eastAsia" w:ascii="仿宋" w:hAnsi="仿宋" w:eastAsia="仿宋" w:cs="仿宋"/>
          <w:sz w:val="32"/>
          <w:szCs w:val="32"/>
        </w:rPr>
        <w:fldChar w:fldCharType="separate"/>
      </w:r>
      <w:r>
        <w:rPr>
          <w:rFonts w:hint="eastAsia" w:ascii="仿宋" w:hAnsi="仿宋" w:eastAsia="仿宋" w:cs="仿宋"/>
          <w:sz w:val="32"/>
          <w:szCs w:val="32"/>
        </w:rPr>
        <w:t>19</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58C4C57">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_Toc1100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3.1 预防、监测</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_Toc1100 \h </w:instrText>
      </w:r>
      <w:r>
        <w:rPr>
          <w:rFonts w:hint="eastAsia" w:ascii="仿宋" w:hAnsi="仿宋" w:eastAsia="仿宋" w:cs="仿宋"/>
          <w:sz w:val="32"/>
          <w:szCs w:val="32"/>
        </w:rPr>
        <w:fldChar w:fldCharType="separate"/>
      </w:r>
      <w:r>
        <w:rPr>
          <w:rFonts w:hint="eastAsia" w:ascii="仿宋" w:hAnsi="仿宋" w:eastAsia="仿宋" w:cs="仿宋"/>
          <w:sz w:val="32"/>
          <w:szCs w:val="32"/>
        </w:rPr>
        <w:t>19</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23CC8DA">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_Toc3236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snapToGrid/>
          <w:kern w:val="2"/>
          <w:sz w:val="32"/>
          <w:szCs w:val="32"/>
          <w:lang w:eastAsia="zh-CN"/>
        </w:rPr>
        <w:t>3.2 预警</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_Toc3236 \h </w:instrText>
      </w:r>
      <w:r>
        <w:rPr>
          <w:rFonts w:hint="eastAsia" w:ascii="仿宋" w:hAnsi="仿宋" w:eastAsia="仿宋" w:cs="仿宋"/>
          <w:sz w:val="32"/>
          <w:szCs w:val="32"/>
        </w:rPr>
        <w:fldChar w:fldCharType="separate"/>
      </w:r>
      <w:r>
        <w:rPr>
          <w:rFonts w:hint="eastAsia" w:ascii="仿宋" w:hAnsi="仿宋" w:eastAsia="仿宋" w:cs="仿宋"/>
          <w:sz w:val="32"/>
          <w:szCs w:val="32"/>
        </w:rPr>
        <w:t>21</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7AD71C18">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_Toc12321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3.3 信息报告与通报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_Toc12321 \h </w:instrText>
      </w:r>
      <w:r>
        <w:rPr>
          <w:rFonts w:hint="eastAsia" w:ascii="仿宋" w:hAnsi="仿宋" w:eastAsia="仿宋" w:cs="仿宋"/>
          <w:sz w:val="32"/>
          <w:szCs w:val="32"/>
        </w:rPr>
        <w:fldChar w:fldCharType="separate"/>
      </w:r>
      <w:r>
        <w:rPr>
          <w:rFonts w:hint="eastAsia" w:ascii="仿宋" w:hAnsi="仿宋" w:eastAsia="仿宋" w:cs="仿宋"/>
          <w:sz w:val="32"/>
          <w:szCs w:val="32"/>
        </w:rPr>
        <w:t>24</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66309278">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_Toc8561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kern w:val="44"/>
          <w:sz w:val="32"/>
          <w:szCs w:val="32"/>
          <w:lang w:eastAsia="zh-CN"/>
        </w:rPr>
        <w:t>4  应急响应</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_Toc8561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654F414C">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_Toc9824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4.1 应急响应分级</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_Toc9824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ADC56D5">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_Toc18044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4.2 应急响应</w:t>
      </w:r>
      <w:r>
        <w:rPr>
          <w:rFonts w:hint="eastAsia" w:ascii="仿宋" w:hAnsi="仿宋" w:eastAsia="仿宋" w:cs="仿宋"/>
          <w:kern w:val="2"/>
          <w:sz w:val="32"/>
          <w:szCs w:val="32"/>
          <w:lang w:val="en-US" w:eastAsia="zh-CN"/>
        </w:rPr>
        <w:t>启</w:t>
      </w:r>
      <w:r>
        <w:rPr>
          <w:rFonts w:hint="eastAsia" w:ascii="仿宋" w:hAnsi="仿宋" w:eastAsia="仿宋" w:cs="仿宋"/>
          <w:kern w:val="2"/>
          <w:sz w:val="32"/>
          <w:szCs w:val="32"/>
          <w:lang w:eastAsia="zh-CN"/>
        </w:rPr>
        <w:t>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_Toc18044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21D3B2E5">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_Toc20982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4.</w:t>
      </w:r>
      <w:r>
        <w:rPr>
          <w:rFonts w:hint="eastAsia" w:ascii="仿宋" w:hAnsi="仿宋" w:eastAsia="仿宋" w:cs="仿宋"/>
          <w:kern w:val="2"/>
          <w:sz w:val="32"/>
          <w:szCs w:val="32"/>
          <w:lang w:val="en-US" w:eastAsia="zh-CN"/>
        </w:rPr>
        <w:t>3</w:t>
      </w:r>
      <w:r>
        <w:rPr>
          <w:rFonts w:hint="eastAsia" w:ascii="仿宋" w:hAnsi="仿宋" w:eastAsia="仿宋" w:cs="仿宋"/>
          <w:kern w:val="2"/>
          <w:sz w:val="32"/>
          <w:szCs w:val="32"/>
          <w:lang w:eastAsia="zh-CN"/>
        </w:rPr>
        <w:t xml:space="preserve"> 应急</w:t>
      </w:r>
      <w:r>
        <w:rPr>
          <w:rFonts w:hint="eastAsia" w:ascii="仿宋" w:hAnsi="仿宋" w:eastAsia="仿宋" w:cs="仿宋"/>
          <w:kern w:val="2"/>
          <w:sz w:val="32"/>
          <w:szCs w:val="32"/>
          <w:lang w:val="en-US" w:eastAsia="zh-CN"/>
        </w:rPr>
        <w:t>响应行动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_Toc20982 \h </w:instrText>
      </w:r>
      <w:r>
        <w:rPr>
          <w:rFonts w:hint="eastAsia" w:ascii="仿宋" w:hAnsi="仿宋" w:eastAsia="仿宋" w:cs="仿宋"/>
          <w:sz w:val="32"/>
          <w:szCs w:val="32"/>
        </w:rPr>
        <w:fldChar w:fldCharType="separate"/>
      </w:r>
      <w:r>
        <w:rPr>
          <w:rFonts w:hint="eastAsia" w:ascii="仿宋" w:hAnsi="仿宋" w:eastAsia="仿宋" w:cs="仿宋"/>
          <w:sz w:val="32"/>
          <w:szCs w:val="32"/>
        </w:rPr>
        <w:t>28</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2CC37C9D">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_Toc32272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 xml:space="preserve">4.4 </w:t>
      </w:r>
      <w:r>
        <w:rPr>
          <w:rFonts w:hint="eastAsia" w:ascii="仿宋" w:hAnsi="仿宋" w:eastAsia="仿宋" w:cs="仿宋"/>
          <w:kern w:val="2"/>
          <w:sz w:val="32"/>
          <w:szCs w:val="32"/>
          <w:lang w:val="en-US" w:eastAsia="zh-CN"/>
        </w:rPr>
        <w:t>信息发布</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_Toc32272 \h </w:instrText>
      </w:r>
      <w:r>
        <w:rPr>
          <w:rFonts w:hint="eastAsia" w:ascii="仿宋" w:hAnsi="仿宋" w:eastAsia="仿宋" w:cs="仿宋"/>
          <w:sz w:val="32"/>
          <w:szCs w:val="32"/>
        </w:rPr>
        <w:fldChar w:fldCharType="separate"/>
      </w:r>
      <w:r>
        <w:rPr>
          <w:rFonts w:hint="eastAsia" w:ascii="仿宋" w:hAnsi="仿宋" w:eastAsia="仿宋" w:cs="仿宋"/>
          <w:sz w:val="32"/>
          <w:szCs w:val="32"/>
        </w:rPr>
        <w:t>31</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4DF3DB7E">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_Toc2880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4.</w:t>
      </w: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eastAsia="zh-CN"/>
        </w:rPr>
        <w:t xml:space="preserve"> 响应终止</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_Toc2880 \h </w:instrText>
      </w:r>
      <w:r>
        <w:rPr>
          <w:rFonts w:hint="eastAsia" w:ascii="仿宋" w:hAnsi="仿宋" w:eastAsia="仿宋" w:cs="仿宋"/>
          <w:sz w:val="32"/>
          <w:szCs w:val="32"/>
        </w:rPr>
        <w:fldChar w:fldCharType="separate"/>
      </w:r>
      <w:r>
        <w:rPr>
          <w:rFonts w:hint="eastAsia" w:ascii="仿宋" w:hAnsi="仿宋" w:eastAsia="仿宋" w:cs="仿宋"/>
          <w:sz w:val="32"/>
          <w:szCs w:val="32"/>
        </w:rPr>
        <w:t>31</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303A5D71">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_Toc6044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kern w:val="44"/>
          <w:sz w:val="32"/>
          <w:szCs w:val="32"/>
          <w:lang w:val="en-US" w:eastAsia="zh-CN"/>
        </w:rPr>
        <w:t xml:space="preserve">5 </w:t>
      </w:r>
      <w:r>
        <w:rPr>
          <w:rFonts w:hint="eastAsia" w:ascii="仿宋" w:hAnsi="仿宋" w:eastAsia="仿宋" w:cs="仿宋"/>
          <w:bCs/>
          <w:kern w:val="44"/>
          <w:sz w:val="32"/>
          <w:szCs w:val="32"/>
          <w:lang w:eastAsia="zh-CN"/>
        </w:rPr>
        <w:t xml:space="preserve"> 后期处置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_Toc6044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877613C">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_Toc5746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1</w:t>
      </w:r>
      <w:r>
        <w:rPr>
          <w:rFonts w:hint="eastAsia" w:ascii="仿宋" w:hAnsi="仿宋" w:eastAsia="仿宋" w:cs="仿宋"/>
          <w:kern w:val="2"/>
          <w:sz w:val="32"/>
          <w:szCs w:val="32"/>
          <w:lang w:eastAsia="zh-CN"/>
        </w:rPr>
        <w:t xml:space="preserve"> </w:t>
      </w:r>
      <w:r>
        <w:rPr>
          <w:rFonts w:hint="eastAsia" w:ascii="仿宋" w:hAnsi="仿宋" w:eastAsia="仿宋" w:cs="仿宋"/>
          <w:kern w:val="2"/>
          <w:sz w:val="32"/>
          <w:szCs w:val="32"/>
          <w:lang w:val="en-US" w:eastAsia="zh-CN"/>
        </w:rPr>
        <w:t>善后处置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_Toc5746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23DCD937">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_Toc12063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2</w:t>
      </w:r>
      <w:r>
        <w:rPr>
          <w:rFonts w:hint="eastAsia" w:ascii="仿宋" w:hAnsi="仿宋" w:eastAsia="仿宋" w:cs="仿宋"/>
          <w:kern w:val="2"/>
          <w:sz w:val="32"/>
          <w:szCs w:val="32"/>
          <w:lang w:eastAsia="zh-CN"/>
        </w:rPr>
        <w:t xml:space="preserve"> 污染</w:t>
      </w:r>
      <w:r>
        <w:rPr>
          <w:rFonts w:hint="eastAsia" w:ascii="仿宋" w:hAnsi="仿宋" w:eastAsia="仿宋" w:cs="仿宋"/>
          <w:kern w:val="2"/>
          <w:sz w:val="32"/>
          <w:szCs w:val="32"/>
          <w:lang w:val="en-US" w:eastAsia="zh-CN"/>
        </w:rPr>
        <w:t>损害评估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_Toc12063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686A365C">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_Toc22361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3</w:t>
      </w:r>
      <w:r>
        <w:rPr>
          <w:rFonts w:hint="eastAsia" w:ascii="仿宋" w:hAnsi="仿宋" w:eastAsia="仿宋" w:cs="仿宋"/>
          <w:kern w:val="2"/>
          <w:sz w:val="32"/>
          <w:szCs w:val="32"/>
          <w:lang w:eastAsia="zh-CN"/>
        </w:rPr>
        <w:t xml:space="preserve"> </w:t>
      </w:r>
      <w:r>
        <w:rPr>
          <w:rFonts w:hint="eastAsia" w:ascii="仿宋" w:hAnsi="仿宋" w:eastAsia="仿宋" w:cs="仿宋"/>
          <w:kern w:val="2"/>
          <w:sz w:val="32"/>
          <w:szCs w:val="32"/>
          <w:lang w:val="en-US" w:eastAsia="zh-CN"/>
        </w:rPr>
        <w:t>调查处理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_Toc22361 \h </w:instrText>
      </w:r>
      <w:r>
        <w:rPr>
          <w:rFonts w:hint="eastAsia" w:ascii="仿宋" w:hAnsi="仿宋" w:eastAsia="仿宋" w:cs="仿宋"/>
          <w:sz w:val="32"/>
          <w:szCs w:val="32"/>
        </w:rPr>
        <w:fldChar w:fldCharType="separate"/>
      </w:r>
      <w:r>
        <w:rPr>
          <w:rFonts w:hint="eastAsia" w:ascii="仿宋" w:hAnsi="仿宋" w:eastAsia="仿宋" w:cs="仿宋"/>
          <w:sz w:val="32"/>
          <w:szCs w:val="32"/>
        </w:rPr>
        <w:t>33</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4ECBF492">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_Toc29132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kern w:val="44"/>
          <w:sz w:val="32"/>
          <w:szCs w:val="32"/>
          <w:lang w:val="en-US" w:eastAsia="zh-CN"/>
        </w:rPr>
        <w:t>6</w:t>
      </w:r>
      <w:r>
        <w:rPr>
          <w:rFonts w:hint="eastAsia" w:ascii="仿宋" w:hAnsi="仿宋" w:eastAsia="仿宋" w:cs="仿宋"/>
          <w:bCs/>
          <w:kern w:val="44"/>
          <w:sz w:val="32"/>
          <w:szCs w:val="32"/>
          <w:lang w:eastAsia="zh-CN"/>
        </w:rPr>
        <w:t xml:space="preserve">  应急保障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_Toc29132 \h </w:instrText>
      </w:r>
      <w:r>
        <w:rPr>
          <w:rFonts w:hint="eastAsia" w:ascii="仿宋" w:hAnsi="仿宋" w:eastAsia="仿宋" w:cs="仿宋"/>
          <w:sz w:val="32"/>
          <w:szCs w:val="32"/>
        </w:rPr>
        <w:fldChar w:fldCharType="separate"/>
      </w:r>
      <w:r>
        <w:rPr>
          <w:rFonts w:hint="eastAsia" w:ascii="仿宋" w:hAnsi="仿宋" w:eastAsia="仿宋" w:cs="仿宋"/>
          <w:sz w:val="32"/>
          <w:szCs w:val="32"/>
        </w:rPr>
        <w:t>34</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38494A24">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_Toc1436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 xml:space="preserve">.1 </w:t>
      </w:r>
      <w:r>
        <w:rPr>
          <w:rFonts w:hint="eastAsia" w:ascii="仿宋" w:hAnsi="仿宋" w:eastAsia="仿宋" w:cs="仿宋"/>
          <w:kern w:val="2"/>
          <w:sz w:val="32"/>
          <w:szCs w:val="32"/>
          <w:lang w:val="en-US" w:eastAsia="zh-CN"/>
        </w:rPr>
        <w:t>队伍保障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_Toc1436 \h </w:instrText>
      </w:r>
      <w:r>
        <w:rPr>
          <w:rFonts w:hint="eastAsia" w:ascii="仿宋" w:hAnsi="仿宋" w:eastAsia="仿宋" w:cs="仿宋"/>
          <w:sz w:val="32"/>
          <w:szCs w:val="32"/>
        </w:rPr>
        <w:fldChar w:fldCharType="separate"/>
      </w:r>
      <w:r>
        <w:rPr>
          <w:rFonts w:hint="eastAsia" w:ascii="仿宋" w:hAnsi="仿宋" w:eastAsia="仿宋" w:cs="仿宋"/>
          <w:sz w:val="32"/>
          <w:szCs w:val="32"/>
        </w:rPr>
        <w:t>34</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4DF7A5B6">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_Toc31969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 xml:space="preserve">.2 </w:t>
      </w:r>
      <w:r>
        <w:rPr>
          <w:rFonts w:hint="eastAsia" w:ascii="仿宋" w:hAnsi="仿宋" w:eastAsia="仿宋" w:cs="仿宋"/>
          <w:kern w:val="2"/>
          <w:sz w:val="32"/>
          <w:szCs w:val="32"/>
          <w:lang w:val="en-US" w:eastAsia="zh-CN"/>
        </w:rPr>
        <w:t>经费</w:t>
      </w:r>
      <w:r>
        <w:rPr>
          <w:rFonts w:hint="eastAsia" w:ascii="仿宋" w:hAnsi="仿宋" w:eastAsia="仿宋" w:cs="仿宋"/>
          <w:kern w:val="2"/>
          <w:sz w:val="32"/>
          <w:szCs w:val="32"/>
          <w:lang w:eastAsia="zh-CN"/>
        </w:rPr>
        <w:t>及物资保障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_Toc31969 \h </w:instrText>
      </w:r>
      <w:r>
        <w:rPr>
          <w:rFonts w:hint="eastAsia" w:ascii="仿宋" w:hAnsi="仿宋" w:eastAsia="仿宋" w:cs="仿宋"/>
          <w:sz w:val="32"/>
          <w:szCs w:val="32"/>
        </w:rPr>
        <w:fldChar w:fldCharType="separate"/>
      </w:r>
      <w:r>
        <w:rPr>
          <w:rFonts w:hint="eastAsia" w:ascii="仿宋" w:hAnsi="仿宋" w:eastAsia="仿宋" w:cs="仿宋"/>
          <w:sz w:val="32"/>
          <w:szCs w:val="32"/>
        </w:rPr>
        <w:t>34</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F4F09CC">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_Toc10852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3</w:t>
      </w:r>
      <w:r>
        <w:rPr>
          <w:rFonts w:hint="eastAsia" w:ascii="仿宋" w:hAnsi="仿宋" w:eastAsia="仿宋" w:cs="仿宋"/>
          <w:kern w:val="2"/>
          <w:sz w:val="32"/>
          <w:szCs w:val="32"/>
          <w:lang w:eastAsia="zh-CN"/>
        </w:rPr>
        <w:t xml:space="preserve"> 通讯、交通与运输保障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_Toc10852 \h </w:instrText>
      </w:r>
      <w:r>
        <w:rPr>
          <w:rFonts w:hint="eastAsia" w:ascii="仿宋" w:hAnsi="仿宋" w:eastAsia="仿宋" w:cs="仿宋"/>
          <w:sz w:val="32"/>
          <w:szCs w:val="32"/>
        </w:rPr>
        <w:fldChar w:fldCharType="separate"/>
      </w:r>
      <w:r>
        <w:rPr>
          <w:rFonts w:hint="eastAsia" w:ascii="仿宋" w:hAnsi="仿宋" w:eastAsia="仿宋" w:cs="仿宋"/>
          <w:sz w:val="32"/>
          <w:szCs w:val="32"/>
        </w:rPr>
        <w:t>34</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D7A874D">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_Toc9616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.4 医疗卫生保障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_Toc9616 \h </w:instrText>
      </w:r>
      <w:r>
        <w:rPr>
          <w:rFonts w:hint="eastAsia" w:ascii="仿宋" w:hAnsi="仿宋" w:eastAsia="仿宋" w:cs="仿宋"/>
          <w:sz w:val="32"/>
          <w:szCs w:val="32"/>
        </w:rPr>
        <w:fldChar w:fldCharType="separate"/>
      </w:r>
      <w:r>
        <w:rPr>
          <w:rFonts w:hint="eastAsia" w:ascii="仿宋" w:hAnsi="仿宋" w:eastAsia="仿宋" w:cs="仿宋"/>
          <w:sz w:val="32"/>
          <w:szCs w:val="32"/>
        </w:rPr>
        <w:t>35</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52A45228">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_Toc12254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5</w:t>
      </w:r>
      <w:r>
        <w:rPr>
          <w:rFonts w:hint="eastAsia" w:ascii="仿宋" w:hAnsi="仿宋" w:eastAsia="仿宋" w:cs="仿宋"/>
          <w:kern w:val="2"/>
          <w:sz w:val="32"/>
          <w:szCs w:val="32"/>
          <w:lang w:eastAsia="zh-CN"/>
        </w:rPr>
        <w:t xml:space="preserve"> 治安保障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_Toc12254 \h </w:instrText>
      </w:r>
      <w:r>
        <w:rPr>
          <w:rFonts w:hint="eastAsia" w:ascii="仿宋" w:hAnsi="仿宋" w:eastAsia="仿宋" w:cs="仿宋"/>
          <w:sz w:val="32"/>
          <w:szCs w:val="32"/>
        </w:rPr>
        <w:fldChar w:fldCharType="separate"/>
      </w:r>
      <w:r>
        <w:rPr>
          <w:rFonts w:hint="eastAsia" w:ascii="仿宋" w:hAnsi="仿宋" w:eastAsia="仿宋" w:cs="仿宋"/>
          <w:sz w:val="32"/>
          <w:szCs w:val="32"/>
        </w:rPr>
        <w:t>35</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3D8AFEA">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_Toc18610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6</w:t>
      </w:r>
      <w:r>
        <w:rPr>
          <w:rFonts w:hint="eastAsia" w:ascii="仿宋" w:hAnsi="仿宋" w:eastAsia="仿宋" w:cs="仿宋"/>
          <w:kern w:val="2"/>
          <w:sz w:val="32"/>
          <w:szCs w:val="32"/>
          <w:lang w:eastAsia="zh-CN"/>
        </w:rPr>
        <w:t xml:space="preserve"> 其他应急保障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_Toc18610 \h </w:instrText>
      </w:r>
      <w:r>
        <w:rPr>
          <w:rFonts w:hint="eastAsia" w:ascii="仿宋" w:hAnsi="仿宋" w:eastAsia="仿宋" w:cs="仿宋"/>
          <w:sz w:val="32"/>
          <w:szCs w:val="32"/>
        </w:rPr>
        <w:fldChar w:fldCharType="separate"/>
      </w:r>
      <w:r>
        <w:rPr>
          <w:rFonts w:hint="eastAsia" w:ascii="仿宋" w:hAnsi="仿宋" w:eastAsia="仿宋" w:cs="仿宋"/>
          <w:sz w:val="32"/>
          <w:szCs w:val="32"/>
        </w:rPr>
        <w:t>35</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38A176FB">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_Toc5488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bCs/>
          <w:kern w:val="44"/>
          <w:sz w:val="32"/>
          <w:szCs w:val="32"/>
          <w:lang w:val="en-US" w:eastAsia="zh-CN"/>
        </w:rPr>
        <w:t>7</w:t>
      </w:r>
      <w:r>
        <w:rPr>
          <w:rFonts w:hint="eastAsia" w:ascii="仿宋" w:hAnsi="仿宋" w:eastAsia="仿宋" w:cs="仿宋"/>
          <w:bCs/>
          <w:kern w:val="44"/>
          <w:sz w:val="32"/>
          <w:szCs w:val="32"/>
          <w:lang w:eastAsia="zh-CN"/>
        </w:rPr>
        <w:t xml:space="preserve">  监督管理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_Toc5488 \h </w:instrText>
      </w:r>
      <w:r>
        <w:rPr>
          <w:rFonts w:hint="eastAsia" w:ascii="仿宋" w:hAnsi="仿宋" w:eastAsia="仿宋" w:cs="仿宋"/>
          <w:sz w:val="32"/>
          <w:szCs w:val="32"/>
        </w:rPr>
        <w:fldChar w:fldCharType="separate"/>
      </w:r>
      <w:r>
        <w:rPr>
          <w:rFonts w:hint="eastAsia" w:ascii="仿宋" w:hAnsi="仿宋" w:eastAsia="仿宋" w:cs="仿宋"/>
          <w:sz w:val="32"/>
          <w:szCs w:val="32"/>
        </w:rPr>
        <w:t>36</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633A4C75">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_Toc28217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7.1 宣传、培训和演练</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_Toc28217 \h </w:instrText>
      </w:r>
      <w:r>
        <w:rPr>
          <w:rFonts w:hint="eastAsia" w:ascii="仿宋" w:hAnsi="仿宋" w:eastAsia="仿宋" w:cs="仿宋"/>
          <w:sz w:val="32"/>
          <w:szCs w:val="32"/>
        </w:rPr>
        <w:fldChar w:fldCharType="separate"/>
      </w:r>
      <w:r>
        <w:rPr>
          <w:rFonts w:hint="eastAsia" w:ascii="仿宋" w:hAnsi="仿宋" w:eastAsia="仿宋" w:cs="仿宋"/>
          <w:sz w:val="32"/>
          <w:szCs w:val="32"/>
        </w:rPr>
        <w:t>36</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5B412D30">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_Toc25770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eastAsia="zh-CN"/>
        </w:rPr>
        <w:t>7.2 奖励和责任追究</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_Toc25770 \h </w:instrText>
      </w:r>
      <w:r>
        <w:rPr>
          <w:rFonts w:hint="eastAsia" w:ascii="仿宋" w:hAnsi="仿宋" w:eastAsia="仿宋" w:cs="仿宋"/>
          <w:sz w:val="32"/>
          <w:szCs w:val="32"/>
        </w:rPr>
        <w:fldChar w:fldCharType="separate"/>
      </w:r>
      <w:r>
        <w:rPr>
          <w:rFonts w:hint="eastAsia" w:ascii="仿宋" w:hAnsi="仿宋" w:eastAsia="仿宋" w:cs="仿宋"/>
          <w:sz w:val="32"/>
          <w:szCs w:val="32"/>
        </w:rPr>
        <w:t>36</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E337E6C">
      <w:pPr>
        <w:pStyle w:val="10"/>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_Toc8156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snapToGrid/>
          <w:sz w:val="32"/>
          <w:szCs w:val="32"/>
          <w:lang w:val="en-US" w:eastAsia="zh-CN"/>
        </w:rPr>
        <w:t>8</w:t>
      </w:r>
      <w:r>
        <w:rPr>
          <w:rFonts w:hint="eastAsia" w:ascii="仿宋" w:hAnsi="仿宋" w:eastAsia="仿宋" w:cs="仿宋"/>
          <w:snapToGrid/>
          <w:sz w:val="32"/>
          <w:szCs w:val="32"/>
          <w:lang w:eastAsia="zh-CN"/>
        </w:rPr>
        <w:t xml:space="preserve">  附则</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_Toc8156 \h </w:instrText>
      </w:r>
      <w:r>
        <w:rPr>
          <w:rFonts w:hint="eastAsia" w:ascii="仿宋" w:hAnsi="仿宋" w:eastAsia="仿宋" w:cs="仿宋"/>
          <w:sz w:val="32"/>
          <w:szCs w:val="32"/>
        </w:rPr>
        <w:fldChar w:fldCharType="separate"/>
      </w:r>
      <w:r>
        <w:rPr>
          <w:rFonts w:hint="eastAsia" w:ascii="仿宋" w:hAnsi="仿宋" w:eastAsia="仿宋" w:cs="仿宋"/>
          <w:sz w:val="32"/>
          <w:szCs w:val="32"/>
        </w:rPr>
        <w:t>37</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69084A9A">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_Toc19766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8</w:t>
      </w:r>
      <w:r>
        <w:rPr>
          <w:rFonts w:hint="eastAsia" w:ascii="仿宋" w:hAnsi="仿宋" w:eastAsia="仿宋" w:cs="仿宋"/>
          <w:kern w:val="2"/>
          <w:sz w:val="32"/>
          <w:szCs w:val="32"/>
          <w:lang w:eastAsia="zh-CN"/>
        </w:rPr>
        <w:t>.1 名词术语</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_Toc19766 \h </w:instrText>
      </w:r>
      <w:r>
        <w:rPr>
          <w:rFonts w:hint="eastAsia" w:ascii="仿宋" w:hAnsi="仿宋" w:eastAsia="仿宋" w:cs="仿宋"/>
          <w:sz w:val="32"/>
          <w:szCs w:val="32"/>
        </w:rPr>
        <w:fldChar w:fldCharType="separate"/>
      </w:r>
      <w:r>
        <w:rPr>
          <w:rFonts w:hint="eastAsia" w:ascii="仿宋" w:hAnsi="仿宋" w:eastAsia="仿宋" w:cs="仿宋"/>
          <w:sz w:val="32"/>
          <w:szCs w:val="32"/>
        </w:rPr>
        <w:t>37</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A8D1B4D">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_Toc19766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8</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2</w:t>
      </w:r>
      <w:r>
        <w:rPr>
          <w:rFonts w:hint="eastAsia" w:ascii="仿宋" w:hAnsi="仿宋" w:eastAsia="仿宋" w:cs="仿宋"/>
          <w:kern w:val="2"/>
          <w:sz w:val="32"/>
          <w:szCs w:val="32"/>
          <w:lang w:eastAsia="zh-CN"/>
        </w:rPr>
        <w:t xml:space="preserve"> 预案管理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_Toc19766 \h </w:instrText>
      </w:r>
      <w:r>
        <w:rPr>
          <w:rFonts w:hint="eastAsia" w:ascii="仿宋" w:hAnsi="仿宋" w:eastAsia="仿宋" w:cs="仿宋"/>
          <w:sz w:val="32"/>
          <w:szCs w:val="32"/>
        </w:rPr>
        <w:fldChar w:fldCharType="separate"/>
      </w:r>
      <w:r>
        <w:rPr>
          <w:rFonts w:hint="eastAsia" w:ascii="仿宋" w:hAnsi="仿宋" w:eastAsia="仿宋" w:cs="仿宋"/>
          <w:sz w:val="32"/>
          <w:szCs w:val="32"/>
        </w:rPr>
        <w:t>37</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1F3B27D6">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_Toc30029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8</w:t>
      </w:r>
      <w:r>
        <w:rPr>
          <w:rFonts w:hint="eastAsia" w:ascii="仿宋" w:hAnsi="仿宋" w:eastAsia="仿宋" w:cs="仿宋"/>
          <w:kern w:val="2"/>
          <w:sz w:val="32"/>
          <w:szCs w:val="32"/>
          <w:lang w:eastAsia="zh-CN"/>
        </w:rPr>
        <w:t>.3 制定与解释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_Toc30029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6C5A668B">
      <w:pPr>
        <w:pStyle w:val="11"/>
        <w:tabs>
          <w:tab w:val="right" w:leader="dot" w:pos="8845"/>
        </w:tabs>
        <w:rPr>
          <w:rFonts w:hint="eastAsia" w:ascii="仿宋" w:hAnsi="仿宋" w:eastAsia="仿宋" w:cs="仿宋"/>
          <w:sz w:val="32"/>
          <w:szCs w:val="32"/>
        </w:rPr>
      </w:pPr>
      <w:r>
        <w:rPr>
          <w:rFonts w:hint="eastAsia" w:ascii="仿宋" w:hAnsi="仿宋" w:eastAsia="仿宋" w:cs="仿宋"/>
          <w:bCs/>
          <w:snapToGrid/>
          <w:color w:val="auto"/>
          <w:kern w:val="2"/>
          <w:sz w:val="32"/>
          <w:szCs w:val="32"/>
          <w:lang w:val="zh-CN" w:eastAsia="zh-CN"/>
        </w:rPr>
        <w:fldChar w:fldCharType="begin"/>
      </w:r>
      <w:r>
        <w:rPr>
          <w:rFonts w:hint="eastAsia" w:ascii="仿宋" w:hAnsi="仿宋" w:eastAsia="仿宋" w:cs="仿宋"/>
          <w:bCs/>
          <w:snapToGrid/>
          <w:kern w:val="2"/>
          <w:sz w:val="32"/>
          <w:szCs w:val="32"/>
          <w:lang w:val="zh-CN" w:eastAsia="zh-CN"/>
        </w:rPr>
        <w:instrText xml:space="preserve"> HYPERLINK \l _Toc17865 </w:instrText>
      </w:r>
      <w:r>
        <w:rPr>
          <w:rFonts w:hint="eastAsia" w:ascii="仿宋" w:hAnsi="仿宋" w:eastAsia="仿宋" w:cs="仿宋"/>
          <w:bCs/>
          <w:snapToGrid/>
          <w:kern w:val="2"/>
          <w:sz w:val="32"/>
          <w:szCs w:val="32"/>
          <w:lang w:val="zh-CN" w:eastAsia="zh-CN"/>
        </w:rPr>
        <w:fldChar w:fldCharType="separate"/>
      </w:r>
      <w:r>
        <w:rPr>
          <w:rFonts w:hint="eastAsia" w:ascii="仿宋" w:hAnsi="仿宋" w:eastAsia="仿宋" w:cs="仿宋"/>
          <w:kern w:val="2"/>
          <w:sz w:val="32"/>
          <w:szCs w:val="32"/>
          <w:lang w:val="en-US" w:eastAsia="zh-CN"/>
        </w:rPr>
        <w:t>8</w:t>
      </w:r>
      <w:r>
        <w:rPr>
          <w:rFonts w:hint="eastAsia" w:ascii="仿宋" w:hAnsi="仿宋" w:eastAsia="仿宋" w:cs="仿宋"/>
          <w:kern w:val="2"/>
          <w:sz w:val="32"/>
          <w:szCs w:val="32"/>
          <w:lang w:eastAsia="zh-CN"/>
        </w:rPr>
        <w:t>.</w:t>
      </w:r>
      <w:r>
        <w:rPr>
          <w:rFonts w:hint="eastAsia" w:ascii="仿宋" w:hAnsi="仿宋" w:eastAsia="仿宋" w:cs="仿宋"/>
          <w:kern w:val="2"/>
          <w:sz w:val="32"/>
          <w:szCs w:val="32"/>
          <w:lang w:val="en-US" w:eastAsia="zh-CN"/>
        </w:rPr>
        <w:t>4</w:t>
      </w:r>
      <w:r>
        <w:rPr>
          <w:rFonts w:hint="eastAsia" w:ascii="仿宋" w:hAnsi="仿宋" w:eastAsia="仿宋" w:cs="仿宋"/>
          <w:kern w:val="2"/>
          <w:sz w:val="32"/>
          <w:szCs w:val="32"/>
          <w:lang w:eastAsia="zh-CN"/>
        </w:rPr>
        <w:t xml:space="preserve"> 预案实施</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_Toc17865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bCs/>
          <w:snapToGrid/>
          <w:color w:val="auto"/>
          <w:kern w:val="2"/>
          <w:sz w:val="32"/>
          <w:szCs w:val="32"/>
          <w:lang w:val="zh-CN" w:eastAsia="zh-CN"/>
        </w:rPr>
        <w:fldChar w:fldCharType="end"/>
      </w:r>
    </w:p>
    <w:p w14:paraId="02B6BF63">
      <w:pPr>
        <w:pStyle w:val="11"/>
        <w:tabs>
          <w:tab w:val="right" w:leader="dot" w:pos="8845"/>
        </w:tabs>
        <w:rPr>
          <w:sz w:val="32"/>
          <w:szCs w:val="32"/>
        </w:rPr>
      </w:pPr>
    </w:p>
    <w:p w14:paraId="77C4438C">
      <w:pPr>
        <w:pStyle w:val="11"/>
        <w:tabs>
          <w:tab w:val="right" w:leader="dot" w:pos="8845"/>
        </w:tabs>
      </w:pPr>
    </w:p>
    <w:p w14:paraId="3F27A4FE">
      <w:pPr>
        <w:widowControl w:val="0"/>
        <w:kinsoku/>
        <w:autoSpaceDE/>
        <w:autoSpaceDN/>
        <w:adjustRightInd/>
        <w:snapToGrid/>
        <w:jc w:val="both"/>
        <w:textAlignment w:val="auto"/>
        <w:rPr>
          <w:rFonts w:ascii="Times New Roman" w:hAnsi="Times New Roman" w:eastAsia="黑体" w:cs="Times New Roman"/>
          <w:bCs/>
          <w:snapToGrid/>
          <w:color w:val="auto"/>
          <w:kern w:val="2"/>
          <w:szCs w:val="28"/>
          <w:lang w:val="zh-CN" w:eastAsia="zh-CN"/>
        </w:rPr>
      </w:pPr>
      <w:r>
        <w:rPr>
          <w:rFonts w:ascii="Times New Roman" w:hAnsi="Times New Roman" w:eastAsia="黑体" w:cs="Times New Roman"/>
          <w:bCs/>
          <w:snapToGrid/>
          <w:color w:val="auto"/>
          <w:kern w:val="2"/>
          <w:szCs w:val="28"/>
          <w:lang w:val="zh-CN" w:eastAsia="zh-CN"/>
        </w:rPr>
        <w:fldChar w:fldCharType="end"/>
      </w:r>
    </w:p>
    <w:p w14:paraId="781DB28E">
      <w:pPr>
        <w:pStyle w:val="4"/>
        <w:rPr>
          <w:rFonts w:ascii="Times New Roman" w:hAnsi="Times New Roman" w:eastAsia="黑体" w:cs="Times New Roman"/>
          <w:bCs/>
          <w:snapToGrid/>
          <w:color w:val="auto"/>
          <w:kern w:val="2"/>
          <w:szCs w:val="28"/>
          <w:lang w:val="zh-CN" w:eastAsia="zh-CN"/>
        </w:rPr>
      </w:pPr>
    </w:p>
    <w:p w14:paraId="073E89F5">
      <w:pPr>
        <w:rPr>
          <w:rFonts w:ascii="Times New Roman" w:hAnsi="Times New Roman" w:eastAsia="黑体" w:cs="Times New Roman"/>
          <w:bCs/>
          <w:snapToGrid/>
          <w:color w:val="auto"/>
          <w:kern w:val="2"/>
          <w:szCs w:val="28"/>
          <w:lang w:val="zh-CN" w:eastAsia="zh-CN"/>
        </w:rPr>
      </w:pPr>
    </w:p>
    <w:p w14:paraId="1BC7C6B4">
      <w:pPr>
        <w:pStyle w:val="4"/>
        <w:rPr>
          <w:rFonts w:ascii="Times New Roman" w:hAnsi="Times New Roman" w:eastAsia="黑体" w:cs="Times New Roman"/>
          <w:bCs/>
          <w:snapToGrid/>
          <w:color w:val="auto"/>
          <w:kern w:val="2"/>
          <w:szCs w:val="28"/>
          <w:lang w:val="zh-CN" w:eastAsia="zh-CN"/>
        </w:rPr>
      </w:pPr>
    </w:p>
    <w:p w14:paraId="753F6080">
      <w:pPr>
        <w:rPr>
          <w:rFonts w:ascii="Times New Roman" w:hAnsi="Times New Roman" w:eastAsia="黑体" w:cs="Times New Roman"/>
          <w:bCs/>
          <w:snapToGrid/>
          <w:color w:val="auto"/>
          <w:kern w:val="2"/>
          <w:szCs w:val="28"/>
          <w:lang w:val="zh-CN" w:eastAsia="zh-CN"/>
        </w:rPr>
      </w:pPr>
    </w:p>
    <w:p w14:paraId="1FBA4767">
      <w:pPr>
        <w:pStyle w:val="4"/>
        <w:rPr>
          <w:rFonts w:ascii="Times New Roman" w:hAnsi="Times New Roman" w:eastAsia="黑体" w:cs="Times New Roman"/>
          <w:bCs/>
          <w:snapToGrid/>
          <w:color w:val="auto"/>
          <w:kern w:val="2"/>
          <w:szCs w:val="28"/>
          <w:lang w:val="zh-CN" w:eastAsia="zh-CN"/>
        </w:rPr>
      </w:pPr>
    </w:p>
    <w:p w14:paraId="5B637A42">
      <w:pPr>
        <w:rPr>
          <w:rFonts w:ascii="Times New Roman" w:hAnsi="Times New Roman" w:eastAsia="黑体" w:cs="Times New Roman"/>
          <w:bCs/>
          <w:snapToGrid/>
          <w:color w:val="auto"/>
          <w:kern w:val="2"/>
          <w:szCs w:val="28"/>
          <w:lang w:val="zh-CN" w:eastAsia="zh-CN"/>
        </w:rPr>
      </w:pPr>
    </w:p>
    <w:p w14:paraId="71EA63D9">
      <w:pPr>
        <w:pStyle w:val="4"/>
        <w:rPr>
          <w:rFonts w:ascii="Times New Roman" w:hAnsi="Times New Roman" w:eastAsia="黑体" w:cs="Times New Roman"/>
          <w:bCs/>
          <w:snapToGrid/>
          <w:color w:val="auto"/>
          <w:kern w:val="2"/>
          <w:szCs w:val="28"/>
          <w:lang w:val="zh-CN" w:eastAsia="zh-CN"/>
        </w:rPr>
      </w:pPr>
    </w:p>
    <w:p w14:paraId="651BE546">
      <w:pPr>
        <w:rPr>
          <w:rFonts w:ascii="Times New Roman" w:hAnsi="Times New Roman" w:eastAsia="黑体" w:cs="Times New Roman"/>
          <w:bCs/>
          <w:snapToGrid/>
          <w:color w:val="auto"/>
          <w:kern w:val="2"/>
          <w:szCs w:val="28"/>
          <w:lang w:val="zh-CN" w:eastAsia="zh-CN"/>
        </w:rPr>
      </w:pPr>
    </w:p>
    <w:p w14:paraId="2B95E446">
      <w:pPr>
        <w:pStyle w:val="4"/>
        <w:rPr>
          <w:rFonts w:ascii="Times New Roman" w:hAnsi="Times New Roman" w:eastAsia="黑体" w:cs="Times New Roman"/>
          <w:bCs/>
          <w:snapToGrid/>
          <w:color w:val="auto"/>
          <w:kern w:val="2"/>
          <w:szCs w:val="28"/>
          <w:lang w:val="zh-CN" w:eastAsia="zh-CN"/>
        </w:rPr>
      </w:pPr>
    </w:p>
    <w:p w14:paraId="1D6AFB38">
      <w:pPr>
        <w:rPr>
          <w:rFonts w:ascii="Times New Roman" w:hAnsi="Times New Roman" w:eastAsia="黑体" w:cs="Times New Roman"/>
          <w:bCs/>
          <w:snapToGrid/>
          <w:color w:val="auto"/>
          <w:kern w:val="2"/>
          <w:szCs w:val="28"/>
          <w:lang w:val="zh-CN" w:eastAsia="zh-CN"/>
        </w:rPr>
      </w:pPr>
    </w:p>
    <w:p w14:paraId="46DA5C5A">
      <w:pPr>
        <w:pStyle w:val="4"/>
        <w:rPr>
          <w:rFonts w:ascii="Times New Roman" w:hAnsi="Times New Roman" w:eastAsia="黑体" w:cs="Times New Roman"/>
          <w:bCs/>
          <w:snapToGrid/>
          <w:color w:val="auto"/>
          <w:kern w:val="2"/>
          <w:szCs w:val="28"/>
          <w:lang w:val="zh-CN" w:eastAsia="zh-CN"/>
        </w:rPr>
      </w:pPr>
    </w:p>
    <w:p w14:paraId="19FC108A">
      <w:pPr>
        <w:rPr>
          <w:rFonts w:ascii="Times New Roman" w:hAnsi="Times New Roman" w:eastAsia="黑体" w:cs="Times New Roman"/>
          <w:bCs/>
          <w:snapToGrid/>
          <w:color w:val="auto"/>
          <w:kern w:val="2"/>
          <w:szCs w:val="28"/>
          <w:lang w:val="zh-CN" w:eastAsia="zh-CN"/>
        </w:rPr>
      </w:pPr>
    </w:p>
    <w:p w14:paraId="0DBACBAD">
      <w:pPr>
        <w:pStyle w:val="4"/>
        <w:rPr>
          <w:rFonts w:ascii="Times New Roman" w:hAnsi="Times New Roman" w:eastAsia="黑体" w:cs="Times New Roman"/>
          <w:bCs/>
          <w:snapToGrid/>
          <w:color w:val="auto"/>
          <w:kern w:val="2"/>
          <w:szCs w:val="28"/>
          <w:lang w:val="zh-CN" w:eastAsia="zh-CN"/>
        </w:rPr>
      </w:pPr>
    </w:p>
    <w:p w14:paraId="7C198DAA">
      <w:pPr>
        <w:rPr>
          <w:rFonts w:ascii="Times New Roman" w:hAnsi="Times New Roman" w:eastAsia="黑体" w:cs="Times New Roman"/>
          <w:bCs/>
          <w:snapToGrid/>
          <w:color w:val="auto"/>
          <w:kern w:val="2"/>
          <w:szCs w:val="28"/>
          <w:lang w:val="zh-CN" w:eastAsia="zh-CN"/>
        </w:rPr>
      </w:pPr>
    </w:p>
    <w:p w14:paraId="2076C374">
      <w:pPr>
        <w:pStyle w:val="4"/>
        <w:rPr>
          <w:rFonts w:ascii="Times New Roman" w:hAnsi="Times New Roman" w:eastAsia="黑体" w:cs="Times New Roman"/>
          <w:bCs/>
          <w:snapToGrid/>
          <w:color w:val="auto"/>
          <w:kern w:val="2"/>
          <w:szCs w:val="28"/>
          <w:lang w:val="zh-CN" w:eastAsia="zh-CN"/>
        </w:rPr>
      </w:pPr>
    </w:p>
    <w:p w14:paraId="7C55F753">
      <w:pPr>
        <w:rPr>
          <w:rFonts w:ascii="Times New Roman" w:hAnsi="Times New Roman" w:eastAsia="黑体" w:cs="Times New Roman"/>
          <w:bCs/>
          <w:snapToGrid/>
          <w:color w:val="auto"/>
          <w:kern w:val="2"/>
          <w:szCs w:val="28"/>
          <w:lang w:val="zh-CN" w:eastAsia="zh-CN"/>
        </w:rPr>
      </w:pPr>
    </w:p>
    <w:p w14:paraId="404D7331">
      <w:pPr>
        <w:pStyle w:val="4"/>
        <w:rPr>
          <w:lang w:val="zh-CN" w:eastAsia="zh-CN"/>
        </w:rPr>
      </w:pPr>
    </w:p>
    <w:p w14:paraId="5A24EF08">
      <w:pPr>
        <w:widowControl w:val="0"/>
        <w:kinsoku/>
        <w:autoSpaceDE/>
        <w:autoSpaceDN/>
        <w:adjustRightInd/>
        <w:snapToGrid/>
        <w:jc w:val="both"/>
        <w:textAlignment w:val="auto"/>
        <w:rPr>
          <w:rFonts w:ascii="Times New Roman" w:hAnsi="Times New Roman" w:eastAsia="黑体" w:cs="Times New Roman"/>
          <w:bCs/>
          <w:snapToGrid/>
          <w:color w:val="auto"/>
          <w:kern w:val="2"/>
          <w:sz w:val="32"/>
          <w:szCs w:val="28"/>
          <w:lang w:val="zh-CN" w:eastAsia="zh-CN"/>
        </w:rPr>
      </w:pPr>
    </w:p>
    <w:p w14:paraId="64EC8170">
      <w:pPr>
        <w:widowControl w:val="0"/>
        <w:kinsoku/>
        <w:autoSpaceDE/>
        <w:autoSpaceDN/>
        <w:adjustRightInd/>
        <w:snapToGrid/>
        <w:jc w:val="both"/>
        <w:textAlignment w:val="auto"/>
        <w:rPr>
          <w:rFonts w:ascii="Times New Roman" w:hAnsi="Times New Roman" w:eastAsia="仿宋" w:cs="Times New Roman"/>
          <w:b/>
          <w:bCs/>
          <w:snapToGrid/>
          <w:color w:val="auto"/>
          <w:kern w:val="2"/>
          <w:sz w:val="28"/>
          <w:szCs w:val="28"/>
          <w:lang w:eastAsia="zh-CN"/>
        </w:rPr>
      </w:pPr>
      <w:r>
        <w:rPr>
          <w:rFonts w:ascii="Times New Roman" w:hAnsi="Times New Roman" w:eastAsia="仿宋" w:cs="Times New Roman"/>
          <w:b/>
          <w:bCs/>
          <w:snapToGrid/>
          <w:color w:val="auto"/>
          <w:kern w:val="2"/>
          <w:sz w:val="28"/>
          <w:szCs w:val="28"/>
          <w:lang w:eastAsia="zh-CN"/>
        </w:rPr>
        <w:t>附件</w:t>
      </w:r>
    </w:p>
    <w:p w14:paraId="6111FCD0">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r>
        <w:rPr>
          <w:rFonts w:ascii="Times New Roman" w:hAnsi="Times New Roman" w:eastAsia="仿宋" w:cs="Times New Roman"/>
          <w:snapToGrid/>
          <w:color w:val="auto"/>
          <w:kern w:val="2"/>
          <w:sz w:val="28"/>
          <w:szCs w:val="28"/>
          <w:lang w:eastAsia="zh-CN"/>
        </w:rPr>
        <w:t>附件1 炎陵县行政区域突发环境事件风险评估报告</w:t>
      </w:r>
    </w:p>
    <w:p w14:paraId="3C224EC9">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r>
        <w:rPr>
          <w:rFonts w:ascii="Times New Roman" w:hAnsi="Times New Roman" w:eastAsia="仿宋" w:cs="Times New Roman"/>
          <w:snapToGrid/>
          <w:color w:val="auto"/>
          <w:kern w:val="2"/>
          <w:sz w:val="28"/>
          <w:szCs w:val="28"/>
          <w:lang w:eastAsia="zh-CN"/>
        </w:rPr>
        <w:t>附件2 炎陵县突发环境事件应急指挥部成员</w:t>
      </w:r>
    </w:p>
    <w:p w14:paraId="3AF5B1E1">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r>
        <w:rPr>
          <w:rFonts w:ascii="Times New Roman" w:hAnsi="Times New Roman" w:eastAsia="仿宋" w:cs="Times New Roman"/>
          <w:snapToGrid/>
          <w:color w:val="auto"/>
          <w:kern w:val="2"/>
          <w:sz w:val="28"/>
          <w:szCs w:val="28"/>
          <w:lang w:eastAsia="zh-CN"/>
        </w:rPr>
        <w:t>附件3</w:t>
      </w:r>
      <w:r>
        <w:rPr>
          <w:rFonts w:hint="eastAsia" w:ascii="Times New Roman" w:hAnsi="Times New Roman" w:eastAsia="仿宋" w:cs="Times New Roman"/>
          <w:snapToGrid/>
          <w:color w:val="auto"/>
          <w:kern w:val="2"/>
          <w:sz w:val="28"/>
          <w:szCs w:val="28"/>
          <w:lang w:eastAsia="zh-CN"/>
        </w:rPr>
        <w:t xml:space="preserve"> </w:t>
      </w:r>
      <w:r>
        <w:rPr>
          <w:rFonts w:ascii="Times New Roman" w:hAnsi="Times New Roman" w:eastAsia="仿宋" w:cs="Times New Roman"/>
          <w:snapToGrid/>
          <w:color w:val="auto"/>
          <w:kern w:val="2"/>
          <w:sz w:val="28"/>
          <w:szCs w:val="28"/>
          <w:lang w:eastAsia="zh-CN"/>
        </w:rPr>
        <w:t>炎陵县应急专家库成员名单</w:t>
      </w:r>
    </w:p>
    <w:p w14:paraId="64159A15">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r>
        <w:rPr>
          <w:rFonts w:ascii="Times New Roman" w:hAnsi="Times New Roman" w:eastAsia="仿宋" w:cs="Times New Roman"/>
          <w:snapToGrid/>
          <w:color w:val="auto"/>
          <w:kern w:val="2"/>
          <w:sz w:val="28"/>
          <w:szCs w:val="28"/>
          <w:lang w:eastAsia="zh-CN"/>
        </w:rPr>
        <w:t>附件4 突发环境事件应急响应工作流程图</w:t>
      </w:r>
    </w:p>
    <w:p w14:paraId="19A56C96">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r>
        <w:rPr>
          <w:rFonts w:ascii="Times New Roman" w:hAnsi="Times New Roman" w:eastAsia="仿宋" w:cs="Times New Roman"/>
          <w:snapToGrid/>
          <w:color w:val="auto"/>
          <w:kern w:val="2"/>
          <w:sz w:val="28"/>
          <w:szCs w:val="28"/>
          <w:lang w:eastAsia="zh-CN"/>
        </w:rPr>
        <w:t xml:space="preserve">附件5 </w:t>
      </w:r>
      <w:r>
        <w:rPr>
          <w:rFonts w:ascii="Times New Roman" w:hAnsi="Times New Roman" w:eastAsia="仿宋" w:cs="Times New Roman"/>
          <w:snapToGrid/>
          <w:color w:val="auto"/>
          <w:kern w:val="2"/>
          <w:sz w:val="28"/>
          <w:szCs w:val="28"/>
          <w:lang w:eastAsia="zh-CN"/>
        </w:rPr>
        <w:t>突发环境事件应急卡</w:t>
      </w:r>
    </w:p>
    <w:p w14:paraId="0FBA782F">
      <w:pPr>
        <w:widowControl w:val="0"/>
        <w:kinsoku/>
        <w:autoSpaceDE/>
        <w:autoSpaceDN/>
        <w:adjustRightInd/>
        <w:snapToGrid/>
        <w:spacing w:line="580" w:lineRule="exact"/>
        <w:jc w:val="both"/>
        <w:textAlignment w:val="auto"/>
        <w:rPr>
          <w:rFonts w:ascii="Times New Roman" w:hAnsi="Times New Roman" w:eastAsia="仿宋" w:cs="Times New Roman"/>
          <w:b/>
          <w:bCs/>
          <w:snapToGrid/>
          <w:color w:val="auto"/>
          <w:kern w:val="2"/>
          <w:sz w:val="28"/>
          <w:szCs w:val="28"/>
          <w:lang w:eastAsia="zh-CN"/>
        </w:rPr>
      </w:pPr>
      <w:r>
        <w:rPr>
          <w:rFonts w:ascii="Times New Roman" w:hAnsi="Times New Roman" w:eastAsia="仿宋" w:cs="Times New Roman"/>
          <w:b/>
          <w:bCs/>
          <w:snapToGrid/>
          <w:color w:val="auto"/>
          <w:kern w:val="2"/>
          <w:sz w:val="28"/>
          <w:szCs w:val="28"/>
          <w:lang w:eastAsia="zh-CN"/>
        </w:rPr>
        <w:t>附图</w:t>
      </w:r>
    </w:p>
    <w:p w14:paraId="593D1DEE">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r>
        <w:rPr>
          <w:rFonts w:ascii="Times New Roman" w:hAnsi="Times New Roman" w:eastAsia="仿宋" w:cs="Times New Roman"/>
          <w:snapToGrid/>
          <w:color w:val="auto"/>
          <w:kern w:val="2"/>
          <w:sz w:val="28"/>
          <w:szCs w:val="28"/>
          <w:lang w:eastAsia="zh-CN"/>
        </w:rPr>
        <w:t>附</w:t>
      </w:r>
      <w:r>
        <w:rPr>
          <w:rFonts w:hint="eastAsia" w:ascii="Times New Roman" w:hAnsi="Times New Roman" w:eastAsia="仿宋" w:cs="Times New Roman"/>
          <w:snapToGrid/>
          <w:color w:val="auto"/>
          <w:kern w:val="2"/>
          <w:sz w:val="28"/>
          <w:szCs w:val="28"/>
          <w:lang w:val="en-US" w:eastAsia="zh-CN"/>
        </w:rPr>
        <w:t>图</w:t>
      </w:r>
      <w:r>
        <w:rPr>
          <w:rFonts w:ascii="Times New Roman" w:hAnsi="Times New Roman" w:eastAsia="仿宋" w:cs="Times New Roman"/>
          <w:snapToGrid/>
          <w:color w:val="auto"/>
          <w:kern w:val="2"/>
          <w:sz w:val="28"/>
          <w:szCs w:val="28"/>
          <w:lang w:eastAsia="zh-CN"/>
        </w:rPr>
        <w:t>1 炎陵县</w:t>
      </w:r>
      <w:r>
        <w:rPr>
          <w:rFonts w:hint="eastAsia" w:ascii="Times New Roman" w:hAnsi="Times New Roman" w:eastAsia="仿宋" w:cs="Times New Roman"/>
          <w:snapToGrid/>
          <w:color w:val="auto"/>
          <w:kern w:val="2"/>
          <w:sz w:val="28"/>
          <w:szCs w:val="28"/>
          <w:lang w:val="en-US" w:eastAsia="zh-CN"/>
        </w:rPr>
        <w:t>行政区划</w:t>
      </w:r>
      <w:r>
        <w:rPr>
          <w:rFonts w:ascii="Times New Roman" w:hAnsi="Times New Roman" w:eastAsia="仿宋" w:cs="Times New Roman"/>
          <w:snapToGrid/>
          <w:color w:val="auto"/>
          <w:kern w:val="2"/>
          <w:sz w:val="28"/>
          <w:szCs w:val="28"/>
          <w:lang w:eastAsia="zh-CN"/>
        </w:rPr>
        <w:t>图</w:t>
      </w:r>
    </w:p>
    <w:p w14:paraId="7AA0B5F8">
      <w:pPr>
        <w:widowControl w:val="0"/>
        <w:kinsoku/>
        <w:autoSpaceDE/>
        <w:autoSpaceDN/>
        <w:adjustRightInd/>
        <w:snapToGrid/>
        <w:spacing w:line="580" w:lineRule="exact"/>
        <w:ind w:firstLine="560" w:firstLineChars="200"/>
        <w:jc w:val="both"/>
        <w:textAlignment w:val="auto"/>
        <w:rPr>
          <w:lang w:eastAsia="zh-CN"/>
        </w:rPr>
      </w:pPr>
      <w:r>
        <w:rPr>
          <w:rFonts w:ascii="Times New Roman" w:hAnsi="Times New Roman" w:eastAsia="仿宋" w:cs="Times New Roman"/>
          <w:snapToGrid/>
          <w:color w:val="auto"/>
          <w:kern w:val="2"/>
          <w:sz w:val="28"/>
          <w:szCs w:val="28"/>
          <w:lang w:eastAsia="zh-CN"/>
        </w:rPr>
        <w:t>附</w:t>
      </w:r>
      <w:r>
        <w:rPr>
          <w:rFonts w:hint="eastAsia" w:ascii="Times New Roman" w:hAnsi="Times New Roman" w:eastAsia="仿宋" w:cs="Times New Roman"/>
          <w:snapToGrid/>
          <w:color w:val="auto"/>
          <w:kern w:val="2"/>
          <w:sz w:val="28"/>
          <w:szCs w:val="28"/>
          <w:lang w:val="en-US" w:eastAsia="zh-CN"/>
        </w:rPr>
        <w:t>图2</w:t>
      </w:r>
      <w:r>
        <w:rPr>
          <w:rFonts w:ascii="Times New Roman" w:hAnsi="Times New Roman" w:eastAsia="仿宋" w:cs="Times New Roman"/>
          <w:snapToGrid/>
          <w:color w:val="auto"/>
          <w:kern w:val="2"/>
          <w:sz w:val="28"/>
          <w:szCs w:val="28"/>
          <w:lang w:eastAsia="zh-CN"/>
        </w:rPr>
        <w:t xml:space="preserve"> 炎陵县</w:t>
      </w:r>
      <w:r>
        <w:rPr>
          <w:rFonts w:hint="eastAsia" w:ascii="Times New Roman" w:hAnsi="Times New Roman" w:eastAsia="仿宋" w:cs="Times New Roman"/>
          <w:snapToGrid/>
          <w:color w:val="auto"/>
          <w:kern w:val="2"/>
          <w:sz w:val="28"/>
          <w:szCs w:val="28"/>
          <w:lang w:val="en-US" w:eastAsia="zh-CN"/>
        </w:rPr>
        <w:t>水系</w:t>
      </w:r>
      <w:r>
        <w:rPr>
          <w:rFonts w:ascii="Times New Roman" w:hAnsi="Times New Roman" w:eastAsia="仿宋" w:cs="Times New Roman"/>
          <w:snapToGrid/>
          <w:color w:val="auto"/>
          <w:kern w:val="2"/>
          <w:sz w:val="28"/>
          <w:szCs w:val="28"/>
          <w:lang w:eastAsia="zh-CN"/>
        </w:rPr>
        <w:t>分布图</w:t>
      </w:r>
    </w:p>
    <w:p w14:paraId="7BF0E304">
      <w:pPr>
        <w:widowControl w:val="0"/>
        <w:kinsoku/>
        <w:autoSpaceDE/>
        <w:autoSpaceDN/>
        <w:adjustRightInd/>
        <w:snapToGrid/>
        <w:spacing w:line="580" w:lineRule="exact"/>
        <w:ind w:firstLine="560" w:firstLineChars="200"/>
        <w:jc w:val="both"/>
        <w:textAlignment w:val="auto"/>
        <w:rPr>
          <w:lang w:eastAsia="zh-CN"/>
        </w:rPr>
      </w:pPr>
      <w:r>
        <w:rPr>
          <w:rFonts w:ascii="Times New Roman" w:hAnsi="Times New Roman" w:eastAsia="仿宋" w:cs="Times New Roman"/>
          <w:snapToGrid/>
          <w:color w:val="auto"/>
          <w:kern w:val="2"/>
          <w:sz w:val="28"/>
          <w:szCs w:val="28"/>
          <w:lang w:eastAsia="zh-CN"/>
        </w:rPr>
        <w:t>附</w:t>
      </w:r>
      <w:r>
        <w:rPr>
          <w:rFonts w:hint="eastAsia" w:ascii="Times New Roman" w:hAnsi="Times New Roman" w:eastAsia="仿宋" w:cs="Times New Roman"/>
          <w:snapToGrid/>
          <w:color w:val="auto"/>
          <w:kern w:val="2"/>
          <w:sz w:val="28"/>
          <w:szCs w:val="28"/>
          <w:lang w:val="en-US" w:eastAsia="zh-CN"/>
        </w:rPr>
        <w:t>图3</w:t>
      </w:r>
      <w:r>
        <w:rPr>
          <w:rFonts w:ascii="Times New Roman" w:hAnsi="Times New Roman" w:eastAsia="仿宋" w:cs="Times New Roman"/>
          <w:snapToGrid/>
          <w:color w:val="auto"/>
          <w:kern w:val="2"/>
          <w:sz w:val="28"/>
          <w:szCs w:val="28"/>
          <w:lang w:eastAsia="zh-CN"/>
        </w:rPr>
        <w:t xml:space="preserve"> 炎陵县生态红线分布图</w:t>
      </w:r>
    </w:p>
    <w:p w14:paraId="1CEBE736">
      <w:pPr>
        <w:widowControl w:val="0"/>
        <w:kinsoku/>
        <w:autoSpaceDE/>
        <w:autoSpaceDN/>
        <w:adjustRightInd/>
        <w:snapToGrid/>
        <w:spacing w:line="580" w:lineRule="exact"/>
        <w:ind w:firstLine="560" w:firstLineChars="200"/>
        <w:jc w:val="both"/>
        <w:textAlignment w:val="auto"/>
        <w:rPr>
          <w:lang w:eastAsia="zh-CN"/>
        </w:rPr>
      </w:pPr>
      <w:r>
        <w:rPr>
          <w:rFonts w:ascii="Times New Roman" w:hAnsi="Times New Roman" w:eastAsia="仿宋" w:cs="Times New Roman"/>
          <w:snapToGrid/>
          <w:color w:val="auto"/>
          <w:kern w:val="2"/>
          <w:sz w:val="28"/>
          <w:szCs w:val="28"/>
          <w:lang w:eastAsia="zh-CN"/>
        </w:rPr>
        <w:t>附</w:t>
      </w:r>
      <w:r>
        <w:rPr>
          <w:rFonts w:hint="eastAsia" w:ascii="Times New Roman" w:hAnsi="Times New Roman" w:eastAsia="仿宋" w:cs="Times New Roman"/>
          <w:snapToGrid/>
          <w:color w:val="auto"/>
          <w:kern w:val="2"/>
          <w:sz w:val="28"/>
          <w:szCs w:val="28"/>
          <w:lang w:val="en-US" w:eastAsia="zh-CN"/>
        </w:rPr>
        <w:t>图4</w:t>
      </w:r>
      <w:r>
        <w:rPr>
          <w:rFonts w:ascii="Times New Roman" w:hAnsi="Times New Roman" w:eastAsia="仿宋" w:cs="Times New Roman"/>
          <w:snapToGrid/>
          <w:color w:val="auto"/>
          <w:kern w:val="2"/>
          <w:sz w:val="28"/>
          <w:szCs w:val="28"/>
          <w:lang w:eastAsia="zh-CN"/>
        </w:rPr>
        <w:t xml:space="preserve"> 炎陵县</w:t>
      </w:r>
      <w:r>
        <w:rPr>
          <w:rFonts w:hint="eastAsia" w:ascii="Times New Roman" w:hAnsi="Times New Roman" w:eastAsia="仿宋" w:cs="Times New Roman"/>
          <w:snapToGrid/>
          <w:color w:val="auto"/>
          <w:kern w:val="2"/>
          <w:sz w:val="28"/>
          <w:szCs w:val="28"/>
          <w:lang w:val="en-US" w:eastAsia="zh-CN"/>
        </w:rPr>
        <w:t>大气、水环境风险源分布</w:t>
      </w:r>
      <w:r>
        <w:rPr>
          <w:rFonts w:ascii="Times New Roman" w:hAnsi="Times New Roman" w:eastAsia="仿宋" w:cs="Times New Roman"/>
          <w:snapToGrid/>
          <w:color w:val="auto"/>
          <w:kern w:val="2"/>
          <w:sz w:val="28"/>
          <w:szCs w:val="28"/>
          <w:lang w:eastAsia="zh-CN"/>
        </w:rPr>
        <w:t>图</w:t>
      </w:r>
    </w:p>
    <w:p w14:paraId="3BD89646">
      <w:pPr>
        <w:widowControl w:val="0"/>
        <w:kinsoku/>
        <w:autoSpaceDE/>
        <w:autoSpaceDN/>
        <w:adjustRightInd/>
        <w:snapToGrid/>
        <w:spacing w:line="580" w:lineRule="exact"/>
        <w:ind w:firstLine="420" w:firstLineChars="200"/>
        <w:jc w:val="both"/>
        <w:textAlignment w:val="auto"/>
        <w:rPr>
          <w:lang w:eastAsia="zh-CN"/>
        </w:rPr>
      </w:pPr>
    </w:p>
    <w:p w14:paraId="41C4F9DE">
      <w:pPr>
        <w:widowControl w:val="0"/>
        <w:kinsoku/>
        <w:autoSpaceDE/>
        <w:autoSpaceDN/>
        <w:adjustRightInd/>
        <w:snapToGrid/>
        <w:spacing w:line="580" w:lineRule="exact"/>
        <w:ind w:firstLine="560" w:firstLineChars="200"/>
        <w:jc w:val="both"/>
        <w:textAlignment w:val="auto"/>
        <w:rPr>
          <w:rFonts w:ascii="Times New Roman" w:hAnsi="Times New Roman" w:eastAsia="仿宋" w:cs="Times New Roman"/>
          <w:snapToGrid/>
          <w:color w:val="auto"/>
          <w:kern w:val="2"/>
          <w:sz w:val="28"/>
          <w:szCs w:val="28"/>
          <w:lang w:eastAsia="zh-CN"/>
        </w:rPr>
      </w:pPr>
    </w:p>
    <w:p w14:paraId="2EC8E67C">
      <w:pPr>
        <w:widowControl w:val="0"/>
        <w:kinsoku/>
        <w:autoSpaceDE/>
        <w:autoSpaceDN/>
        <w:adjustRightInd/>
        <w:snapToGrid/>
        <w:spacing w:line="580" w:lineRule="exact"/>
        <w:jc w:val="both"/>
        <w:textAlignment w:val="auto"/>
        <w:rPr>
          <w:rFonts w:ascii="Times New Roman" w:hAnsi="Times New Roman" w:eastAsia="仿宋" w:cs="Times New Roman"/>
          <w:snapToGrid/>
          <w:color w:val="auto"/>
          <w:kern w:val="2"/>
          <w:sz w:val="32"/>
          <w:szCs w:val="32"/>
          <w:lang w:eastAsia="zh-CN"/>
        </w:rPr>
      </w:pPr>
    </w:p>
    <w:p w14:paraId="2E5558E7">
      <w:pPr>
        <w:spacing w:line="580" w:lineRule="exact"/>
        <w:rPr>
          <w:rFonts w:ascii="Times New Roman" w:hAnsi="Times New Roman" w:eastAsia="仿宋_GB2312" w:cs="Times New Roman"/>
          <w:color w:val="auto"/>
          <w:szCs w:val="32"/>
          <w:lang w:eastAsia="zh-CN"/>
        </w:rPr>
        <w:sectPr>
          <w:headerReference r:id="rId4" w:type="first"/>
          <w:footerReference r:id="rId6" w:type="first"/>
          <w:headerReference r:id="rId3" w:type="default"/>
          <w:footerReference r:id="rId5" w:type="default"/>
          <w:pgSz w:w="11906" w:h="16838"/>
          <w:pgMar w:top="1984" w:right="1474" w:bottom="1871" w:left="1587" w:header="851" w:footer="1587" w:gutter="0"/>
          <w:pgNumType w:fmt="upperRoman" w:start="1"/>
          <w:cols w:space="720" w:num="1"/>
          <w:titlePg/>
          <w:docGrid w:linePitch="590" w:charSpace="0"/>
        </w:sectPr>
      </w:pPr>
    </w:p>
    <w:p w14:paraId="57CEF409">
      <w:pPr>
        <w:widowControl w:val="0"/>
        <w:kinsoku/>
        <w:autoSpaceDE/>
        <w:autoSpaceDN/>
        <w:spacing w:line="580" w:lineRule="exact"/>
        <w:jc w:val="both"/>
        <w:textAlignment w:val="auto"/>
        <w:outlineLvl w:val="0"/>
        <w:rPr>
          <w:rFonts w:ascii="Times New Roman" w:hAnsi="Times New Roman" w:eastAsia="黑体" w:cs="Times New Roman"/>
          <w:b/>
          <w:snapToGrid/>
          <w:color w:val="auto"/>
          <w:sz w:val="36"/>
          <w:szCs w:val="36"/>
          <w:lang w:eastAsia="zh-CN"/>
        </w:rPr>
      </w:pPr>
      <w:bookmarkStart w:id="1" w:name="_Toc4086794"/>
      <w:bookmarkStart w:id="2" w:name="_Toc1311"/>
      <w:bookmarkStart w:id="3" w:name="_Toc2557"/>
      <w:r>
        <w:rPr>
          <w:rFonts w:ascii="Times New Roman" w:hAnsi="Times New Roman" w:eastAsia="黑体" w:cs="Times New Roman"/>
          <w:b/>
          <w:snapToGrid/>
          <w:color w:val="auto"/>
          <w:sz w:val="36"/>
          <w:szCs w:val="36"/>
          <w:lang w:eastAsia="zh-CN"/>
        </w:rPr>
        <w:t>1  总则</w:t>
      </w:r>
      <w:bookmarkEnd w:id="1"/>
      <w:bookmarkEnd w:id="2"/>
      <w:bookmarkEnd w:id="3"/>
    </w:p>
    <w:p w14:paraId="5C551988">
      <w:pPr>
        <w:keepNext/>
        <w:keepLines/>
        <w:widowControl w:val="0"/>
        <w:kinsoku/>
        <w:autoSpaceDE/>
        <w:autoSpaceDN/>
        <w:adjustRightInd/>
        <w:snapToGrid/>
        <w:spacing w:line="580" w:lineRule="exact"/>
        <w:jc w:val="both"/>
        <w:textAlignment w:val="auto"/>
        <w:outlineLvl w:val="1"/>
        <w:rPr>
          <w:rFonts w:ascii="Times New Roman" w:hAnsi="Times New Roman" w:eastAsia="仿宋" w:cs="Times New Roman"/>
          <w:b/>
          <w:bCs/>
          <w:snapToGrid/>
          <w:color w:val="auto"/>
          <w:kern w:val="2"/>
          <w:sz w:val="32"/>
          <w:szCs w:val="32"/>
          <w:lang w:eastAsia="zh-CN"/>
        </w:rPr>
      </w:pPr>
      <w:bookmarkStart w:id="4" w:name="_Toc667"/>
      <w:bookmarkStart w:id="5" w:name="_Toc5002"/>
      <w:bookmarkStart w:id="6" w:name="_Toc440226584"/>
      <w:bookmarkStart w:id="7" w:name="_Toc15366"/>
      <w:bookmarkStart w:id="8" w:name="_Toc4086795"/>
      <w:r>
        <w:rPr>
          <w:rFonts w:ascii="Times New Roman" w:hAnsi="Times New Roman" w:eastAsia="仿宋" w:cs="Times New Roman"/>
          <w:b/>
          <w:bCs/>
          <w:snapToGrid/>
          <w:color w:val="auto"/>
          <w:kern w:val="2"/>
          <w:sz w:val="32"/>
          <w:szCs w:val="32"/>
          <w:lang w:eastAsia="zh-CN"/>
        </w:rPr>
        <w:t xml:space="preserve">1.1 </w:t>
      </w:r>
      <w:r>
        <w:rPr>
          <w:rFonts w:ascii="Times New Roman" w:hAnsi="Times New Roman" w:eastAsia="黑体" w:cs="Times New Roman"/>
          <w:b/>
          <w:bCs/>
          <w:snapToGrid/>
          <w:color w:val="auto"/>
          <w:kern w:val="2"/>
          <w:sz w:val="32"/>
          <w:szCs w:val="32"/>
          <w:lang w:eastAsia="zh-CN"/>
        </w:rPr>
        <w:t>编制目的</w:t>
      </w:r>
      <w:bookmarkEnd w:id="4"/>
      <w:bookmarkEnd w:id="5"/>
      <w:bookmarkEnd w:id="6"/>
      <w:bookmarkEnd w:id="7"/>
      <w:bookmarkEnd w:id="8"/>
    </w:p>
    <w:p w14:paraId="5789E551">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bookmarkStart w:id="9" w:name="_Toc4086796"/>
      <w:r>
        <w:rPr>
          <w:rFonts w:ascii="Times New Roman" w:hAnsi="Times New Roman" w:eastAsia="仿宋_GB2312" w:cs="Times New Roman"/>
          <w:snapToGrid/>
          <w:color w:val="auto"/>
          <w:kern w:val="2"/>
          <w:sz w:val="32"/>
          <w:szCs w:val="32"/>
          <w:lang w:eastAsia="zh-CN"/>
        </w:rPr>
        <w:t>建立健全全县突发环境事件应对工作机制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提高应对突发环境事件预防、预警和应急处置能力</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明确有关部门职责</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控制、减轻和消除突发环境事件危害</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保障人民群众生命财产安全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促进经济社会全面发展</w:t>
      </w: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制定本预案</w:t>
      </w:r>
      <w:r>
        <w:rPr>
          <w:rFonts w:ascii="Times New Roman" w:hAnsi="Times New Roman" w:eastAsia="仿宋_GB2312" w:cs="Times New Roman"/>
          <w:snapToGrid/>
          <w:color w:val="auto"/>
          <w:kern w:val="2"/>
          <w:sz w:val="32"/>
          <w:szCs w:val="32"/>
          <w:lang w:eastAsia="zh-CN"/>
        </w:rPr>
        <w:t>。</w:t>
      </w:r>
    </w:p>
    <w:p w14:paraId="4546B79E">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auto"/>
          <w:kern w:val="2"/>
          <w:sz w:val="32"/>
          <w:szCs w:val="32"/>
          <w:lang w:eastAsia="zh-CN"/>
        </w:rPr>
      </w:pPr>
      <w:bookmarkStart w:id="10" w:name="_Toc5966"/>
      <w:r>
        <w:rPr>
          <w:rFonts w:ascii="Times New Roman" w:hAnsi="Times New Roman" w:eastAsia="黑体" w:cs="Times New Roman"/>
          <w:b/>
          <w:bCs/>
          <w:snapToGrid/>
          <w:color w:val="auto"/>
          <w:kern w:val="2"/>
          <w:sz w:val="32"/>
          <w:szCs w:val="32"/>
          <w:lang w:eastAsia="zh-CN"/>
        </w:rPr>
        <w:t>1.2 编制依据</w:t>
      </w:r>
      <w:bookmarkEnd w:id="9"/>
      <w:bookmarkEnd w:id="10"/>
    </w:p>
    <w:p w14:paraId="4B1C29F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根据《中华人民共和国环境保护法》《中华人民共和国突发事件应对法》《国家突发环境事件应急预案》《突发环境事件应急管理办法》《突发环境事件信息报告办法》《突发环境事件调查处理办法》《湖南省突发环境事件预案管理办法》《株洲市突发环境事件应急预案》等相关法律、法规及规范性文件规定</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制定本预案。</w:t>
      </w:r>
    </w:p>
    <w:p w14:paraId="1FA4A9F3">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000000"/>
          <w:kern w:val="2"/>
          <w:sz w:val="32"/>
          <w:szCs w:val="32"/>
          <w:lang w:eastAsia="zh-CN"/>
        </w:rPr>
      </w:pPr>
      <w:bookmarkStart w:id="11" w:name="_Toc130"/>
      <w:r>
        <w:rPr>
          <w:rFonts w:ascii="Times New Roman" w:hAnsi="Times New Roman" w:eastAsia="黑体" w:cs="Times New Roman"/>
          <w:b/>
          <w:bCs/>
          <w:snapToGrid/>
          <w:color w:val="000000"/>
          <w:kern w:val="2"/>
          <w:sz w:val="32"/>
          <w:szCs w:val="32"/>
          <w:lang w:eastAsia="zh-CN"/>
        </w:rPr>
        <w:t>1.</w:t>
      </w:r>
      <w:r>
        <w:rPr>
          <w:rFonts w:hint="eastAsia" w:ascii="Times New Roman" w:hAnsi="Times New Roman" w:eastAsia="黑体" w:cs="Times New Roman"/>
          <w:b/>
          <w:bCs/>
          <w:snapToGrid/>
          <w:color w:val="000000"/>
          <w:kern w:val="2"/>
          <w:sz w:val="32"/>
          <w:szCs w:val="32"/>
          <w:lang w:val="en-US" w:eastAsia="zh-CN"/>
        </w:rPr>
        <w:t>3</w:t>
      </w:r>
      <w:r>
        <w:rPr>
          <w:rFonts w:ascii="Times New Roman" w:hAnsi="Times New Roman" w:eastAsia="黑体" w:cs="Times New Roman"/>
          <w:b/>
          <w:bCs/>
          <w:snapToGrid/>
          <w:color w:val="000000"/>
          <w:kern w:val="2"/>
          <w:sz w:val="32"/>
          <w:szCs w:val="32"/>
          <w:lang w:eastAsia="zh-CN"/>
        </w:rPr>
        <w:t xml:space="preserve"> 适用范围</w:t>
      </w:r>
      <w:bookmarkEnd w:id="11"/>
    </w:p>
    <w:p w14:paraId="00133EF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本预案适用于本县行政区域内的突发环境事件，以及由其它突发事件引发环境污染且环境污染的应急处置上升为主要处置目标，</w:t>
      </w:r>
      <w:r>
        <w:rPr>
          <w:rFonts w:ascii="Times New Roman" w:hAnsi="Times New Roman" w:eastAsia="仿宋_GB2312" w:cs="Times New Roman"/>
          <w:snapToGrid/>
          <w:color w:val="auto"/>
          <w:kern w:val="2"/>
          <w:sz w:val="32"/>
          <w:szCs w:val="32"/>
          <w:lang w:eastAsia="zh-CN"/>
        </w:rPr>
        <w:t>需要由县人民政府</w:t>
      </w:r>
      <w:r>
        <w:rPr>
          <w:rFonts w:hint="eastAsia" w:ascii="Times New Roman" w:hAnsi="Times New Roman" w:eastAsia="仿宋_GB2312" w:cs="Times New Roman"/>
          <w:snapToGrid/>
          <w:color w:val="auto"/>
          <w:kern w:val="2"/>
          <w:sz w:val="32"/>
          <w:szCs w:val="32"/>
          <w:lang w:eastAsia="zh-CN"/>
        </w:rPr>
        <w:t>牵头</w:t>
      </w:r>
      <w:r>
        <w:rPr>
          <w:rFonts w:ascii="Times New Roman" w:hAnsi="Times New Roman" w:eastAsia="仿宋_GB2312" w:cs="Times New Roman"/>
          <w:snapToGrid/>
          <w:color w:val="auto"/>
          <w:kern w:val="2"/>
          <w:sz w:val="32"/>
          <w:szCs w:val="32"/>
          <w:lang w:eastAsia="zh-CN"/>
        </w:rPr>
        <w:t>处置的突发环境事件的</w:t>
      </w:r>
      <w:r>
        <w:rPr>
          <w:rFonts w:hint="eastAsia" w:ascii="Times New Roman" w:hAnsi="Times New Roman" w:eastAsia="仿宋_GB2312" w:cs="Times New Roman"/>
          <w:snapToGrid/>
          <w:color w:val="auto"/>
          <w:kern w:val="2"/>
          <w:sz w:val="32"/>
          <w:szCs w:val="32"/>
          <w:lang w:eastAsia="zh-CN"/>
        </w:rPr>
        <w:t>应急处置工作</w:t>
      </w:r>
      <w:r>
        <w:rPr>
          <w:rFonts w:ascii="Times New Roman" w:hAnsi="Times New Roman" w:eastAsia="仿宋_GB2312" w:cs="Times New Roman"/>
          <w:snapToGrid/>
          <w:color w:val="auto"/>
          <w:kern w:val="2"/>
          <w:sz w:val="32"/>
          <w:szCs w:val="32"/>
          <w:lang w:eastAsia="zh-CN"/>
        </w:rPr>
        <w:t>。</w:t>
      </w:r>
    </w:p>
    <w:p w14:paraId="70633C2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突发环境事件是指由于污染物排放或自然灾害、生产安全事故等因素</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导致污染物或放射性物质等有毒有害物质进入大气、水体、土壤等环境介质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突然造成或可能造成环境质量下降</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危及公众身体健康和财产安全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或造成生态环境破坏</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或造成重大社会影响</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需要采取紧急措施予以应对的事件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主要包括大气污染、水体污染、土壤污染等突发性环境污染事件和辐射污染事件。</w:t>
      </w:r>
    </w:p>
    <w:p w14:paraId="5153389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（1）生产安全事故次生突发环境事件。企业在生产、经营、贮存、运输、使用和处置过程中发生的火灾、爆炸或大面积泄漏事故</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危险物品（包括危险化学品和危险废物）泄漏导致受纳水体、事故现场周边大气和土壤次生污染。</w:t>
      </w:r>
    </w:p>
    <w:p w14:paraId="0C64A5D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（2）交通事故次生突发环境事件。化学品、危险化学品和危险废物等危险物品运输过程中发生交通事故导致泄漏造成事故现场和周边水体、大气和土壤次生污染。</w:t>
      </w:r>
    </w:p>
    <w:p w14:paraId="2F9106E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（3）违法排污突发环境事件。企业或自然人非法违法排放废水、废气或倾倒危险废物导致水体、大气和土壤污染。</w:t>
      </w:r>
    </w:p>
    <w:p w14:paraId="70498561">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（4）自然灾害次生突发环境事件。因洪水、滑坡、泥石流等极端天气或自然灾害</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环境风险物质泄漏导致周边水体、大气和土壤污染。</w:t>
      </w:r>
    </w:p>
    <w:p w14:paraId="3F8415A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重污染天气应对工作按照《炎陵县重污染天气应急预案》</w:t>
      </w:r>
      <w:r>
        <w:rPr>
          <w:rFonts w:ascii="Times New Roman" w:hAnsi="Times New Roman" w:eastAsia="仿宋_GB2312" w:cs="Times New Roman"/>
          <w:snapToGrid/>
          <w:color w:val="auto"/>
          <w:kern w:val="2"/>
          <w:sz w:val="32"/>
          <w:szCs w:val="32"/>
          <w:lang w:eastAsia="zh-CN"/>
        </w:rPr>
        <w:t>等有关规定执行</w:t>
      </w:r>
      <w:r>
        <w:rPr>
          <w:rFonts w:hint="eastAsia" w:ascii="Times New Roman" w:hAnsi="Times New Roman" w:eastAsia="仿宋_GB2312" w:cs="Times New Roman"/>
          <w:snapToGrid/>
          <w:color w:val="auto"/>
          <w:kern w:val="2"/>
          <w:sz w:val="32"/>
          <w:szCs w:val="32"/>
          <w:lang w:eastAsia="zh-CN"/>
        </w:rPr>
        <w:t>；已编制环境应急预案的企业发生的突发环境事件根据企业自身预案执行，并与本预案进行衔接。</w:t>
      </w:r>
    </w:p>
    <w:p w14:paraId="5106FD22">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auto"/>
          <w:kern w:val="2"/>
          <w:sz w:val="32"/>
          <w:szCs w:val="32"/>
          <w:lang w:eastAsia="zh-CN"/>
        </w:rPr>
      </w:pPr>
      <w:bookmarkStart w:id="12" w:name="_Toc9776"/>
      <w:r>
        <w:rPr>
          <w:rFonts w:ascii="Times New Roman" w:hAnsi="Times New Roman" w:eastAsia="黑体" w:cs="Times New Roman"/>
          <w:b/>
          <w:bCs/>
          <w:snapToGrid/>
          <w:color w:val="auto"/>
          <w:kern w:val="2"/>
          <w:sz w:val="32"/>
          <w:szCs w:val="32"/>
          <w:lang w:eastAsia="zh-CN"/>
        </w:rPr>
        <w:t>1.</w:t>
      </w:r>
      <w:r>
        <w:rPr>
          <w:rFonts w:hint="eastAsia" w:ascii="Times New Roman" w:hAnsi="Times New Roman" w:eastAsia="黑体" w:cs="Times New Roman"/>
          <w:b/>
          <w:bCs/>
          <w:snapToGrid/>
          <w:color w:val="auto"/>
          <w:kern w:val="2"/>
          <w:sz w:val="32"/>
          <w:szCs w:val="32"/>
          <w:lang w:val="en-US" w:eastAsia="zh-CN"/>
        </w:rPr>
        <w:t>4</w:t>
      </w:r>
      <w:r>
        <w:rPr>
          <w:rFonts w:ascii="Times New Roman" w:hAnsi="Times New Roman" w:eastAsia="黑体" w:cs="Times New Roman"/>
          <w:b/>
          <w:bCs/>
          <w:snapToGrid/>
          <w:color w:val="auto"/>
          <w:kern w:val="2"/>
          <w:sz w:val="32"/>
          <w:szCs w:val="32"/>
          <w:lang w:eastAsia="zh-CN"/>
        </w:rPr>
        <w:t xml:space="preserve"> 工作原则</w:t>
      </w:r>
      <w:bookmarkEnd w:id="12"/>
    </w:p>
    <w:p w14:paraId="007418A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（1）以人为本</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预防为主。加强对环境安全隐患的监测、监控和监督管理</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建立突发环境事件风险防范体系</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避免或减少突发环境事件的发生</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消除或减轻突发环境事件所造成的影响。</w:t>
      </w:r>
    </w:p>
    <w:p w14:paraId="3ED2938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（2）统一领导</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分类管理。突发环境事件应急处置工作在县人民政府统一领导下</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各部门各司其职、相互配合、上下联动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实行分类管理。</w:t>
      </w:r>
    </w:p>
    <w:p w14:paraId="74209C9E">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（3）属地为主</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先期处置。事发地乡镇政府和受事件影响的乡镇政府及时上报情况</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迅速采取措施</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第一时间对突发环境事件进行先期处置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控制事态、减轻后果。</w:t>
      </w:r>
    </w:p>
    <w:p w14:paraId="15279673">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（4）快速反应</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协同应对。充分整合各部门应急组织队伍、物资、资源</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理顺应急管理体制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努力实现资源共享与协调联动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形成统一指挥、反应灵敏、功能齐全、协调有序、运转高效的应急处置机制。</w:t>
      </w:r>
    </w:p>
    <w:p w14:paraId="187D9103">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（5）依靠科技</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依托专家。鼓励开展环境应急科研工作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重视专家在环境应急工作中的作用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加强环境应急专家队伍建设</w:t>
      </w:r>
      <w:r>
        <w:rPr>
          <w:rFonts w:hint="eastAsia" w:ascii="Times New Roman" w:hAnsi="Times New Roman" w:eastAsia="仿宋_GB2312" w:cs="Times New Roman"/>
          <w:snapToGrid/>
          <w:color w:val="auto"/>
          <w:kern w:val="2"/>
          <w:sz w:val="32"/>
          <w:szCs w:val="32"/>
          <w:lang w:eastAsia="zh-CN"/>
        </w:rPr>
        <w:t>，建立应急专家库</w:t>
      </w:r>
      <w:r>
        <w:rPr>
          <w:rFonts w:ascii="Times New Roman" w:hAnsi="Times New Roman" w:eastAsia="仿宋_GB2312" w:cs="Times New Roman"/>
          <w:snapToGrid/>
          <w:color w:val="auto"/>
          <w:kern w:val="2"/>
          <w:sz w:val="32"/>
          <w:szCs w:val="32"/>
          <w:lang w:eastAsia="zh-CN"/>
        </w:rPr>
        <w:t>。</w:t>
      </w:r>
    </w:p>
    <w:p w14:paraId="4CE5DA4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eastAsia="zh-CN"/>
        </w:rPr>
        <w:t>6</w:t>
      </w:r>
      <w:r>
        <w:rPr>
          <w:rFonts w:ascii="Times New Roman" w:hAnsi="Times New Roman" w:eastAsia="仿宋_GB2312" w:cs="Times New Roman"/>
          <w:snapToGrid/>
          <w:color w:val="auto"/>
          <w:kern w:val="2"/>
          <w:sz w:val="32"/>
          <w:szCs w:val="32"/>
          <w:lang w:eastAsia="zh-CN"/>
        </w:rPr>
        <w:t>）平战结合</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专兼结合。按照全面规划、长期准备、重点建设的要求</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做好预案、物资和经费准备。加强培训演练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做到常备不懈</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积极依托</w:t>
      </w:r>
      <w:r>
        <w:rPr>
          <w:rFonts w:hint="eastAsia" w:ascii="Times New Roman" w:hAnsi="Times New Roman" w:eastAsia="仿宋_GB2312" w:cs="Times New Roman"/>
          <w:snapToGrid/>
          <w:color w:val="auto"/>
          <w:kern w:val="2"/>
          <w:sz w:val="32"/>
          <w:szCs w:val="32"/>
          <w:lang w:eastAsia="zh-CN"/>
        </w:rPr>
        <w:t>县</w:t>
      </w:r>
      <w:r>
        <w:rPr>
          <w:rFonts w:ascii="Times New Roman" w:hAnsi="Times New Roman" w:eastAsia="仿宋_GB2312" w:cs="Times New Roman"/>
          <w:snapToGrid/>
          <w:color w:val="auto"/>
          <w:kern w:val="2"/>
          <w:sz w:val="32"/>
          <w:szCs w:val="32"/>
          <w:lang w:eastAsia="zh-CN"/>
        </w:rPr>
        <w:t>应急救援队等现有专业力量</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引导鼓励实现一队多能</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发挥经过专门培训的兼职应急救援力量的作用。</w:t>
      </w:r>
    </w:p>
    <w:p w14:paraId="17296AA2">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auto"/>
          <w:kern w:val="2"/>
          <w:sz w:val="32"/>
          <w:szCs w:val="32"/>
          <w:lang w:eastAsia="zh-CN"/>
        </w:rPr>
      </w:pPr>
      <w:bookmarkStart w:id="13" w:name="_Toc19380"/>
      <w:r>
        <w:rPr>
          <w:rFonts w:ascii="Times New Roman" w:hAnsi="Times New Roman" w:eastAsia="黑体" w:cs="Times New Roman"/>
          <w:b/>
          <w:bCs/>
          <w:snapToGrid/>
          <w:color w:val="auto"/>
          <w:kern w:val="2"/>
          <w:sz w:val="32"/>
          <w:szCs w:val="32"/>
          <w:lang w:eastAsia="zh-CN"/>
        </w:rPr>
        <w:t>1.</w:t>
      </w:r>
      <w:r>
        <w:rPr>
          <w:rFonts w:hint="eastAsia" w:ascii="Times New Roman" w:hAnsi="Times New Roman" w:eastAsia="黑体" w:cs="Times New Roman"/>
          <w:b/>
          <w:bCs/>
          <w:snapToGrid/>
          <w:color w:val="auto"/>
          <w:kern w:val="2"/>
          <w:sz w:val="32"/>
          <w:szCs w:val="32"/>
          <w:lang w:val="en-US" w:eastAsia="zh-CN"/>
        </w:rPr>
        <w:t>5</w:t>
      </w:r>
      <w:r>
        <w:rPr>
          <w:rFonts w:ascii="Times New Roman" w:hAnsi="Times New Roman" w:eastAsia="黑体" w:cs="Times New Roman"/>
          <w:b/>
          <w:bCs/>
          <w:snapToGrid/>
          <w:color w:val="auto"/>
          <w:kern w:val="2"/>
          <w:sz w:val="32"/>
          <w:szCs w:val="32"/>
          <w:lang w:eastAsia="zh-CN"/>
        </w:rPr>
        <w:t xml:space="preserve"> 事件分级</w:t>
      </w:r>
      <w:bookmarkEnd w:id="13"/>
    </w:p>
    <w:p w14:paraId="58AB01F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根据《国务院办公厅关于印发国家突发环境事件应急预案的通知》（国办函[2014]119 号）事件分级要求，结合炎陵县实际，</w:t>
      </w:r>
      <w:r>
        <w:rPr>
          <w:rFonts w:ascii="Times New Roman" w:hAnsi="Times New Roman" w:eastAsia="仿宋_GB2312" w:cs="Times New Roman"/>
          <w:snapToGrid/>
          <w:color w:val="auto"/>
          <w:kern w:val="2"/>
          <w:sz w:val="32"/>
          <w:szCs w:val="32"/>
          <w:lang w:eastAsia="zh-CN"/>
        </w:rPr>
        <w:t>按照事件严重程度</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突发环境事件分为一般（Ⅳ级）、较大（Ⅲ级）、重大（Ⅱ级）和特别重大（Ⅰ级）四个级别。</w:t>
      </w:r>
    </w:p>
    <w:p w14:paraId="592DB40C">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14" w:name="_Toc10291"/>
      <w:bookmarkStart w:id="15" w:name="_Toc21276"/>
      <w:bookmarkStart w:id="16" w:name="_Toc9087"/>
      <w:bookmarkStart w:id="17" w:name="_Toc31349"/>
      <w:bookmarkStart w:id="18" w:name="_Toc32619"/>
      <w:bookmarkStart w:id="19" w:name="_Toc2784"/>
      <w:r>
        <w:rPr>
          <w:rFonts w:hint="eastAsia" w:ascii="Times New Roman" w:hAnsi="Times New Roman" w:eastAsia="黑体" w:cs="Times New Roman"/>
          <w:b/>
          <w:color w:val="auto"/>
          <w:kern w:val="2"/>
          <w:sz w:val="30"/>
          <w:szCs w:val="30"/>
          <w:lang w:val="en-US" w:eastAsia="zh-CN"/>
        </w:rPr>
        <w:t>1.5</w:t>
      </w:r>
      <w:r>
        <w:rPr>
          <w:rFonts w:ascii="Times New Roman" w:hAnsi="Times New Roman" w:eastAsia="黑体" w:cs="Times New Roman"/>
          <w:b/>
          <w:color w:val="auto"/>
          <w:kern w:val="2"/>
          <w:sz w:val="30"/>
          <w:szCs w:val="30"/>
          <w:lang w:eastAsia="zh-CN"/>
        </w:rPr>
        <w:t>.</w:t>
      </w:r>
      <w:r>
        <w:rPr>
          <w:rFonts w:hint="eastAsia" w:ascii="Times New Roman" w:hAnsi="Times New Roman" w:eastAsia="黑体" w:cs="Times New Roman"/>
          <w:b/>
          <w:color w:val="auto"/>
          <w:kern w:val="2"/>
          <w:sz w:val="30"/>
          <w:szCs w:val="30"/>
          <w:lang w:val="en-US" w:eastAsia="zh-CN"/>
        </w:rPr>
        <w:t>1</w:t>
      </w:r>
      <w:r>
        <w:rPr>
          <w:rFonts w:ascii="Times New Roman" w:hAnsi="Times New Roman" w:eastAsia="黑体" w:cs="Times New Roman"/>
          <w:b/>
          <w:color w:val="auto"/>
          <w:kern w:val="2"/>
          <w:sz w:val="30"/>
          <w:szCs w:val="30"/>
          <w:lang w:eastAsia="zh-CN"/>
        </w:rPr>
        <w:t xml:space="preserve"> 一般（Ⅳ级）突发环境事件</w:t>
      </w:r>
      <w:bookmarkEnd w:id="14"/>
      <w:bookmarkEnd w:id="15"/>
      <w:bookmarkEnd w:id="16"/>
      <w:bookmarkEnd w:id="17"/>
    </w:p>
    <w:p w14:paraId="164B571C">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（1）</w:t>
      </w:r>
      <w:r>
        <w:rPr>
          <w:rFonts w:ascii="Times New Roman" w:hAnsi="Times New Roman" w:eastAsia="仿宋" w:cs="Times New Roman"/>
          <w:color w:val="auto"/>
          <w:kern w:val="2"/>
          <w:sz w:val="32"/>
          <w:szCs w:val="24"/>
          <w:lang w:eastAsia="zh-CN"/>
        </w:rPr>
        <w:t>因环境污染直接导致3人以下死亡或10人以下中毒或重伤的；</w:t>
      </w:r>
    </w:p>
    <w:p w14:paraId="12676935">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（2）</w:t>
      </w:r>
      <w:r>
        <w:rPr>
          <w:rFonts w:ascii="Times New Roman" w:hAnsi="Times New Roman" w:eastAsia="仿宋" w:cs="Times New Roman"/>
          <w:color w:val="auto"/>
          <w:kern w:val="2"/>
          <w:sz w:val="32"/>
          <w:szCs w:val="24"/>
          <w:lang w:eastAsia="zh-CN"/>
        </w:rPr>
        <w:t>因环境污染疏散、转移人员5000人以下的；</w:t>
      </w:r>
    </w:p>
    <w:p w14:paraId="0B5D4AF7">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（3）</w:t>
      </w:r>
      <w:r>
        <w:rPr>
          <w:rFonts w:ascii="Times New Roman" w:hAnsi="Times New Roman" w:eastAsia="仿宋" w:cs="Times New Roman"/>
          <w:color w:val="auto"/>
          <w:kern w:val="2"/>
          <w:sz w:val="32"/>
          <w:szCs w:val="24"/>
          <w:lang w:eastAsia="zh-CN"/>
        </w:rPr>
        <w:t>因环境污染造成直接经济损失500万元以下的；</w:t>
      </w:r>
    </w:p>
    <w:p w14:paraId="7EC38C26">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（4）</w:t>
      </w:r>
      <w:r>
        <w:rPr>
          <w:rFonts w:ascii="Times New Roman" w:hAnsi="Times New Roman" w:eastAsia="仿宋" w:cs="Times New Roman"/>
          <w:color w:val="auto"/>
          <w:kern w:val="2"/>
          <w:sz w:val="32"/>
          <w:szCs w:val="24"/>
          <w:lang w:eastAsia="zh-CN"/>
        </w:rPr>
        <w:t>因环境污染造成跨县级行政区域纠纷</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引起一般性群体影响的；</w:t>
      </w:r>
    </w:p>
    <w:p w14:paraId="4ED69FB8">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（5）</w:t>
      </w:r>
      <w:r>
        <w:rPr>
          <w:rFonts w:ascii="Times New Roman" w:hAnsi="Times New Roman" w:eastAsia="仿宋" w:cs="Times New Roman"/>
          <w:color w:val="auto"/>
          <w:kern w:val="2"/>
          <w:sz w:val="32"/>
          <w:szCs w:val="24"/>
          <w:lang w:eastAsia="zh-CN"/>
        </w:rPr>
        <w:t>Ⅳ、Ⅴ类放射源丢失、被盗的；放射性同位素和射线装置失控导致人员受到超过年剂量限值的照射的；放射性物质泄漏</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造成厂区内或设施内局部辐射污染后果的；铀矿冶、伴生矿超标排放</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造成环境辐射污染后果的；</w:t>
      </w:r>
    </w:p>
    <w:p w14:paraId="78BB8288">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（6）</w:t>
      </w:r>
      <w:r>
        <w:rPr>
          <w:rFonts w:ascii="Times New Roman" w:hAnsi="Times New Roman" w:eastAsia="仿宋" w:cs="Times New Roman"/>
          <w:color w:val="auto"/>
          <w:kern w:val="2"/>
          <w:sz w:val="32"/>
          <w:szCs w:val="24"/>
          <w:lang w:eastAsia="zh-CN"/>
        </w:rPr>
        <w:t>对环境造成一定影响</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尚未达到较大突发环境事件级别的。</w:t>
      </w:r>
    </w:p>
    <w:bookmarkEnd w:id="18"/>
    <w:bookmarkEnd w:id="19"/>
    <w:p w14:paraId="65B25EB0">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20" w:name="_Toc14726"/>
      <w:bookmarkStart w:id="21" w:name="_Toc13165"/>
      <w:bookmarkStart w:id="22" w:name="_Toc31507"/>
      <w:bookmarkStart w:id="23" w:name="_Toc7990"/>
      <w:r>
        <w:rPr>
          <w:rFonts w:hint="eastAsia" w:ascii="Times New Roman" w:hAnsi="Times New Roman" w:eastAsia="黑体" w:cs="Times New Roman"/>
          <w:b/>
          <w:color w:val="auto"/>
          <w:kern w:val="2"/>
          <w:sz w:val="30"/>
          <w:szCs w:val="30"/>
          <w:lang w:val="en-US" w:eastAsia="zh-CN"/>
        </w:rPr>
        <w:t>1.5</w:t>
      </w:r>
      <w:r>
        <w:rPr>
          <w:rFonts w:ascii="Times New Roman" w:hAnsi="Times New Roman" w:eastAsia="黑体" w:cs="Times New Roman"/>
          <w:b/>
          <w:color w:val="auto"/>
          <w:kern w:val="2"/>
          <w:sz w:val="30"/>
          <w:szCs w:val="30"/>
          <w:lang w:eastAsia="zh-CN"/>
        </w:rPr>
        <w:t>.</w:t>
      </w:r>
      <w:r>
        <w:rPr>
          <w:rFonts w:hint="eastAsia" w:ascii="Times New Roman" w:hAnsi="Times New Roman" w:eastAsia="黑体" w:cs="Times New Roman"/>
          <w:b/>
          <w:color w:val="auto"/>
          <w:kern w:val="2"/>
          <w:sz w:val="30"/>
          <w:szCs w:val="30"/>
          <w:lang w:val="en-US" w:eastAsia="zh-CN"/>
        </w:rPr>
        <w:t>2</w:t>
      </w:r>
      <w:r>
        <w:rPr>
          <w:rFonts w:ascii="Times New Roman" w:hAnsi="Times New Roman" w:eastAsia="黑体" w:cs="Times New Roman"/>
          <w:b/>
          <w:color w:val="auto"/>
          <w:kern w:val="2"/>
          <w:sz w:val="30"/>
          <w:szCs w:val="30"/>
          <w:lang w:eastAsia="zh-CN"/>
        </w:rPr>
        <w:t xml:space="preserve"> 较大（Ⅲ级）突发环境事件</w:t>
      </w:r>
      <w:bookmarkEnd w:id="20"/>
      <w:bookmarkEnd w:id="21"/>
      <w:bookmarkEnd w:id="22"/>
      <w:bookmarkEnd w:id="23"/>
    </w:p>
    <w:p w14:paraId="065E0D5B">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ascii="Times New Roman" w:hAnsi="Times New Roman" w:eastAsia="仿宋" w:cs="Times New Roman"/>
          <w:color w:val="auto"/>
          <w:kern w:val="2"/>
          <w:sz w:val="32"/>
          <w:szCs w:val="24"/>
          <w:lang w:eastAsia="zh-CN"/>
        </w:rPr>
        <w:t>凡符合下列情形之一的</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为较大突发环境事件：</w:t>
      </w:r>
    </w:p>
    <w:p w14:paraId="2EEDDCFF">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ascii="Times New Roman" w:hAnsi="Times New Roman" w:eastAsia="仿宋" w:cs="Times New Roman"/>
          <w:color w:val="auto"/>
          <w:kern w:val="2"/>
          <w:sz w:val="32"/>
          <w:szCs w:val="24"/>
          <w:lang w:eastAsia="zh-CN"/>
        </w:rPr>
        <w:t>（1）因环境污染直接导致3人以上10人以下死亡或10人以上50人以下中毒或重伤的；</w:t>
      </w:r>
    </w:p>
    <w:p w14:paraId="09AB929A">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（2）</w:t>
      </w:r>
      <w:r>
        <w:rPr>
          <w:rFonts w:ascii="Times New Roman" w:hAnsi="Times New Roman" w:eastAsia="仿宋" w:cs="Times New Roman"/>
          <w:color w:val="auto"/>
          <w:kern w:val="2"/>
          <w:sz w:val="32"/>
          <w:szCs w:val="24"/>
          <w:lang w:eastAsia="zh-CN"/>
        </w:rPr>
        <w:t>因环境污染疏散、转移人员5000人以上1万人以下的；</w:t>
      </w:r>
    </w:p>
    <w:p w14:paraId="452546F6">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（3）</w:t>
      </w:r>
      <w:r>
        <w:rPr>
          <w:rFonts w:ascii="Times New Roman" w:hAnsi="Times New Roman" w:eastAsia="仿宋" w:cs="Times New Roman"/>
          <w:color w:val="auto"/>
          <w:kern w:val="2"/>
          <w:sz w:val="32"/>
          <w:szCs w:val="24"/>
          <w:lang w:eastAsia="zh-CN"/>
        </w:rPr>
        <w:t>因环境污染造成直接经济损失500万元以上2000万元以下的；</w:t>
      </w:r>
    </w:p>
    <w:p w14:paraId="26D45A10">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（4）</w:t>
      </w:r>
      <w:r>
        <w:rPr>
          <w:rFonts w:ascii="Times New Roman" w:hAnsi="Times New Roman" w:eastAsia="仿宋" w:cs="Times New Roman"/>
          <w:color w:val="auto"/>
          <w:kern w:val="2"/>
          <w:sz w:val="32"/>
          <w:szCs w:val="24"/>
          <w:lang w:eastAsia="zh-CN"/>
        </w:rPr>
        <w:t>因环境污染造成国家重点保护的动植物物种受到破坏的；</w:t>
      </w:r>
    </w:p>
    <w:p w14:paraId="2F282218">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（5）</w:t>
      </w:r>
      <w:r>
        <w:rPr>
          <w:rFonts w:ascii="Times New Roman" w:hAnsi="Times New Roman" w:eastAsia="仿宋" w:cs="Times New Roman"/>
          <w:color w:val="auto"/>
          <w:kern w:val="2"/>
          <w:sz w:val="32"/>
          <w:szCs w:val="24"/>
          <w:lang w:eastAsia="zh-CN"/>
        </w:rPr>
        <w:t>因环境污染造成乡镇集中式饮用水水源地取水中断的；</w:t>
      </w:r>
    </w:p>
    <w:p w14:paraId="07B38F0B">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（6）</w:t>
      </w:r>
      <w:r>
        <w:rPr>
          <w:rFonts w:ascii="Times New Roman" w:hAnsi="Times New Roman" w:eastAsia="仿宋" w:cs="Times New Roman"/>
          <w:color w:val="auto"/>
          <w:kern w:val="2"/>
          <w:sz w:val="32"/>
          <w:szCs w:val="24"/>
          <w:lang w:eastAsia="zh-CN"/>
        </w:rPr>
        <w:t>Ⅲ类放射源丢失、被盗的；放射性同位素和射线装置失控导致10人以下急性重度放射病、局部器官残疾的；放射性物质泄漏</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造成小范围辐射污染后果的</w:t>
      </w:r>
      <w:r>
        <w:rPr>
          <w:rFonts w:hint="eastAsia" w:ascii="Times New Roman" w:hAnsi="Times New Roman" w:eastAsia="仿宋" w:cs="Times New Roman"/>
          <w:color w:val="auto"/>
          <w:kern w:val="2"/>
          <w:sz w:val="32"/>
          <w:szCs w:val="24"/>
          <w:lang w:eastAsia="zh-CN"/>
        </w:rPr>
        <w:t>。</w:t>
      </w:r>
    </w:p>
    <w:p w14:paraId="1875370A">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24" w:name="_Toc5334"/>
      <w:bookmarkStart w:id="25" w:name="_Toc7538"/>
      <w:bookmarkStart w:id="26" w:name="_Toc10062"/>
      <w:bookmarkStart w:id="27" w:name="_Toc546"/>
      <w:r>
        <w:rPr>
          <w:rFonts w:hint="eastAsia" w:ascii="Times New Roman" w:hAnsi="Times New Roman" w:eastAsia="黑体" w:cs="Times New Roman"/>
          <w:b/>
          <w:color w:val="auto"/>
          <w:kern w:val="2"/>
          <w:sz w:val="30"/>
          <w:szCs w:val="30"/>
          <w:lang w:val="en-US" w:eastAsia="zh-CN"/>
        </w:rPr>
        <w:t>1.5</w:t>
      </w:r>
      <w:r>
        <w:rPr>
          <w:rFonts w:ascii="Times New Roman" w:hAnsi="Times New Roman" w:eastAsia="黑体" w:cs="Times New Roman"/>
          <w:b/>
          <w:color w:val="auto"/>
          <w:kern w:val="2"/>
          <w:sz w:val="30"/>
          <w:szCs w:val="30"/>
          <w:lang w:eastAsia="zh-CN"/>
        </w:rPr>
        <w:t>.</w:t>
      </w:r>
      <w:r>
        <w:rPr>
          <w:rFonts w:hint="eastAsia" w:ascii="Times New Roman" w:hAnsi="Times New Roman" w:eastAsia="黑体" w:cs="Times New Roman"/>
          <w:b/>
          <w:color w:val="auto"/>
          <w:kern w:val="2"/>
          <w:sz w:val="30"/>
          <w:szCs w:val="30"/>
          <w:lang w:val="en-US" w:eastAsia="zh-CN"/>
        </w:rPr>
        <w:t>3</w:t>
      </w:r>
      <w:r>
        <w:rPr>
          <w:rFonts w:ascii="Times New Roman" w:hAnsi="Times New Roman" w:eastAsia="黑体" w:cs="Times New Roman"/>
          <w:b/>
          <w:color w:val="auto"/>
          <w:kern w:val="2"/>
          <w:sz w:val="30"/>
          <w:szCs w:val="30"/>
          <w:lang w:eastAsia="zh-CN"/>
        </w:rPr>
        <w:t xml:space="preserve"> 重大（Ⅱ级）突发环境事件</w:t>
      </w:r>
      <w:bookmarkEnd w:id="24"/>
      <w:bookmarkEnd w:id="25"/>
      <w:bookmarkEnd w:id="26"/>
      <w:bookmarkEnd w:id="27"/>
    </w:p>
    <w:p w14:paraId="39631BA1">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ascii="Times New Roman" w:hAnsi="Times New Roman" w:eastAsia="仿宋" w:cs="Times New Roman"/>
          <w:color w:val="auto"/>
          <w:kern w:val="2"/>
          <w:sz w:val="32"/>
          <w:szCs w:val="24"/>
          <w:lang w:eastAsia="zh-CN"/>
        </w:rPr>
        <w:t>凡符合下列情形之一的</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为重大突发环境事件：</w:t>
      </w:r>
    </w:p>
    <w:p w14:paraId="04BE7589">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ascii="Times New Roman" w:hAnsi="Times New Roman" w:eastAsia="仿宋" w:cs="Times New Roman"/>
          <w:color w:val="auto"/>
          <w:kern w:val="2"/>
          <w:sz w:val="32"/>
          <w:szCs w:val="24"/>
          <w:lang w:eastAsia="zh-CN"/>
        </w:rPr>
        <w:t>（1）因环境污染直接导致10人以上30人以下死亡或50人以上100人以下中毒或重伤的；</w:t>
      </w:r>
    </w:p>
    <w:p w14:paraId="1C98E00F">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（2）</w:t>
      </w:r>
      <w:r>
        <w:rPr>
          <w:rFonts w:ascii="Times New Roman" w:hAnsi="Times New Roman" w:eastAsia="仿宋" w:cs="Times New Roman"/>
          <w:color w:val="auto"/>
          <w:kern w:val="2"/>
          <w:sz w:val="32"/>
          <w:szCs w:val="24"/>
          <w:lang w:eastAsia="zh-CN"/>
        </w:rPr>
        <w:t>因环境污染疏散、转移人员1万人以上5万人以下的；</w:t>
      </w:r>
    </w:p>
    <w:p w14:paraId="231FE1E0">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（3）</w:t>
      </w:r>
      <w:r>
        <w:rPr>
          <w:rFonts w:ascii="Times New Roman" w:hAnsi="Times New Roman" w:eastAsia="仿宋" w:cs="Times New Roman"/>
          <w:color w:val="auto"/>
          <w:kern w:val="2"/>
          <w:sz w:val="32"/>
          <w:szCs w:val="24"/>
          <w:lang w:eastAsia="zh-CN"/>
        </w:rPr>
        <w:t>因环境污染造成直接经济损失2000万元以上1亿元以下的；</w:t>
      </w:r>
    </w:p>
    <w:p w14:paraId="6C68B739">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（4）</w:t>
      </w:r>
      <w:r>
        <w:rPr>
          <w:rFonts w:ascii="Times New Roman" w:hAnsi="Times New Roman" w:eastAsia="仿宋" w:cs="Times New Roman"/>
          <w:color w:val="auto"/>
          <w:kern w:val="2"/>
          <w:sz w:val="32"/>
          <w:szCs w:val="24"/>
          <w:lang w:eastAsia="zh-CN"/>
        </w:rPr>
        <w:t>因环境污染造成区域生态功能部分丧失或该区域国家重点保护野生动植物种群大批死亡的；</w:t>
      </w:r>
    </w:p>
    <w:p w14:paraId="75AE8D3E">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（5）</w:t>
      </w:r>
      <w:r>
        <w:rPr>
          <w:rFonts w:ascii="Times New Roman" w:hAnsi="Times New Roman" w:eastAsia="仿宋" w:cs="Times New Roman"/>
          <w:color w:val="auto"/>
          <w:kern w:val="2"/>
          <w:sz w:val="32"/>
          <w:szCs w:val="24"/>
          <w:lang w:eastAsia="zh-CN"/>
        </w:rPr>
        <w:t>因环境污染造成县级城市集中式饮用水水源地取水中断的；</w:t>
      </w:r>
    </w:p>
    <w:p w14:paraId="554545BE">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（6）</w:t>
      </w:r>
      <w:r>
        <w:rPr>
          <w:rFonts w:ascii="Times New Roman" w:hAnsi="Times New Roman" w:eastAsia="仿宋" w:cs="Times New Roman"/>
          <w:color w:val="auto"/>
          <w:kern w:val="2"/>
          <w:sz w:val="32"/>
          <w:szCs w:val="24"/>
          <w:lang w:eastAsia="zh-CN"/>
        </w:rPr>
        <w:t>Ⅰ、Ⅱ类放射源丢失、被盗的；放射性同位素和射线装置失控导致3人以下急性死亡或者10人以上急性重度放射病、局部器官残疾的；放射性物质泄漏</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造成较大范围辐射污染后果的</w:t>
      </w:r>
      <w:r>
        <w:rPr>
          <w:rFonts w:hint="eastAsia" w:ascii="Times New Roman" w:hAnsi="Times New Roman" w:eastAsia="仿宋" w:cs="Times New Roman"/>
          <w:color w:val="auto"/>
          <w:kern w:val="2"/>
          <w:sz w:val="32"/>
          <w:szCs w:val="24"/>
          <w:lang w:eastAsia="zh-CN"/>
        </w:rPr>
        <w:t>。</w:t>
      </w:r>
    </w:p>
    <w:p w14:paraId="77C3E839">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28" w:name="_Toc30244"/>
      <w:bookmarkStart w:id="29" w:name="_Toc27880"/>
      <w:r>
        <w:rPr>
          <w:rFonts w:hint="eastAsia" w:ascii="Times New Roman" w:hAnsi="Times New Roman" w:eastAsia="黑体" w:cs="Times New Roman"/>
          <w:b/>
          <w:color w:val="auto"/>
          <w:kern w:val="2"/>
          <w:sz w:val="30"/>
          <w:szCs w:val="30"/>
          <w:lang w:val="en-US" w:eastAsia="zh-CN"/>
        </w:rPr>
        <w:t>1.5</w:t>
      </w:r>
      <w:r>
        <w:rPr>
          <w:rFonts w:ascii="Times New Roman" w:hAnsi="Times New Roman" w:eastAsia="黑体" w:cs="Times New Roman"/>
          <w:b/>
          <w:color w:val="auto"/>
          <w:kern w:val="2"/>
          <w:sz w:val="30"/>
          <w:szCs w:val="30"/>
          <w:lang w:eastAsia="zh-CN"/>
        </w:rPr>
        <w:t>.</w:t>
      </w:r>
      <w:r>
        <w:rPr>
          <w:rFonts w:hint="eastAsia" w:ascii="Times New Roman" w:hAnsi="Times New Roman" w:eastAsia="黑体" w:cs="Times New Roman"/>
          <w:b/>
          <w:color w:val="auto"/>
          <w:kern w:val="2"/>
          <w:sz w:val="30"/>
          <w:szCs w:val="30"/>
          <w:lang w:val="en-US" w:eastAsia="zh-CN"/>
        </w:rPr>
        <w:t>4</w:t>
      </w:r>
      <w:r>
        <w:rPr>
          <w:rFonts w:ascii="Times New Roman" w:hAnsi="Times New Roman" w:eastAsia="黑体" w:cs="Times New Roman"/>
          <w:b/>
          <w:color w:val="auto"/>
          <w:kern w:val="2"/>
          <w:sz w:val="30"/>
          <w:szCs w:val="30"/>
          <w:lang w:eastAsia="zh-CN"/>
        </w:rPr>
        <w:t xml:space="preserve"> 特别重大（Ⅰ级）突发环境事件</w:t>
      </w:r>
      <w:bookmarkEnd w:id="28"/>
      <w:bookmarkEnd w:id="29"/>
    </w:p>
    <w:p w14:paraId="5C3EB725">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ascii="Times New Roman" w:hAnsi="Times New Roman" w:eastAsia="仿宋" w:cs="Times New Roman"/>
          <w:color w:val="auto"/>
          <w:kern w:val="2"/>
          <w:sz w:val="32"/>
          <w:szCs w:val="24"/>
          <w:lang w:eastAsia="zh-CN"/>
        </w:rPr>
        <w:t>凡符合下列情形之一的</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为特别重大突发环境事件：</w:t>
      </w:r>
    </w:p>
    <w:p w14:paraId="0E294DDA">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ascii="Times New Roman" w:hAnsi="Times New Roman" w:eastAsia="仿宋" w:cs="Times New Roman"/>
          <w:color w:val="auto"/>
          <w:kern w:val="2"/>
          <w:sz w:val="32"/>
          <w:szCs w:val="24"/>
          <w:lang w:eastAsia="zh-CN"/>
        </w:rPr>
        <w:t>（1）因环境污染直接导致30人以上死亡或100人以上中毒或重伤的；</w:t>
      </w:r>
    </w:p>
    <w:p w14:paraId="4935578F">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（2）</w:t>
      </w:r>
      <w:r>
        <w:rPr>
          <w:rFonts w:ascii="Times New Roman" w:hAnsi="Times New Roman" w:eastAsia="仿宋" w:cs="Times New Roman"/>
          <w:color w:val="auto"/>
          <w:kern w:val="2"/>
          <w:sz w:val="32"/>
          <w:szCs w:val="24"/>
          <w:lang w:eastAsia="zh-CN"/>
        </w:rPr>
        <w:t>因环境污染疏散、转移人员5万人以上的；</w:t>
      </w:r>
    </w:p>
    <w:p w14:paraId="2BB5F173">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（3）</w:t>
      </w:r>
      <w:r>
        <w:rPr>
          <w:rFonts w:ascii="Times New Roman" w:hAnsi="Times New Roman" w:eastAsia="仿宋" w:cs="Times New Roman"/>
          <w:color w:val="auto"/>
          <w:kern w:val="2"/>
          <w:sz w:val="32"/>
          <w:szCs w:val="24"/>
          <w:lang w:eastAsia="zh-CN"/>
        </w:rPr>
        <w:t>因环境污染造成直接经济损失1亿元以上的；</w:t>
      </w:r>
    </w:p>
    <w:p w14:paraId="429F803E">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（4）</w:t>
      </w:r>
      <w:r>
        <w:rPr>
          <w:rFonts w:ascii="Times New Roman" w:hAnsi="Times New Roman" w:eastAsia="仿宋" w:cs="Times New Roman"/>
          <w:color w:val="auto"/>
          <w:kern w:val="2"/>
          <w:sz w:val="32"/>
          <w:szCs w:val="24"/>
          <w:lang w:eastAsia="zh-CN"/>
        </w:rPr>
        <w:t>因环境污染造成区域生态功能丧失或该区域国家重点保护物种灭绝的；</w:t>
      </w:r>
    </w:p>
    <w:p w14:paraId="16250889">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5</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Ⅰ、Ⅱ类放射源丢失、被盗、失控并造成大范围严重辐射污染后果的；放射性同位素和射线装置失控导致3人以上急性死亡的；放射性物质泄漏</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造成大范围辐射污染后果的。</w:t>
      </w:r>
    </w:p>
    <w:p w14:paraId="2EA716DB">
      <w:pPr>
        <w:widowControl w:val="0"/>
        <w:spacing w:line="580" w:lineRule="exact"/>
        <w:ind w:firstLine="640" w:firstLineChars="200"/>
        <w:jc w:val="both"/>
        <w:rPr>
          <w:rFonts w:ascii="Times New Roman" w:hAnsi="Times New Roman" w:eastAsia="仿宋_GB2312" w:cs="Times New Roman"/>
          <w:snapToGrid/>
          <w:color w:val="FF0000"/>
          <w:kern w:val="2"/>
          <w:sz w:val="32"/>
          <w:szCs w:val="32"/>
          <w:lang w:eastAsia="zh-CN"/>
        </w:rPr>
      </w:pPr>
      <w:r>
        <w:rPr>
          <w:rFonts w:ascii="Times New Roman" w:hAnsi="Times New Roman" w:eastAsia="仿宋" w:cs="Times New Roman"/>
          <w:color w:val="auto"/>
          <w:kern w:val="2"/>
          <w:sz w:val="32"/>
          <w:szCs w:val="24"/>
          <w:lang w:eastAsia="zh-CN"/>
        </w:rPr>
        <w:t>上述分级标准有关数量的表述中</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“以上”含本数</w:t>
      </w:r>
      <w:r>
        <w:rPr>
          <w:rFonts w:hint="eastAsia" w:ascii="Times New Roman" w:hAnsi="Times New Roman" w:eastAsia="仿宋" w:cs="Times New Roman"/>
          <w:color w:val="auto"/>
          <w:kern w:val="2"/>
          <w:sz w:val="32"/>
          <w:szCs w:val="24"/>
          <w:lang w:eastAsia="zh-CN"/>
        </w:rPr>
        <w:t>，</w:t>
      </w:r>
      <w:r>
        <w:rPr>
          <w:rFonts w:ascii="Times New Roman" w:hAnsi="Times New Roman" w:eastAsia="仿宋" w:cs="Times New Roman"/>
          <w:color w:val="auto"/>
          <w:kern w:val="2"/>
          <w:sz w:val="32"/>
          <w:szCs w:val="24"/>
          <w:lang w:eastAsia="zh-CN"/>
        </w:rPr>
        <w:t>“以下”不含本数。</w:t>
      </w:r>
    </w:p>
    <w:p w14:paraId="259A14DA">
      <w:pPr>
        <w:pStyle w:val="3"/>
        <w:keepNext/>
        <w:keepLines/>
        <w:pageBreakBefore w:val="0"/>
        <w:widowControl/>
        <w:kinsoku w:val="0"/>
        <w:wordWrap/>
        <w:overflowPunct/>
        <w:topLinePunct w:val="0"/>
        <w:autoSpaceDE w:val="0"/>
        <w:autoSpaceDN w:val="0"/>
        <w:bidi w:val="0"/>
        <w:adjustRightInd w:val="0"/>
        <w:snapToGrid w:val="0"/>
        <w:spacing w:before="0" w:after="0" w:line="580" w:lineRule="exact"/>
        <w:ind w:firstLine="0" w:firstLineChars="0"/>
        <w:textAlignment w:val="baseline"/>
        <w:rPr>
          <w:rFonts w:ascii="Times New Roman" w:hAnsi="Times New Roman" w:eastAsia="宋体"/>
          <w:bCs/>
          <w:color w:val="FF0000"/>
          <w:sz w:val="30"/>
          <w:szCs w:val="30"/>
        </w:rPr>
      </w:pPr>
      <w:bookmarkStart w:id="30" w:name="_Toc29097"/>
      <w:bookmarkStart w:id="31" w:name="_Toc1101"/>
      <w:bookmarkStart w:id="32" w:name="_Toc2247"/>
      <w:r>
        <w:rPr>
          <w:rFonts w:hint="eastAsia" w:ascii="Times New Roman" w:hAnsi="Times New Roman" w:eastAsia="黑体" w:cs="Times New Roman"/>
          <w:b/>
          <w:bCs/>
          <w:snapToGrid/>
          <w:color w:val="auto"/>
          <w:kern w:val="2"/>
          <w:sz w:val="32"/>
          <w:szCs w:val="32"/>
          <w:lang w:val="en-US" w:eastAsia="zh-CN" w:bidi="ar-SA"/>
        </w:rPr>
        <w:t>1.6 应急预案体系</w:t>
      </w:r>
      <w:bookmarkEnd w:id="30"/>
      <w:bookmarkEnd w:id="31"/>
      <w:bookmarkEnd w:id="32"/>
    </w:p>
    <w:p w14:paraId="4D612BEB">
      <w:pPr>
        <w:widowControl w:val="0"/>
        <w:kinsoku/>
        <w:autoSpaceDE/>
        <w:autoSpaceDN/>
        <w:adjustRightInd/>
        <w:snapToGrid/>
        <w:spacing w:line="560" w:lineRule="exact"/>
        <w:ind w:firstLine="640" w:firstLineChars="200"/>
        <w:jc w:val="both"/>
        <w:textAlignment w:val="auto"/>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炎陵县突发环境事件应急预案体系由县级突发环境事件应急预案、企事业单位突发环境事件应急预案组成。</w:t>
      </w:r>
    </w:p>
    <w:p w14:paraId="0AF18265">
      <w:pPr>
        <w:widowControl w:val="0"/>
        <w:kinsoku/>
        <w:autoSpaceDE/>
        <w:autoSpaceDN/>
        <w:adjustRightInd/>
        <w:snapToGrid/>
        <w:spacing w:line="560" w:lineRule="exact"/>
        <w:ind w:firstLine="640" w:firstLineChars="200"/>
        <w:jc w:val="both"/>
        <w:textAlignment w:val="auto"/>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1</w:t>
      </w:r>
      <w:r>
        <w:rPr>
          <w:rFonts w:hint="eastAsia" w:ascii="Times New Roman" w:hAnsi="Times New Roman" w:eastAsia="仿宋" w:cs="Times New Roman"/>
          <w:color w:val="auto"/>
          <w:kern w:val="2"/>
          <w:sz w:val="32"/>
          <w:szCs w:val="24"/>
          <w:lang w:eastAsia="zh-CN"/>
        </w:rPr>
        <w:t>）县级突发环境事件应急预案。炎陵县突发环境事件应急预案是炎陵县预防和处置突发环境事件的指导性文件，是县人民政府的一项专项应急预案。县级应急预案体系包括突发环境事件应急预案、其他涉环境专项应急预案及部门环境应急行动方案等。</w:t>
      </w:r>
    </w:p>
    <w:p w14:paraId="37A50B51">
      <w:pPr>
        <w:widowControl w:val="0"/>
        <w:kinsoku/>
        <w:autoSpaceDE/>
        <w:autoSpaceDN/>
        <w:adjustRightInd/>
        <w:snapToGrid/>
        <w:spacing w:line="560" w:lineRule="exact"/>
        <w:ind w:firstLine="640" w:firstLineChars="200"/>
        <w:jc w:val="both"/>
        <w:textAlignment w:val="auto"/>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2</w:t>
      </w:r>
      <w:r>
        <w:rPr>
          <w:rFonts w:hint="eastAsia" w:ascii="Times New Roman" w:hAnsi="Times New Roman" w:eastAsia="仿宋" w:cs="Times New Roman"/>
          <w:color w:val="auto"/>
          <w:kern w:val="2"/>
          <w:sz w:val="32"/>
          <w:szCs w:val="24"/>
          <w:lang w:eastAsia="zh-CN"/>
        </w:rPr>
        <w:t>）企事业单位突发环境事件应急预案。企事业单位环境应急预案是企事业单位根据有关法律法规和规章，结合本单位实际制定的应急预案。</w:t>
      </w:r>
    </w:p>
    <w:p w14:paraId="76D5FF91">
      <w:pPr>
        <w:widowControl w:val="0"/>
        <w:kinsoku/>
        <w:autoSpaceDE/>
        <w:autoSpaceDN/>
        <w:adjustRightInd/>
        <w:snapToGrid/>
        <w:spacing w:line="560" w:lineRule="exact"/>
        <w:ind w:firstLine="640" w:firstLineChars="200"/>
        <w:jc w:val="both"/>
        <w:textAlignment w:val="auto"/>
        <w:rPr>
          <w:rFonts w:ascii="Times New Roman" w:hAnsi="Times New Roman" w:eastAsia="仿宋_GB2312" w:cs="Times New Roman"/>
          <w:snapToGrid/>
          <w:color w:val="FF0000"/>
          <w:kern w:val="2"/>
          <w:sz w:val="32"/>
          <w:szCs w:val="32"/>
          <w:lang w:eastAsia="zh-CN"/>
        </w:rPr>
      </w:pPr>
      <w:r>
        <w:rPr>
          <w:rFonts w:hint="eastAsia" w:ascii="Times New Roman" w:hAnsi="Times New Roman" w:eastAsia="仿宋" w:cs="Times New Roman"/>
          <w:color w:val="auto"/>
          <w:kern w:val="2"/>
          <w:sz w:val="32"/>
          <w:szCs w:val="24"/>
          <w:lang w:eastAsia="zh-CN"/>
        </w:rPr>
        <w:t>环境应急预案制定单位应当根据实际需要，制定简明行动指南；依托各级应急平台，建立应急预案数据库，提高应急预案管理的信息化水平。</w:t>
      </w:r>
    </w:p>
    <w:p w14:paraId="6C0DC096">
      <w:pPr>
        <w:widowControl w:val="0"/>
        <w:kinsoku/>
        <w:autoSpaceDE/>
        <w:autoSpaceDN/>
        <w:spacing w:line="580" w:lineRule="exact"/>
        <w:ind w:firstLine="420" w:firstLineChars="200"/>
        <w:textAlignment w:val="auto"/>
        <w:rPr>
          <w:rFonts w:ascii="Times New Roman" w:hAnsi="Times New Roman" w:eastAsia="仿宋_GB2312" w:cs="Times New Roman"/>
          <w:color w:val="FF0000"/>
          <w:szCs w:val="32"/>
          <w:lang w:eastAsia="zh-CN"/>
        </w:rPr>
        <w:sectPr>
          <w:footerReference r:id="rId8" w:type="first"/>
          <w:footerReference r:id="rId7" w:type="default"/>
          <w:pgSz w:w="11906" w:h="16838"/>
          <w:pgMar w:top="1984" w:right="1474" w:bottom="1871" w:left="1587" w:header="851" w:footer="1587" w:gutter="0"/>
          <w:pgNumType w:start="1"/>
          <w:cols w:space="720" w:num="1"/>
          <w:titlePg/>
          <w:docGrid w:linePitch="590" w:charSpace="0"/>
        </w:sectPr>
      </w:pPr>
    </w:p>
    <w:p w14:paraId="35A7E7F0">
      <w:pPr>
        <w:widowControl w:val="0"/>
        <w:kinsoku/>
        <w:autoSpaceDE/>
        <w:autoSpaceDN/>
        <w:spacing w:line="580" w:lineRule="exact"/>
        <w:jc w:val="both"/>
        <w:textAlignment w:val="auto"/>
        <w:outlineLvl w:val="0"/>
        <w:rPr>
          <w:rFonts w:ascii="Times New Roman" w:hAnsi="Times New Roman" w:eastAsia="黑体" w:cs="Times New Roman"/>
          <w:b/>
          <w:snapToGrid/>
          <w:color w:val="auto"/>
          <w:sz w:val="36"/>
          <w:szCs w:val="36"/>
          <w:lang w:eastAsia="zh-CN"/>
        </w:rPr>
      </w:pPr>
      <w:bookmarkStart w:id="33" w:name="_Toc15454"/>
      <w:r>
        <w:rPr>
          <w:rFonts w:ascii="Times New Roman" w:hAnsi="Times New Roman" w:eastAsia="黑体" w:cs="Times New Roman"/>
          <w:b/>
          <w:snapToGrid/>
          <w:color w:val="auto"/>
          <w:sz w:val="36"/>
          <w:szCs w:val="36"/>
          <w:lang w:eastAsia="zh-CN"/>
        </w:rPr>
        <w:t xml:space="preserve">2  </w:t>
      </w:r>
      <w:r>
        <w:rPr>
          <w:rFonts w:hint="eastAsia" w:ascii="Times New Roman" w:hAnsi="Times New Roman" w:eastAsia="黑体" w:cs="Times New Roman"/>
          <w:b/>
          <w:snapToGrid/>
          <w:color w:val="auto"/>
          <w:sz w:val="36"/>
          <w:szCs w:val="36"/>
          <w:lang w:eastAsia="zh-CN"/>
        </w:rPr>
        <w:t>应急指挥体系及职责</w:t>
      </w:r>
      <w:bookmarkEnd w:id="33"/>
    </w:p>
    <w:p w14:paraId="71467442">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县人民政府设立突发环境事件应急指挥机构，领导、组织、指挥、协调突发环境事件应急处置工作。</w:t>
      </w:r>
    </w:p>
    <w:p w14:paraId="0491E1F5">
      <w:pPr>
        <w:keepNext/>
        <w:keepLines/>
        <w:widowControl w:val="0"/>
        <w:kinsoku/>
        <w:autoSpaceDE/>
        <w:autoSpaceDN/>
        <w:adjustRightInd/>
        <w:snapToGrid/>
        <w:spacing w:line="580" w:lineRule="exact"/>
        <w:jc w:val="both"/>
        <w:textAlignment w:val="auto"/>
        <w:outlineLvl w:val="2"/>
        <w:rPr>
          <w:rFonts w:ascii="Times New Roman" w:hAnsi="Times New Roman" w:eastAsia="宋体" w:cs="Times New Roman"/>
          <w:b/>
          <w:bCs/>
          <w:snapToGrid/>
          <w:color w:val="auto"/>
          <w:kern w:val="2"/>
          <w:sz w:val="32"/>
          <w:szCs w:val="32"/>
          <w:lang w:eastAsia="zh-CN"/>
        </w:rPr>
      </w:pPr>
      <w:bookmarkStart w:id="34" w:name="_Toc26890797"/>
      <w:bookmarkStart w:id="35" w:name="_Toc28505"/>
      <w:bookmarkStart w:id="36" w:name="_Toc25674"/>
      <w:bookmarkStart w:id="37" w:name="_Toc10768"/>
      <w:r>
        <w:rPr>
          <w:rFonts w:ascii="Times New Roman" w:hAnsi="Times New Roman" w:eastAsia="宋体" w:cs="Times New Roman"/>
          <w:b/>
          <w:bCs/>
          <w:snapToGrid/>
          <w:color w:val="auto"/>
          <w:kern w:val="2"/>
          <w:sz w:val="32"/>
          <w:szCs w:val="32"/>
          <w:lang w:eastAsia="zh-CN"/>
        </w:rPr>
        <w:t>2.1</w:t>
      </w:r>
      <w:bookmarkEnd w:id="34"/>
      <w:bookmarkEnd w:id="35"/>
      <w:r>
        <w:rPr>
          <w:rFonts w:ascii="Times New Roman" w:hAnsi="Times New Roman" w:eastAsia="宋体" w:cs="Times New Roman"/>
          <w:b/>
          <w:bCs/>
          <w:snapToGrid/>
          <w:color w:val="auto"/>
          <w:kern w:val="2"/>
          <w:sz w:val="32"/>
          <w:szCs w:val="32"/>
          <w:lang w:eastAsia="zh-CN"/>
        </w:rPr>
        <w:t xml:space="preserve"> </w:t>
      </w:r>
      <w:bookmarkEnd w:id="36"/>
      <w:bookmarkEnd w:id="37"/>
      <w:r>
        <w:rPr>
          <w:rFonts w:hint="eastAsia" w:ascii="黑体" w:hAnsi="黑体" w:eastAsia="黑体" w:cs="黑体"/>
          <w:b/>
          <w:bCs/>
          <w:snapToGrid/>
          <w:color w:val="auto"/>
          <w:kern w:val="2"/>
          <w:sz w:val="32"/>
          <w:szCs w:val="32"/>
          <w:lang w:eastAsia="zh-CN"/>
        </w:rPr>
        <w:t>应急指挥体系</w:t>
      </w:r>
    </w:p>
    <w:p w14:paraId="31A0F69B">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县人民政府设</w:t>
      </w:r>
      <w:r>
        <w:rPr>
          <w:rFonts w:ascii="Times New Roman" w:hAnsi="Times New Roman" w:eastAsia="仿宋_GB2312" w:cs="Times New Roman"/>
          <w:snapToGrid/>
          <w:color w:val="auto"/>
          <w:kern w:val="2"/>
          <w:sz w:val="32"/>
          <w:szCs w:val="32"/>
          <w:lang w:eastAsia="zh-CN"/>
        </w:rPr>
        <w:t>立突发环境事件应急指挥部</w:t>
      </w:r>
      <w:r>
        <w:rPr>
          <w:rFonts w:hint="eastAsia" w:ascii="Times New Roman" w:hAnsi="Times New Roman" w:eastAsia="仿宋_GB2312" w:cs="Times New Roman"/>
          <w:snapToGrid/>
          <w:color w:val="auto"/>
          <w:kern w:val="2"/>
          <w:sz w:val="32"/>
          <w:szCs w:val="32"/>
          <w:lang w:eastAsia="zh-CN"/>
        </w:rPr>
        <w:t>（以下简称县环境应急指挥部），是处置全县突发环境事件的专项应急指挥机构。县环境应急指挥部的主要组成包括指挥长、副指挥长和成员。</w:t>
      </w:r>
    </w:p>
    <w:p w14:paraId="055764C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指挥长：</w:t>
      </w:r>
      <w:r>
        <w:rPr>
          <w:rFonts w:hint="eastAsia" w:ascii="Times New Roman" w:hAnsi="Times New Roman" w:eastAsia="仿宋_GB2312" w:cs="Times New Roman"/>
          <w:snapToGrid/>
          <w:color w:val="auto"/>
          <w:kern w:val="2"/>
          <w:sz w:val="32"/>
          <w:szCs w:val="32"/>
          <w:lang w:eastAsia="zh-CN"/>
        </w:rPr>
        <w:t>县人民政府</w:t>
      </w:r>
      <w:r>
        <w:rPr>
          <w:rFonts w:ascii="Times New Roman" w:hAnsi="Times New Roman" w:eastAsia="仿宋_GB2312" w:cs="Times New Roman"/>
          <w:snapToGrid/>
          <w:color w:val="auto"/>
          <w:kern w:val="2"/>
          <w:sz w:val="32"/>
          <w:szCs w:val="32"/>
          <w:lang w:eastAsia="zh-CN"/>
        </w:rPr>
        <w:t>分管副县长</w:t>
      </w:r>
    </w:p>
    <w:p w14:paraId="61D96E80">
      <w:pPr>
        <w:widowControl w:val="0"/>
        <w:kinsoku/>
        <w:autoSpaceDE/>
        <w:autoSpaceDN/>
        <w:adjustRightInd/>
        <w:snapToGrid/>
        <w:spacing w:line="580" w:lineRule="exact"/>
        <w:ind w:firstLine="640" w:firstLineChars="200"/>
        <w:jc w:val="both"/>
        <w:textAlignment w:val="auto"/>
        <w:rPr>
          <w:rFonts w:ascii="Times New Roman" w:hAnsi="Times New Roman" w:eastAsia="宋体" w:cs="Times New Roman"/>
          <w:snapToGrid/>
          <w:color w:val="auto"/>
          <w:kern w:val="2"/>
          <w:sz w:val="32"/>
          <w:szCs w:val="24"/>
          <w:lang w:eastAsia="zh-CN"/>
        </w:rPr>
      </w:pPr>
      <w:r>
        <w:rPr>
          <w:rFonts w:ascii="Times New Roman" w:hAnsi="Times New Roman" w:eastAsia="仿宋_GB2312" w:cs="Times New Roman"/>
          <w:snapToGrid/>
          <w:color w:val="auto"/>
          <w:kern w:val="2"/>
          <w:sz w:val="32"/>
          <w:szCs w:val="32"/>
          <w:lang w:eastAsia="zh-CN"/>
        </w:rPr>
        <w:t>副指挥长：</w:t>
      </w:r>
      <w:r>
        <w:rPr>
          <w:rFonts w:hint="eastAsia" w:ascii="Times New Roman" w:hAnsi="Times New Roman" w:eastAsia="仿宋_GB2312" w:cs="Times New Roman"/>
          <w:snapToGrid/>
          <w:color w:val="auto"/>
          <w:kern w:val="2"/>
          <w:sz w:val="32"/>
          <w:szCs w:val="32"/>
          <w:lang w:eastAsia="zh-CN"/>
        </w:rPr>
        <w:t>县人民政府</w:t>
      </w:r>
      <w:r>
        <w:rPr>
          <w:rFonts w:ascii="Times New Roman" w:hAnsi="Times New Roman" w:eastAsia="仿宋_GB2312" w:cs="Times New Roman"/>
          <w:snapToGrid/>
          <w:color w:val="auto"/>
          <w:kern w:val="2"/>
          <w:sz w:val="32"/>
          <w:szCs w:val="32"/>
          <w:lang w:eastAsia="zh-CN"/>
        </w:rPr>
        <w:t>办分管副主任、市生态环境局炎陵分局局长、县应急管理局局长</w:t>
      </w:r>
    </w:p>
    <w:p w14:paraId="7028549B">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成</w:t>
      </w:r>
      <w:r>
        <w:rPr>
          <w:rFonts w:hint="eastAsia" w:ascii="Times New Roman" w:hAnsi="Times New Roman" w:eastAsia="仿宋_GB2312" w:cs="Times New Roman"/>
          <w:snapToGrid/>
          <w:color w:val="auto"/>
          <w:kern w:val="2"/>
          <w:sz w:val="32"/>
          <w:szCs w:val="32"/>
          <w:lang w:eastAsia="zh-CN"/>
        </w:rPr>
        <w:t>　</w:t>
      </w:r>
      <w:r>
        <w:rPr>
          <w:rFonts w:ascii="Times New Roman" w:hAnsi="Times New Roman" w:eastAsia="仿宋_GB2312" w:cs="Times New Roman"/>
          <w:snapToGrid/>
          <w:color w:val="auto"/>
          <w:kern w:val="2"/>
          <w:sz w:val="32"/>
          <w:szCs w:val="32"/>
          <w:lang w:eastAsia="zh-CN"/>
        </w:rPr>
        <w:t>员：</w:t>
      </w:r>
      <w:r>
        <w:rPr>
          <w:rFonts w:hint="eastAsia" w:ascii="Times New Roman" w:hAnsi="Times New Roman" w:eastAsia="仿宋_GB2312" w:cs="Times New Roman"/>
          <w:snapToGrid/>
          <w:color w:val="auto"/>
          <w:kern w:val="2"/>
          <w:sz w:val="32"/>
          <w:szCs w:val="32"/>
          <w:lang w:eastAsia="zh-CN"/>
        </w:rPr>
        <w:t>县人民政府</w:t>
      </w:r>
      <w:r>
        <w:rPr>
          <w:rFonts w:ascii="Times New Roman" w:hAnsi="Times New Roman" w:eastAsia="仿宋_GB2312" w:cs="Times New Roman"/>
          <w:snapToGrid/>
          <w:color w:val="auto"/>
          <w:kern w:val="2"/>
          <w:sz w:val="32"/>
          <w:szCs w:val="32"/>
          <w:lang w:eastAsia="zh-CN"/>
        </w:rPr>
        <w:t>办公室、县委宣传部、市生态环境局炎陵分局、</w:t>
      </w:r>
      <w:r>
        <w:rPr>
          <w:rFonts w:hint="eastAsia" w:ascii="Times New Roman" w:hAnsi="Times New Roman" w:eastAsia="仿宋_GB2312" w:cs="Times New Roman"/>
          <w:snapToGrid/>
          <w:color w:val="auto"/>
          <w:kern w:val="2"/>
          <w:sz w:val="32"/>
          <w:szCs w:val="32"/>
          <w:lang w:eastAsia="zh-CN"/>
        </w:rPr>
        <w:t>县发展和改革局</w:t>
      </w:r>
      <w:r>
        <w:rPr>
          <w:rFonts w:ascii="Times New Roman" w:hAnsi="Times New Roman" w:eastAsia="仿宋_GB2312" w:cs="Times New Roman"/>
          <w:snapToGrid/>
          <w:color w:val="auto"/>
          <w:kern w:val="2"/>
          <w:sz w:val="32"/>
          <w:szCs w:val="32"/>
          <w:lang w:eastAsia="zh-CN"/>
        </w:rPr>
        <w:t>、县应急管理局、县财政局、县自然资源局、县交通运输局、县农业农村局、县市场监督管理局、县卫生健康局、县科技和工业信息化局、县公安局、县民政局、县住房和城乡建设局、县水利局、县城市管理和综合执法局、县林业局、</w:t>
      </w:r>
      <w:r>
        <w:rPr>
          <w:rFonts w:hint="eastAsia" w:ascii="Times New Roman" w:hAnsi="Times New Roman" w:eastAsia="仿宋_GB2312" w:cs="Times New Roman"/>
          <w:snapToGrid/>
          <w:color w:val="auto"/>
          <w:kern w:val="2"/>
          <w:sz w:val="32"/>
          <w:szCs w:val="32"/>
          <w:lang w:eastAsia="zh-CN"/>
        </w:rPr>
        <w:t>县商务局</w:t>
      </w:r>
      <w:r>
        <w:rPr>
          <w:rFonts w:ascii="Times New Roman" w:hAnsi="Times New Roman" w:eastAsia="仿宋_GB2312" w:cs="Times New Roman"/>
          <w:snapToGrid/>
          <w:color w:val="auto"/>
          <w:kern w:val="2"/>
          <w:sz w:val="32"/>
          <w:szCs w:val="32"/>
          <w:lang w:eastAsia="zh-CN"/>
        </w:rPr>
        <w:t>、县气象局、</w:t>
      </w:r>
      <w:r>
        <w:rPr>
          <w:rFonts w:hint="eastAsia" w:ascii="Times New Roman" w:hAnsi="Times New Roman" w:eastAsia="仿宋_GB2312" w:cs="Times New Roman"/>
          <w:snapToGrid/>
          <w:color w:val="auto"/>
          <w:kern w:val="2"/>
          <w:sz w:val="32"/>
          <w:szCs w:val="32"/>
          <w:lang w:eastAsia="zh-CN"/>
        </w:rPr>
        <w:t>县交警大队</w:t>
      </w:r>
      <w:r>
        <w:rPr>
          <w:rFonts w:ascii="Times New Roman" w:hAnsi="Times New Roman" w:eastAsia="仿宋_GB2312" w:cs="Times New Roman"/>
          <w:snapToGrid/>
          <w:color w:val="auto"/>
          <w:kern w:val="2"/>
          <w:sz w:val="32"/>
          <w:szCs w:val="32"/>
          <w:lang w:eastAsia="zh-CN"/>
        </w:rPr>
        <w:t>、县消防救援大队、高新区管委会、各乡镇人民政府等相关单位</w:t>
      </w:r>
      <w:r>
        <w:rPr>
          <w:rFonts w:hint="eastAsia" w:ascii="Times New Roman" w:hAnsi="Times New Roman" w:eastAsia="仿宋_GB2312" w:cs="Times New Roman"/>
          <w:snapToGrid/>
          <w:color w:val="auto"/>
          <w:kern w:val="2"/>
          <w:sz w:val="32"/>
          <w:szCs w:val="32"/>
          <w:lang w:eastAsia="zh-CN"/>
        </w:rPr>
        <w:t>负责人</w:t>
      </w:r>
      <w:r>
        <w:rPr>
          <w:rFonts w:ascii="Times New Roman" w:hAnsi="Times New Roman" w:eastAsia="仿宋_GB2312" w:cs="Times New Roman"/>
          <w:snapToGrid/>
          <w:color w:val="auto"/>
          <w:kern w:val="2"/>
          <w:sz w:val="32"/>
          <w:szCs w:val="32"/>
          <w:lang w:eastAsia="zh-CN"/>
        </w:rPr>
        <w:t>。</w:t>
      </w:r>
    </w:p>
    <w:p w14:paraId="456BFB1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县环境应急指挥部办公室设在市生态环境局炎陵分局，由市生态环境局炎陵分局局长兼任办公室主任。</w:t>
      </w:r>
    </w:p>
    <w:p w14:paraId="606E118E">
      <w:pPr>
        <w:keepNext/>
        <w:keepLines/>
        <w:widowControl w:val="0"/>
        <w:kinsoku/>
        <w:autoSpaceDE/>
        <w:autoSpaceDN/>
        <w:adjustRightInd/>
        <w:snapToGrid/>
        <w:spacing w:line="580" w:lineRule="exact"/>
        <w:jc w:val="both"/>
        <w:textAlignment w:val="auto"/>
        <w:outlineLvl w:val="2"/>
        <w:rPr>
          <w:rFonts w:ascii="Times New Roman" w:hAnsi="Times New Roman" w:eastAsia="宋体" w:cs="Times New Roman"/>
          <w:b/>
          <w:bCs/>
          <w:snapToGrid/>
          <w:color w:val="auto"/>
          <w:kern w:val="2"/>
          <w:sz w:val="30"/>
          <w:szCs w:val="32"/>
          <w:lang w:eastAsia="zh-CN"/>
        </w:rPr>
      </w:pPr>
      <w:bookmarkStart w:id="38" w:name="_Toc21728"/>
      <w:bookmarkStart w:id="39" w:name="_Toc12308"/>
      <w:bookmarkStart w:id="40" w:name="_Toc26890798"/>
      <w:bookmarkStart w:id="41" w:name="_Toc5173"/>
      <w:r>
        <w:rPr>
          <w:rFonts w:ascii="Times New Roman" w:hAnsi="Times New Roman" w:eastAsia="宋体" w:cs="Times New Roman"/>
          <w:b/>
          <w:bCs/>
          <w:snapToGrid/>
          <w:color w:val="auto"/>
          <w:kern w:val="2"/>
          <w:sz w:val="32"/>
          <w:szCs w:val="32"/>
          <w:lang w:eastAsia="zh-CN"/>
        </w:rPr>
        <w:t>2.</w:t>
      </w:r>
      <w:r>
        <w:rPr>
          <w:rFonts w:hint="eastAsia" w:ascii="Times New Roman" w:hAnsi="Times New Roman" w:eastAsia="宋体" w:cs="Times New Roman"/>
          <w:b/>
          <w:bCs/>
          <w:snapToGrid/>
          <w:color w:val="auto"/>
          <w:kern w:val="2"/>
          <w:sz w:val="32"/>
          <w:szCs w:val="32"/>
          <w:lang w:val="en-US" w:eastAsia="zh-CN"/>
        </w:rPr>
        <w:t>2</w:t>
      </w:r>
      <w:r>
        <w:rPr>
          <w:rFonts w:ascii="Times New Roman" w:hAnsi="Times New Roman" w:eastAsia="宋体" w:cs="Times New Roman"/>
          <w:b/>
          <w:bCs/>
          <w:snapToGrid/>
          <w:color w:val="auto"/>
          <w:kern w:val="2"/>
          <w:sz w:val="32"/>
          <w:szCs w:val="32"/>
          <w:lang w:eastAsia="zh-CN"/>
        </w:rPr>
        <w:t xml:space="preserve"> </w:t>
      </w:r>
      <w:r>
        <w:rPr>
          <w:rFonts w:hint="eastAsia" w:ascii="Times New Roman" w:hAnsi="Times New Roman" w:eastAsia="宋体" w:cs="Times New Roman"/>
          <w:b/>
          <w:bCs/>
          <w:snapToGrid/>
          <w:color w:val="auto"/>
          <w:kern w:val="2"/>
          <w:sz w:val="32"/>
          <w:szCs w:val="32"/>
          <w:lang w:eastAsia="zh-CN"/>
        </w:rPr>
        <w:t>应急组织机构职责</w:t>
      </w:r>
      <w:bookmarkEnd w:id="38"/>
    </w:p>
    <w:p w14:paraId="4689848F">
      <w:pPr>
        <w:keepNext/>
        <w:keepLines/>
        <w:widowControl w:val="0"/>
        <w:kinsoku/>
        <w:autoSpaceDE/>
        <w:autoSpaceDN/>
        <w:adjustRightInd/>
        <w:snapToGrid/>
        <w:spacing w:line="580" w:lineRule="exact"/>
        <w:jc w:val="both"/>
        <w:textAlignment w:val="auto"/>
        <w:outlineLvl w:val="2"/>
        <w:rPr>
          <w:rFonts w:hint="eastAsia" w:ascii="Times New Roman" w:hAnsi="Times New Roman" w:eastAsia="宋体" w:cs="Times New Roman"/>
          <w:b/>
          <w:bCs/>
          <w:snapToGrid/>
          <w:color w:val="auto"/>
          <w:kern w:val="2"/>
          <w:sz w:val="30"/>
          <w:szCs w:val="32"/>
          <w:lang w:val="en-US" w:eastAsia="zh-CN"/>
        </w:rPr>
      </w:pPr>
      <w:bookmarkStart w:id="42" w:name="_Toc30907"/>
      <w:r>
        <w:rPr>
          <w:rFonts w:ascii="Times New Roman" w:hAnsi="Times New Roman" w:eastAsia="宋体" w:cs="Times New Roman"/>
          <w:b/>
          <w:bCs/>
          <w:snapToGrid/>
          <w:color w:val="auto"/>
          <w:kern w:val="2"/>
          <w:sz w:val="30"/>
          <w:szCs w:val="32"/>
          <w:lang w:eastAsia="zh-CN"/>
        </w:rPr>
        <w:t>2.</w:t>
      </w:r>
      <w:r>
        <w:rPr>
          <w:rFonts w:hint="eastAsia" w:ascii="Times New Roman" w:hAnsi="Times New Roman" w:eastAsia="宋体" w:cs="Times New Roman"/>
          <w:b/>
          <w:bCs/>
          <w:snapToGrid/>
          <w:color w:val="auto"/>
          <w:kern w:val="2"/>
          <w:sz w:val="30"/>
          <w:szCs w:val="32"/>
          <w:lang w:val="en-US" w:eastAsia="zh-CN"/>
        </w:rPr>
        <w:t>2</w:t>
      </w:r>
      <w:r>
        <w:rPr>
          <w:rFonts w:ascii="Times New Roman" w:hAnsi="Times New Roman" w:eastAsia="宋体" w:cs="Times New Roman"/>
          <w:b/>
          <w:bCs/>
          <w:snapToGrid/>
          <w:color w:val="auto"/>
          <w:kern w:val="2"/>
          <w:sz w:val="30"/>
          <w:szCs w:val="32"/>
          <w:lang w:eastAsia="zh-CN"/>
        </w:rPr>
        <w:t>.</w:t>
      </w:r>
      <w:r>
        <w:rPr>
          <w:rFonts w:hint="eastAsia" w:ascii="Times New Roman" w:hAnsi="Times New Roman" w:eastAsia="宋体" w:cs="Times New Roman"/>
          <w:b/>
          <w:bCs/>
          <w:snapToGrid/>
          <w:color w:val="auto"/>
          <w:kern w:val="2"/>
          <w:sz w:val="30"/>
          <w:szCs w:val="32"/>
          <w:lang w:val="en-US" w:eastAsia="zh-CN"/>
        </w:rPr>
        <w:t>1县环境应急指挥部</w:t>
      </w:r>
      <w:bookmarkEnd w:id="42"/>
      <w:r>
        <w:rPr>
          <w:rFonts w:hint="eastAsia" w:ascii="Times New Roman" w:hAnsi="Times New Roman" w:eastAsia="宋体" w:cs="Times New Roman"/>
          <w:b/>
          <w:bCs/>
          <w:snapToGrid/>
          <w:color w:val="auto"/>
          <w:kern w:val="2"/>
          <w:sz w:val="30"/>
          <w:szCs w:val="32"/>
          <w:lang w:val="en-US" w:eastAsia="zh-CN"/>
        </w:rPr>
        <w:t>　</w:t>
      </w:r>
    </w:p>
    <w:p w14:paraId="07AAC7E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（1）建立健全突发环境事件应对工作体制机制；</w:t>
      </w:r>
    </w:p>
    <w:p w14:paraId="7A5C485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2）研究确定突发环境事件应急处置的决策和指导意见</w:t>
      </w:r>
      <w:r>
        <w:rPr>
          <w:rFonts w:hint="eastAsia" w:ascii="Times New Roman" w:hAnsi="Times New Roman" w:eastAsia="仿宋_GB2312" w:cs="Times New Roman"/>
          <w:snapToGrid/>
          <w:color w:val="auto"/>
          <w:kern w:val="2"/>
          <w:sz w:val="32"/>
          <w:szCs w:val="32"/>
          <w:lang w:eastAsia="zh-CN"/>
        </w:rPr>
        <w:t>；</w:t>
      </w:r>
    </w:p>
    <w:p w14:paraId="10D02CF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3）领导、组织、协调突发环境事件应急处置工作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 xml:space="preserve"> </w:t>
      </w:r>
    </w:p>
    <w:p w14:paraId="5E0A47C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（4）负责发布突发环境事件信息</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 xml:space="preserve"> </w:t>
      </w:r>
    </w:p>
    <w:p w14:paraId="70673B3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5）审议</w:t>
      </w:r>
      <w:r>
        <w:rPr>
          <w:rFonts w:hint="eastAsia" w:ascii="Times New Roman" w:hAnsi="Times New Roman" w:eastAsia="仿宋_GB2312" w:cs="Times New Roman"/>
          <w:snapToGrid/>
          <w:color w:val="auto"/>
          <w:kern w:val="2"/>
          <w:sz w:val="32"/>
          <w:szCs w:val="32"/>
          <w:lang w:eastAsia="zh-CN"/>
        </w:rPr>
        <w:t>县</w:t>
      </w:r>
      <w:r>
        <w:rPr>
          <w:rFonts w:ascii="Times New Roman" w:hAnsi="Times New Roman" w:eastAsia="仿宋_GB2312" w:cs="Times New Roman"/>
          <w:snapToGrid/>
          <w:color w:val="auto"/>
          <w:kern w:val="2"/>
          <w:sz w:val="32"/>
          <w:szCs w:val="32"/>
          <w:lang w:eastAsia="zh-CN"/>
        </w:rPr>
        <w:t>环境应急指挥部办公室提请审议的事宜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 xml:space="preserve"> </w:t>
      </w:r>
    </w:p>
    <w:p w14:paraId="3874E52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6）向</w:t>
      </w:r>
      <w:r>
        <w:rPr>
          <w:rFonts w:hint="eastAsia" w:ascii="Times New Roman" w:hAnsi="Times New Roman" w:eastAsia="仿宋_GB2312" w:cs="Times New Roman"/>
          <w:snapToGrid/>
          <w:color w:val="auto"/>
          <w:kern w:val="2"/>
          <w:sz w:val="32"/>
          <w:szCs w:val="32"/>
          <w:lang w:eastAsia="zh-CN"/>
        </w:rPr>
        <w:t>县</w:t>
      </w:r>
      <w:r>
        <w:rPr>
          <w:rFonts w:ascii="Times New Roman" w:hAnsi="Times New Roman" w:eastAsia="仿宋_GB2312" w:cs="Times New Roman"/>
          <w:snapToGrid/>
          <w:color w:val="auto"/>
          <w:kern w:val="2"/>
          <w:sz w:val="32"/>
          <w:szCs w:val="32"/>
          <w:lang w:eastAsia="zh-CN"/>
        </w:rPr>
        <w:t>人民政府及有关部门报告突发环境事件应急处置工作</w:t>
      </w:r>
      <w:r>
        <w:rPr>
          <w:rFonts w:hint="eastAsia" w:ascii="Times New Roman" w:hAnsi="Times New Roman" w:eastAsia="仿宋_GB2312" w:cs="Times New Roman"/>
          <w:snapToGrid/>
          <w:color w:val="auto"/>
          <w:kern w:val="2"/>
          <w:sz w:val="32"/>
          <w:szCs w:val="32"/>
          <w:lang w:eastAsia="zh-CN"/>
        </w:rPr>
        <w:t>情况，发布突发环境事件信息；</w:t>
      </w:r>
      <w:r>
        <w:rPr>
          <w:rFonts w:ascii="Times New Roman" w:hAnsi="Times New Roman" w:eastAsia="仿宋_GB2312" w:cs="Times New Roman"/>
          <w:snapToGrid/>
          <w:color w:val="auto"/>
          <w:kern w:val="2"/>
          <w:sz w:val="32"/>
          <w:szCs w:val="32"/>
          <w:lang w:eastAsia="zh-CN"/>
        </w:rPr>
        <w:t xml:space="preserve"> </w:t>
      </w:r>
    </w:p>
    <w:p w14:paraId="58121F4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7）</w:t>
      </w:r>
      <w:r>
        <w:rPr>
          <w:rFonts w:hint="eastAsia" w:ascii="Times New Roman" w:hAnsi="Times New Roman" w:eastAsia="仿宋_GB2312" w:cs="Times New Roman"/>
          <w:snapToGrid/>
          <w:color w:val="auto"/>
          <w:kern w:val="2"/>
          <w:sz w:val="32"/>
          <w:szCs w:val="32"/>
          <w:lang w:eastAsia="zh-CN"/>
        </w:rPr>
        <w:t>组织开展事故原因调查；</w:t>
      </w:r>
    </w:p>
    <w:p w14:paraId="306B592B">
      <w:pPr>
        <w:widowControl w:val="0"/>
        <w:kinsoku/>
        <w:autoSpaceDE/>
        <w:autoSpaceDN/>
        <w:adjustRightInd/>
        <w:snapToGrid/>
        <w:spacing w:line="580" w:lineRule="exact"/>
        <w:ind w:firstLine="640" w:firstLineChars="200"/>
        <w:jc w:val="both"/>
        <w:textAlignment w:val="auto"/>
        <w:rPr>
          <w:rFonts w:hint="eastAsia" w:ascii="Times New Roman" w:hAnsi="Times New Roman" w:eastAsia="宋体" w:cs="Times New Roman"/>
          <w:b/>
          <w:bCs/>
          <w:snapToGrid/>
          <w:color w:val="auto"/>
          <w:kern w:val="2"/>
          <w:sz w:val="30"/>
          <w:szCs w:val="32"/>
          <w:lang w:val="en-US" w:eastAsia="zh-CN"/>
        </w:rPr>
      </w:pP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8</w:t>
      </w:r>
      <w:r>
        <w:rPr>
          <w:rFonts w:hint="eastAsia" w:ascii="Times New Roman" w:hAnsi="Times New Roman" w:eastAsia="仿宋_GB2312" w:cs="Times New Roman"/>
          <w:snapToGrid/>
          <w:color w:val="auto"/>
          <w:kern w:val="2"/>
          <w:sz w:val="32"/>
          <w:szCs w:val="32"/>
          <w:lang w:eastAsia="zh-CN"/>
        </w:rPr>
        <w:t>）组织指导突发环境事件应急演练，提高突发环境事件应对能力。</w:t>
      </w:r>
    </w:p>
    <w:p w14:paraId="1430B403">
      <w:pPr>
        <w:pStyle w:val="36"/>
        <w:keepNext w:val="0"/>
        <w:keepLines w:val="0"/>
        <w:pageBreakBefore w:val="0"/>
        <w:widowControl w:val="0"/>
        <w:kinsoku/>
        <w:wordWrap/>
        <w:overflowPunct/>
        <w:topLinePunct w:val="0"/>
        <w:autoSpaceDE w:val="0"/>
        <w:autoSpaceDN w:val="0"/>
        <w:bidi w:val="0"/>
        <w:adjustRightInd w:val="0"/>
        <w:snapToGrid/>
        <w:spacing w:line="580" w:lineRule="exact"/>
        <w:textAlignment w:val="auto"/>
        <w:rPr>
          <w:rFonts w:hint="eastAsia" w:ascii="Times New Roman" w:hAnsi="Times New Roman" w:eastAsia="宋体" w:cs="Times New Roman"/>
          <w:b/>
          <w:bCs/>
          <w:snapToGrid/>
          <w:color w:val="auto"/>
          <w:kern w:val="2"/>
          <w:sz w:val="30"/>
          <w:szCs w:val="32"/>
          <w:lang w:val="en-US" w:eastAsia="zh-CN"/>
        </w:rPr>
      </w:pPr>
      <w:r>
        <w:rPr>
          <w:rFonts w:ascii="Times New Roman" w:hAnsi="Times New Roman" w:eastAsia="宋体" w:cs="Times New Roman"/>
          <w:b/>
          <w:bCs/>
          <w:snapToGrid/>
          <w:color w:val="auto"/>
          <w:kern w:val="2"/>
          <w:sz w:val="30"/>
          <w:szCs w:val="32"/>
          <w:lang w:eastAsia="zh-CN"/>
        </w:rPr>
        <w:t>2.</w:t>
      </w:r>
      <w:r>
        <w:rPr>
          <w:rFonts w:hint="eastAsia" w:ascii="Times New Roman" w:hAnsi="Times New Roman" w:eastAsia="宋体" w:cs="Times New Roman"/>
          <w:b/>
          <w:bCs/>
          <w:snapToGrid/>
          <w:color w:val="auto"/>
          <w:kern w:val="2"/>
          <w:sz w:val="30"/>
          <w:szCs w:val="32"/>
          <w:lang w:val="en-US" w:eastAsia="zh-CN"/>
        </w:rPr>
        <w:t>2</w:t>
      </w:r>
      <w:r>
        <w:rPr>
          <w:rFonts w:ascii="Times New Roman" w:hAnsi="Times New Roman" w:eastAsia="宋体" w:cs="Times New Roman"/>
          <w:b/>
          <w:bCs/>
          <w:snapToGrid/>
          <w:color w:val="auto"/>
          <w:kern w:val="2"/>
          <w:sz w:val="30"/>
          <w:szCs w:val="32"/>
          <w:lang w:eastAsia="zh-CN"/>
        </w:rPr>
        <w:t>.</w:t>
      </w:r>
      <w:r>
        <w:rPr>
          <w:rFonts w:hint="eastAsia" w:ascii="Times New Roman" w:hAnsi="Times New Roman" w:eastAsia="宋体" w:cs="Times New Roman"/>
          <w:b/>
          <w:bCs/>
          <w:snapToGrid/>
          <w:color w:val="auto"/>
          <w:kern w:val="2"/>
          <w:sz w:val="30"/>
          <w:szCs w:val="32"/>
          <w:lang w:val="en-US" w:eastAsia="zh-CN"/>
        </w:rPr>
        <w:t>2县环境应急指挥部办公室</w:t>
      </w:r>
    </w:p>
    <w:p w14:paraId="3F907943">
      <w:pPr>
        <w:widowControl w:val="0"/>
        <w:kinsoku/>
        <w:autoSpaceDE/>
        <w:autoSpaceDN/>
        <w:adjustRightInd/>
        <w:snapToGrid/>
        <w:spacing w:line="580" w:lineRule="exact"/>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（1）承担县环境应急指挥部日常工作，贯彻落实县环境应急指挥部的各项工作部署；</w:t>
      </w:r>
    </w:p>
    <w:p w14:paraId="380B1FC1">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xml:space="preserve">（2）收集、汇总、分析突发环境事件应急处置信息，及时向县环境应急指挥部及其成员单位报告、通报事件应急处置工作情况； </w:t>
      </w:r>
    </w:p>
    <w:p w14:paraId="2A7B21C6">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xml:space="preserve">（3）负责检查、督促所辖各区域及相关单位配套预案的制定和各项应急准备、预防控制工作的落实； </w:t>
      </w:r>
    </w:p>
    <w:p w14:paraId="225BF9BC">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（4）建立和完善突发环境事件的预警预测及监测系统；</w:t>
      </w:r>
    </w:p>
    <w:p w14:paraId="106C59A9">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xml:space="preserve">（5）建立和管理县突发环境事件应急处置专家库信息； </w:t>
      </w:r>
    </w:p>
    <w:p w14:paraId="676530C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（6）完成县环境应急指挥部交办的其他任务。</w:t>
      </w:r>
    </w:p>
    <w:p w14:paraId="1812231D">
      <w:pPr>
        <w:pStyle w:val="36"/>
        <w:keepNext w:val="0"/>
        <w:keepLines w:val="0"/>
        <w:pageBreakBefore w:val="0"/>
        <w:widowControl w:val="0"/>
        <w:kinsoku/>
        <w:wordWrap/>
        <w:overflowPunct/>
        <w:topLinePunct w:val="0"/>
        <w:bidi w:val="0"/>
        <w:snapToGrid/>
        <w:spacing w:line="580" w:lineRule="exact"/>
        <w:textAlignment w:val="auto"/>
        <w:rPr>
          <w:rFonts w:hint="eastAsia" w:ascii="黑体" w:hAnsi="黑体" w:eastAsia="黑体" w:cs="黑体"/>
          <w:b/>
          <w:bCs/>
          <w:snapToGrid/>
          <w:color w:val="auto"/>
          <w:kern w:val="2"/>
          <w:sz w:val="30"/>
          <w:szCs w:val="32"/>
          <w:lang w:eastAsia="zh-CN"/>
        </w:rPr>
      </w:pPr>
      <w:r>
        <w:rPr>
          <w:rFonts w:ascii="Times New Roman" w:hAnsi="Times New Roman" w:eastAsia="宋体" w:cs="Times New Roman"/>
          <w:b/>
          <w:bCs/>
          <w:snapToGrid/>
          <w:color w:val="auto"/>
          <w:kern w:val="2"/>
          <w:sz w:val="30"/>
          <w:szCs w:val="32"/>
          <w:lang w:eastAsia="zh-CN"/>
        </w:rPr>
        <w:t>2.</w:t>
      </w:r>
      <w:r>
        <w:rPr>
          <w:rFonts w:hint="eastAsia" w:ascii="Times New Roman" w:hAnsi="Times New Roman" w:eastAsia="宋体" w:cs="Times New Roman"/>
          <w:b/>
          <w:bCs/>
          <w:snapToGrid/>
          <w:color w:val="auto"/>
          <w:kern w:val="2"/>
          <w:sz w:val="30"/>
          <w:szCs w:val="32"/>
          <w:lang w:val="en-US" w:eastAsia="zh-CN"/>
        </w:rPr>
        <w:t>2</w:t>
      </w:r>
      <w:r>
        <w:rPr>
          <w:rFonts w:ascii="Times New Roman" w:hAnsi="Times New Roman" w:eastAsia="宋体" w:cs="Times New Roman"/>
          <w:b/>
          <w:bCs/>
          <w:snapToGrid/>
          <w:color w:val="auto"/>
          <w:kern w:val="2"/>
          <w:sz w:val="30"/>
          <w:szCs w:val="32"/>
          <w:lang w:eastAsia="zh-CN"/>
        </w:rPr>
        <w:t>.</w:t>
      </w:r>
      <w:bookmarkEnd w:id="39"/>
      <w:bookmarkEnd w:id="40"/>
      <w:bookmarkEnd w:id="41"/>
      <w:bookmarkStart w:id="43" w:name="_Toc17753"/>
      <w:bookmarkStart w:id="44" w:name="_Toc1788"/>
      <w:bookmarkStart w:id="45" w:name="_Toc26890799"/>
      <w:r>
        <w:rPr>
          <w:rFonts w:hint="eastAsia" w:ascii="Times New Roman" w:hAnsi="Times New Roman" w:eastAsia="宋体" w:cs="Times New Roman"/>
          <w:b/>
          <w:bCs/>
          <w:snapToGrid/>
          <w:color w:val="auto"/>
          <w:kern w:val="2"/>
          <w:sz w:val="30"/>
          <w:szCs w:val="32"/>
          <w:lang w:val="en-US" w:eastAsia="zh-CN"/>
        </w:rPr>
        <w:t>3</w:t>
      </w:r>
      <w:r>
        <w:rPr>
          <w:rFonts w:ascii="Times New Roman" w:hAnsi="Times New Roman" w:eastAsia="宋体" w:cs="Times New Roman"/>
          <w:b/>
          <w:bCs/>
          <w:snapToGrid/>
          <w:color w:val="auto"/>
          <w:kern w:val="2"/>
          <w:sz w:val="30"/>
          <w:szCs w:val="32"/>
          <w:lang w:eastAsia="zh-CN"/>
        </w:rPr>
        <w:t xml:space="preserve"> </w:t>
      </w:r>
      <w:r>
        <w:rPr>
          <w:rFonts w:hint="eastAsia" w:ascii="黑体" w:hAnsi="黑体" w:eastAsia="黑体" w:cs="黑体"/>
          <w:b/>
          <w:bCs/>
          <w:snapToGrid/>
          <w:color w:val="auto"/>
          <w:kern w:val="2"/>
          <w:sz w:val="30"/>
          <w:szCs w:val="32"/>
          <w:lang w:eastAsia="zh-CN"/>
        </w:rPr>
        <w:t>各成员单位</w:t>
      </w:r>
      <w:bookmarkEnd w:id="43"/>
      <w:bookmarkEnd w:id="44"/>
      <w:bookmarkEnd w:id="45"/>
    </w:p>
    <w:p w14:paraId="6C1E2EAC">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县发展和改革局</w:t>
      </w:r>
      <w:r>
        <w:rPr>
          <w:rFonts w:ascii="Times New Roman" w:hAnsi="Times New Roman" w:eastAsia="仿宋_GB2312" w:cs="Times New Roman"/>
          <w:snapToGrid/>
          <w:color w:val="auto"/>
          <w:kern w:val="2"/>
          <w:sz w:val="32"/>
          <w:szCs w:val="32"/>
          <w:lang w:eastAsia="zh-CN"/>
        </w:rPr>
        <w:t>：负责将突发环境事件应急预防与处置体系建设纳入国民经济和社会发展规划</w:t>
      </w:r>
      <w:r>
        <w:rPr>
          <w:rFonts w:hint="eastAsia" w:ascii="Times New Roman" w:hAnsi="Times New Roman" w:eastAsia="仿宋_GB2312" w:cs="Times New Roman"/>
          <w:snapToGrid/>
          <w:color w:val="auto"/>
          <w:kern w:val="2"/>
          <w:sz w:val="32"/>
          <w:szCs w:val="32"/>
          <w:lang w:eastAsia="zh-CN"/>
        </w:rPr>
        <w:t>；负责协调电力企业做好突发环境事件的应急电源保障工作。</w:t>
      </w:r>
    </w:p>
    <w:p w14:paraId="6DFDBCD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县委宣传部：正确引导舆论</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组织开展事件进展、应急工作情况等权威信息发布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加强突发环境事件应急处理的新闻宣传报道</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及时澄清不实信息</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回应社会关切。</w:t>
      </w:r>
    </w:p>
    <w:p w14:paraId="5D5CB4A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县应急管理局：负责制定职责范围内危险化学品事故应急救援预案</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组建相关应急救援处置队伍</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组织协调职责范围内危险化学品事故的现场应急救援与处置工作。</w:t>
      </w:r>
      <w:r>
        <w:rPr>
          <w:rFonts w:hint="eastAsia" w:ascii="Times New Roman" w:hAnsi="Times New Roman" w:eastAsia="仿宋_GB2312" w:cs="Times New Roman"/>
          <w:snapToGrid/>
          <w:color w:val="auto"/>
          <w:kern w:val="2"/>
          <w:sz w:val="32"/>
          <w:szCs w:val="32"/>
          <w:lang w:eastAsia="zh-CN"/>
        </w:rPr>
        <w:t>经县人民政府授权，依法组织一般级别危险化学品事故的调查工作</w:t>
      </w:r>
      <w:r>
        <w:rPr>
          <w:rFonts w:ascii="Times New Roman" w:hAnsi="Times New Roman" w:eastAsia="仿宋_GB2312" w:cs="Times New Roman"/>
          <w:snapToGrid/>
          <w:color w:val="auto"/>
          <w:kern w:val="2"/>
          <w:sz w:val="32"/>
          <w:szCs w:val="32"/>
          <w:lang w:eastAsia="zh-CN"/>
        </w:rPr>
        <w:t>。</w:t>
      </w:r>
    </w:p>
    <w:p w14:paraId="2B433D16">
      <w:pPr>
        <w:pStyle w:val="21"/>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Times New Roman" w:hAnsi="Times New Roman" w:eastAsia="仿宋_GB2312"/>
          <w:bCs w:val="0"/>
          <w:color w:val="auto"/>
          <w:kern w:val="2"/>
          <w:sz w:val="32"/>
        </w:rPr>
      </w:pPr>
      <w:r>
        <w:rPr>
          <w:rFonts w:ascii="Times New Roman" w:hAnsi="Times New Roman" w:eastAsia="仿宋_GB2312"/>
          <w:bCs w:val="0"/>
          <w:color w:val="auto"/>
          <w:kern w:val="2"/>
          <w:sz w:val="32"/>
        </w:rPr>
        <w:t>承担会同有关方面组织协调紧急转移安置受灾群众、因灾损毁房屋恢复重建补助和受灾群众生活救助工作等职责。</w:t>
      </w:r>
    </w:p>
    <w:p w14:paraId="4C460AE6">
      <w:pPr>
        <w:widowControl w:val="0"/>
        <w:kinsoku/>
        <w:autoSpaceDE/>
        <w:autoSpaceDN/>
        <w:adjustRightInd/>
        <w:snapToGrid/>
        <w:spacing w:line="580" w:lineRule="exact"/>
        <w:ind w:firstLine="640" w:firstLineChars="200"/>
        <w:jc w:val="both"/>
        <w:textAlignment w:val="auto"/>
        <w:rPr>
          <w:rFonts w:hint="default" w:ascii="Times New Roman" w:hAnsi="Times New Roman" w:eastAsia="仿宋_GB2312" w:cs="Times New Roman"/>
          <w:snapToGrid/>
          <w:color w:val="auto"/>
          <w:kern w:val="2"/>
          <w:sz w:val="32"/>
          <w:szCs w:val="32"/>
          <w:lang w:val="en-US" w:eastAsia="zh-CN"/>
        </w:rPr>
      </w:pPr>
      <w:r>
        <w:rPr>
          <w:rFonts w:ascii="Times New Roman" w:hAnsi="Times New Roman" w:eastAsia="仿宋_GB2312" w:cs="Times New Roman"/>
          <w:snapToGrid/>
          <w:color w:val="auto"/>
          <w:kern w:val="2"/>
          <w:sz w:val="32"/>
          <w:szCs w:val="32"/>
          <w:lang w:eastAsia="zh-CN"/>
        </w:rPr>
        <w:t>县财政局：</w:t>
      </w:r>
      <w:r>
        <w:rPr>
          <w:rFonts w:hint="default" w:ascii="Times New Roman" w:hAnsi="Times New Roman" w:eastAsia="仿宋_GB2312" w:cs="Times New Roman"/>
          <w:snapToGrid/>
          <w:color w:val="auto"/>
          <w:kern w:val="2"/>
          <w:sz w:val="32"/>
          <w:szCs w:val="32"/>
          <w:lang w:val="en-US" w:eastAsia="zh-CN"/>
        </w:rPr>
        <w:t>负责环境应急能力建设和环境应急处置经费保障及管理工作。</w:t>
      </w:r>
    </w:p>
    <w:p w14:paraId="13E8E6DC">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县自然资源局：负责配合做好因突发地质灾害次生环境污染、生态破坏事件的调查与应急处置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提供现场地理信息相关数据。</w:t>
      </w:r>
    </w:p>
    <w:p w14:paraId="27F80859">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县交通运输局：负责制定突发危险物品运输事故应急预案</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参与危险物品运输事故的应急救援与调查处理；参与因公路交通事故引起的突发环境事件应急处置；配合相关部门实施危险物品交通事故现场抢险物资保障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负责组织协调危险化学物品交通事故应急处置所需的交通运输保障工作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负责建设临近地表敏感水体桥梁、道路应急设施的建设。组织、指挥和协调流域污染应急处置工作。</w:t>
      </w:r>
    </w:p>
    <w:p w14:paraId="3ABFC641">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县农业农村局：负责农业环境污染事件、国家重点保护野生动植物物种资源破坏的应急处置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组织协调对特别重大、重大和较大突发环境事件造成的农业、渔业资源进行调查与评估</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组织开展生态修复。</w:t>
      </w:r>
    </w:p>
    <w:p w14:paraId="0179590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县市场监督管理局：负责在应急处置中做好食品、药品和医疗器械质量监管</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保障食品药械安全工作。</w:t>
      </w:r>
    </w:p>
    <w:p w14:paraId="49BA115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县卫生健康局：负责消杀用品、食品和医药等所需应急物资的紧急调度工作；负责组织现场伤员的急救、转运和洗消等紧急医学救援工作；对卫生部门提供指导和技术支持；负责组织患者的医疗救治</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统计接受治疗的中毒（或受伤）人数和住院人数</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报送人员救治信息；负责组织评估突发环境事件所导致健康危害的性质及其影响人数和范围；根据实际需要</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组织开展伤病员医疗救治、应急心理援助；指导和协助开展受污染人员的去污洗消工作。</w:t>
      </w:r>
    </w:p>
    <w:p w14:paraId="2997B70A">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县科技和工业信息化局：负责协调各通信运营企业</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确保环境应急现场的网络及通信畅通。根据应急处置需要</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协助提供物资保障。</w:t>
      </w:r>
    </w:p>
    <w:p w14:paraId="47A8A76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县公安局：负责制定突发灾难事件现场警戒及人员疏散预案；组织突发环境事件可能影响区域内的人员疏散和撤离</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对人员撤离区域进行治安管理；负责组织实施剧毒化学品事故的应急救援。负责涉嫌污染环境犯罪案件的侦查；负责危险化学品运输车辆的道路交通安全管理；负责对丢失、被盗放射源的立案侦查</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协助生态环境部门开展放射源收贮工作。</w:t>
      </w:r>
    </w:p>
    <w:p w14:paraId="00DC6C6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县民政局：</w:t>
      </w:r>
      <w:r>
        <w:rPr>
          <w:rFonts w:ascii="Times New Roman" w:hAnsi="Times New Roman" w:eastAsia="仿宋_GB2312" w:cs="Times New Roman"/>
          <w:bCs/>
          <w:snapToGrid/>
          <w:color w:val="auto"/>
          <w:kern w:val="2"/>
          <w:sz w:val="32"/>
          <w:szCs w:val="32"/>
          <w:lang w:eastAsia="zh-CN"/>
        </w:rPr>
        <w:t>指导社会各界捐赠。</w:t>
      </w:r>
    </w:p>
    <w:p w14:paraId="323E6941">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县住房和城乡建设局：负责配合做好</w:t>
      </w:r>
      <w:r>
        <w:rPr>
          <w:rFonts w:hint="eastAsia" w:ascii="Times New Roman" w:hAnsi="Times New Roman" w:eastAsia="仿宋_GB2312" w:cs="Times New Roman"/>
          <w:snapToGrid/>
          <w:color w:val="auto"/>
          <w:kern w:val="2"/>
          <w:sz w:val="32"/>
          <w:szCs w:val="32"/>
          <w:lang w:eastAsia="zh-CN"/>
        </w:rPr>
        <w:t>燃气突发性事件</w:t>
      </w:r>
      <w:r>
        <w:rPr>
          <w:rFonts w:ascii="Times New Roman" w:hAnsi="Times New Roman" w:eastAsia="仿宋_GB2312" w:cs="Times New Roman"/>
          <w:snapToGrid/>
          <w:color w:val="auto"/>
          <w:kern w:val="2"/>
          <w:sz w:val="32"/>
          <w:szCs w:val="32"/>
          <w:lang w:eastAsia="zh-CN"/>
        </w:rPr>
        <w:t>、水厂污染环境事件的调查和应急处置工作；组织相关水厂启动城市供水应急预案</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确保城市饮用水安全。</w:t>
      </w:r>
    </w:p>
    <w:p w14:paraId="7E71430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县水利局：按照职责配合生态环境部门制定集中式饮用水源保护区突发环境事件应急预案和应急处置工作；参与河流突发污染事件应急处置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组织协调并监督实施河流水库及跨县、跨流域环境应急水量调度</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提供水务信息相关数据。</w:t>
      </w:r>
    </w:p>
    <w:p w14:paraId="6653C43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县城市管理和综合执法局：负责组织制定和实施城市生活垃圾填埋场突发环境事件应急预案；负责组织城市生活垃圾及其渗滤液污染环境事件应急处置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参加相关事件调查处理工作。</w:t>
      </w:r>
    </w:p>
    <w:p w14:paraId="6D29011A">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县林业局：</w:t>
      </w:r>
      <w:r>
        <w:rPr>
          <w:rFonts w:ascii="Times New Roman" w:hAnsi="Times New Roman" w:eastAsia="仿宋_GB2312" w:cs="Times New Roman"/>
          <w:snapToGrid/>
          <w:sz w:val="32"/>
          <w:szCs w:val="32"/>
          <w:lang w:eastAsia="zh-CN"/>
        </w:rPr>
        <w:t>参与突发环境事件受害林业资源、湿地资源、陆生野生动植物资源的应急响应、调查和评估工作。</w:t>
      </w:r>
    </w:p>
    <w:p w14:paraId="4EB2B32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县商务局</w:t>
      </w:r>
      <w:r>
        <w:rPr>
          <w:rFonts w:ascii="Times New Roman" w:hAnsi="Times New Roman" w:eastAsia="仿宋_GB2312" w:cs="Times New Roman"/>
          <w:snapToGrid/>
          <w:color w:val="auto"/>
          <w:kern w:val="2"/>
          <w:sz w:val="32"/>
          <w:szCs w:val="32"/>
          <w:lang w:eastAsia="zh-CN"/>
        </w:rPr>
        <w:t>：负责组织协调特别重大、重大和较大突发环境事件发生时重要生活必需品的市场供应。</w:t>
      </w:r>
    </w:p>
    <w:p w14:paraId="34600E5E">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县气象局：负责实时提供事件现场中心区和可能影响区域的风向、风速、温度、气压、湿度、雨量等气象信息</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为污染物扩散评估提供气象技术支持。</w:t>
      </w:r>
    </w:p>
    <w:p w14:paraId="35CEF08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县交警大队</w:t>
      </w:r>
      <w:r>
        <w:rPr>
          <w:rFonts w:ascii="Times New Roman" w:hAnsi="Times New Roman" w:eastAsia="仿宋_GB2312" w:cs="Times New Roman"/>
          <w:snapToGrid/>
          <w:color w:val="auto"/>
          <w:kern w:val="2"/>
          <w:sz w:val="32"/>
          <w:szCs w:val="32"/>
          <w:lang w:eastAsia="zh-CN"/>
        </w:rPr>
        <w:t>：负责突发环境事件现场区域周边道路的交通管制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保障救援道路畅通。</w:t>
      </w:r>
    </w:p>
    <w:p w14:paraId="0884A9A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高新区管委会、各乡镇人民政府：负责实施先期处置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全过程配合应急处置工作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同时为应急处置提供后勤保障。</w:t>
      </w:r>
    </w:p>
    <w:p w14:paraId="024B63C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县消防救援大队：负责制定泄漏、爆炸和火灾控制等应急处置预案；负责事故现场人员搜救、抢险作业和扑灭火灾；负责控制易燃、易爆、有毒物质泄漏和有关设备容器的冷却处置等。</w:t>
      </w:r>
    </w:p>
    <w:p w14:paraId="38983129">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基层单位环境应急职责：高新区管委会、</w:t>
      </w:r>
      <w:r>
        <w:rPr>
          <w:rFonts w:ascii="Times New Roman" w:hAnsi="Times New Roman" w:eastAsia="仿宋_GB2312" w:cs="Times New Roman"/>
          <w:bCs/>
          <w:snapToGrid/>
          <w:color w:val="auto"/>
          <w:kern w:val="2"/>
          <w:sz w:val="32"/>
          <w:szCs w:val="32"/>
          <w:lang w:eastAsia="zh-CN"/>
        </w:rPr>
        <w:t>各乡镇</w:t>
      </w:r>
      <w:r>
        <w:rPr>
          <w:rFonts w:ascii="Times New Roman" w:hAnsi="Times New Roman" w:eastAsia="仿宋_GB2312" w:cs="Times New Roman"/>
          <w:snapToGrid/>
          <w:color w:val="auto"/>
          <w:kern w:val="2"/>
          <w:sz w:val="32"/>
          <w:szCs w:val="32"/>
          <w:lang w:eastAsia="zh-CN"/>
        </w:rPr>
        <w:t>设立本级突发环境事件应急指挥部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负责组织和参与本辖区突发环境事件的预防和应对工作。按照属地管理的原则</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突发环境事件时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办应立即组织应急救援力量到达事发现场开展人员救护、隔离现场和危险物品转移等前期应急处置工作。</w:t>
      </w:r>
      <w:r>
        <w:rPr>
          <w:rFonts w:hint="eastAsia" w:ascii="Times New Roman" w:hAnsi="Times New Roman" w:eastAsia="仿宋_GB2312" w:cs="Times New Roman"/>
          <w:snapToGrid/>
          <w:color w:val="auto"/>
          <w:kern w:val="2"/>
          <w:sz w:val="32"/>
          <w:szCs w:val="32"/>
          <w:lang w:eastAsia="zh-CN"/>
        </w:rPr>
        <w:t>村委会、</w:t>
      </w:r>
      <w:r>
        <w:rPr>
          <w:rFonts w:ascii="Times New Roman" w:hAnsi="Times New Roman" w:eastAsia="仿宋_GB2312" w:cs="Times New Roman"/>
          <w:snapToGrid/>
          <w:color w:val="auto"/>
          <w:kern w:val="2"/>
          <w:sz w:val="32"/>
          <w:szCs w:val="32"/>
          <w:lang w:eastAsia="zh-CN"/>
        </w:rPr>
        <w:t>居委会等群众自治组织和社区工作站协助开展突发环境事件信息报送、人员疏散、社会动员和应急宣传教育等工作。企事业单位在生态环境主管部门的指导下</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依法开展突发环境事件的预防和应对工作。</w:t>
      </w:r>
    </w:p>
    <w:p w14:paraId="6F93AF39">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各成员单位要根据职责分工</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做好应对突发环境事件的各项工作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加强沟通</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做好相关信息的交流与共享。</w:t>
      </w:r>
      <w:r>
        <w:rPr>
          <w:rFonts w:hint="eastAsia" w:ascii="Times New Roman" w:hAnsi="Times New Roman" w:eastAsia="仿宋_GB2312" w:cs="Times New Roman"/>
          <w:snapToGrid/>
          <w:color w:val="auto"/>
          <w:kern w:val="2"/>
          <w:sz w:val="32"/>
          <w:szCs w:val="32"/>
          <w:lang w:eastAsia="zh-CN"/>
        </w:rPr>
        <w:t>各成员单位</w:t>
      </w:r>
      <w:r>
        <w:rPr>
          <w:rFonts w:ascii="Times New Roman" w:hAnsi="Times New Roman" w:eastAsia="仿宋_GB2312" w:cs="Times New Roman"/>
          <w:snapToGrid/>
          <w:color w:val="auto"/>
          <w:kern w:val="2"/>
          <w:sz w:val="32"/>
          <w:szCs w:val="32"/>
          <w:lang w:eastAsia="zh-CN"/>
        </w:rPr>
        <w:t>要及时将可能产生的次生突发环境事件的其他突发公共事件信息通报给市生态环境局炎陵分局</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市生态环境局炎陵分局要及时将突发环境事件可能</w:t>
      </w:r>
      <w:r>
        <w:rPr>
          <w:rFonts w:hint="eastAsia" w:ascii="Times New Roman" w:hAnsi="Times New Roman" w:eastAsia="仿宋_GB2312" w:cs="Times New Roman"/>
          <w:snapToGrid/>
          <w:color w:val="auto"/>
          <w:kern w:val="2"/>
          <w:sz w:val="32"/>
          <w:szCs w:val="32"/>
          <w:lang w:eastAsia="zh-CN"/>
        </w:rPr>
        <w:t>发生</w:t>
      </w:r>
      <w:r>
        <w:rPr>
          <w:rFonts w:ascii="Times New Roman" w:hAnsi="Times New Roman" w:eastAsia="仿宋_GB2312" w:cs="Times New Roman"/>
          <w:snapToGrid/>
          <w:color w:val="auto"/>
          <w:kern w:val="2"/>
          <w:sz w:val="32"/>
          <w:szCs w:val="32"/>
          <w:lang w:eastAsia="zh-CN"/>
        </w:rPr>
        <w:t>其他突发公共事件的信息通报有关部门。</w:t>
      </w:r>
    </w:p>
    <w:p w14:paraId="16A41941">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1"/>
        <w:rPr>
          <w:rFonts w:ascii="Times New Roman" w:hAnsi="Times New Roman" w:eastAsia="仿宋_GB2312" w:cs="Times New Roman"/>
          <w:snapToGrid/>
          <w:color w:val="auto"/>
          <w:kern w:val="2"/>
          <w:sz w:val="32"/>
          <w:szCs w:val="32"/>
          <w:lang w:eastAsia="zh-CN"/>
        </w:rPr>
      </w:pPr>
      <w:bookmarkStart w:id="46" w:name="_Toc24646"/>
      <w:r>
        <w:rPr>
          <w:rFonts w:ascii="Times New Roman" w:hAnsi="Times New Roman" w:eastAsia="黑体" w:cs="Times New Roman"/>
          <w:b/>
          <w:bCs/>
          <w:snapToGrid/>
          <w:color w:val="auto"/>
          <w:kern w:val="2"/>
          <w:sz w:val="32"/>
          <w:szCs w:val="32"/>
          <w:lang w:eastAsia="zh-CN"/>
        </w:rPr>
        <w:t>2.</w:t>
      </w:r>
      <w:r>
        <w:rPr>
          <w:rFonts w:hint="eastAsia" w:ascii="Times New Roman" w:hAnsi="Times New Roman" w:eastAsia="黑体" w:cs="Times New Roman"/>
          <w:b/>
          <w:bCs/>
          <w:snapToGrid/>
          <w:color w:val="auto"/>
          <w:kern w:val="2"/>
          <w:sz w:val="32"/>
          <w:szCs w:val="32"/>
          <w:lang w:val="en-US" w:eastAsia="zh-CN"/>
        </w:rPr>
        <w:t>3</w:t>
      </w:r>
      <w:r>
        <w:rPr>
          <w:rFonts w:hint="eastAsia" w:ascii="Times New Roman" w:hAnsi="Times New Roman" w:eastAsia="黑体" w:cs="Times New Roman"/>
          <w:b/>
          <w:bCs/>
          <w:snapToGrid/>
          <w:color w:val="auto"/>
          <w:kern w:val="2"/>
          <w:sz w:val="32"/>
          <w:szCs w:val="32"/>
          <w:lang w:eastAsia="zh-CN"/>
        </w:rPr>
        <w:t>专家组</w:t>
      </w:r>
      <w:bookmarkEnd w:id="46"/>
    </w:p>
    <w:p w14:paraId="31021C14">
      <w:pPr>
        <w:widowControl w:val="0"/>
        <w:kinsoku/>
        <w:autoSpaceDE/>
        <w:autoSpaceDN/>
        <w:adjustRightInd/>
        <w:snapToGrid/>
        <w:spacing w:line="580" w:lineRule="exact"/>
        <w:ind w:firstLine="640" w:firstLineChars="200"/>
        <w:jc w:val="both"/>
        <w:textAlignment w:val="auto"/>
        <w:rPr>
          <w:lang w:eastAsia="zh-CN"/>
        </w:rPr>
      </w:pPr>
      <w:r>
        <w:rPr>
          <w:rFonts w:hint="eastAsia" w:ascii="Times New Roman" w:hAnsi="Times New Roman" w:eastAsia="仿宋_GB2312" w:cs="Times New Roman"/>
          <w:snapToGrid/>
          <w:color w:val="auto"/>
          <w:kern w:val="2"/>
          <w:sz w:val="32"/>
          <w:szCs w:val="32"/>
          <w:lang w:eastAsia="zh-CN"/>
        </w:rPr>
        <w:t>县环境应急指挥部设立突发环境事件专家组，由相关行业应急专家组成，参与、指导突发环境事件应急处置工作。专家咨询组主要预测污染物的扩散趋势和迁移强度，为县环境应急指挥部的决策提供技术支撑。　</w:t>
      </w:r>
    </w:p>
    <w:p w14:paraId="5B9DE9F4">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auto"/>
          <w:kern w:val="2"/>
          <w:sz w:val="32"/>
          <w:szCs w:val="32"/>
          <w:lang w:eastAsia="zh-CN"/>
        </w:rPr>
      </w:pPr>
      <w:bookmarkStart w:id="47" w:name="_Toc21634"/>
      <w:r>
        <w:rPr>
          <w:rFonts w:ascii="Times New Roman" w:hAnsi="Times New Roman" w:eastAsia="黑体" w:cs="Times New Roman"/>
          <w:b/>
          <w:bCs/>
          <w:snapToGrid/>
          <w:color w:val="auto"/>
          <w:kern w:val="2"/>
          <w:sz w:val="32"/>
          <w:szCs w:val="32"/>
          <w:lang w:eastAsia="zh-CN"/>
        </w:rPr>
        <w:t>2.</w:t>
      </w:r>
      <w:r>
        <w:rPr>
          <w:rFonts w:hint="eastAsia" w:ascii="Times New Roman" w:hAnsi="Times New Roman" w:eastAsia="黑体" w:cs="Times New Roman"/>
          <w:b/>
          <w:bCs/>
          <w:snapToGrid/>
          <w:color w:val="auto"/>
          <w:kern w:val="2"/>
          <w:sz w:val="32"/>
          <w:szCs w:val="32"/>
          <w:lang w:val="en-US" w:eastAsia="zh-CN"/>
        </w:rPr>
        <w:t>4</w:t>
      </w:r>
      <w:r>
        <w:rPr>
          <w:rFonts w:ascii="Times New Roman" w:hAnsi="Times New Roman" w:eastAsia="黑体" w:cs="Times New Roman"/>
          <w:b/>
          <w:bCs/>
          <w:snapToGrid/>
          <w:color w:val="auto"/>
          <w:kern w:val="2"/>
          <w:sz w:val="32"/>
          <w:szCs w:val="32"/>
          <w:lang w:eastAsia="zh-CN"/>
        </w:rPr>
        <w:t xml:space="preserve"> </w:t>
      </w:r>
      <w:r>
        <w:rPr>
          <w:rFonts w:hint="eastAsia" w:ascii="Times New Roman" w:hAnsi="Times New Roman" w:eastAsia="黑体" w:cs="Times New Roman"/>
          <w:b/>
          <w:bCs/>
          <w:snapToGrid/>
          <w:color w:val="auto"/>
          <w:kern w:val="2"/>
          <w:sz w:val="32"/>
          <w:szCs w:val="32"/>
          <w:lang w:eastAsia="zh-CN"/>
        </w:rPr>
        <w:t>现场指挥部</w:t>
      </w:r>
      <w:bookmarkEnd w:id="47"/>
    </w:p>
    <w:p w14:paraId="1BE1077E">
      <w:pPr>
        <w:keepNext/>
        <w:keepLines/>
        <w:widowControl w:val="0"/>
        <w:kinsoku/>
        <w:autoSpaceDE/>
        <w:autoSpaceDN/>
        <w:adjustRightInd/>
        <w:snapToGrid/>
        <w:spacing w:line="580" w:lineRule="exact"/>
        <w:jc w:val="both"/>
        <w:textAlignment w:val="auto"/>
        <w:outlineLvl w:val="2"/>
        <w:rPr>
          <w:rFonts w:hint="eastAsia" w:ascii="黑体" w:hAnsi="黑体" w:eastAsia="黑体" w:cs="黑体"/>
          <w:b/>
          <w:bCs/>
          <w:snapToGrid/>
          <w:color w:val="auto"/>
          <w:kern w:val="2"/>
          <w:sz w:val="30"/>
          <w:szCs w:val="32"/>
          <w:lang w:eastAsia="zh-CN"/>
        </w:rPr>
      </w:pPr>
      <w:bookmarkStart w:id="48" w:name="_Toc19109"/>
      <w:r>
        <w:rPr>
          <w:rFonts w:hint="eastAsia" w:ascii="Times New Roman" w:hAnsi="Times New Roman" w:eastAsia="宋体" w:cs="Times New Roman"/>
          <w:b/>
          <w:bCs/>
          <w:snapToGrid/>
          <w:color w:val="auto"/>
          <w:kern w:val="2"/>
          <w:sz w:val="30"/>
          <w:szCs w:val="32"/>
          <w:lang w:val="en-US" w:eastAsia="zh-CN"/>
        </w:rPr>
        <w:t>2.4</w:t>
      </w:r>
      <w:r>
        <w:rPr>
          <w:rFonts w:ascii="Times New Roman" w:hAnsi="Times New Roman" w:eastAsia="宋体" w:cs="Times New Roman"/>
          <w:b/>
          <w:bCs/>
          <w:snapToGrid/>
          <w:color w:val="auto"/>
          <w:kern w:val="2"/>
          <w:sz w:val="30"/>
          <w:szCs w:val="32"/>
          <w:lang w:eastAsia="zh-CN"/>
        </w:rPr>
        <w:t xml:space="preserve">.1 </w:t>
      </w:r>
      <w:r>
        <w:rPr>
          <w:rFonts w:hint="eastAsia" w:ascii="黑体" w:hAnsi="黑体" w:eastAsia="黑体" w:cs="黑体"/>
          <w:b/>
          <w:bCs/>
          <w:snapToGrid/>
          <w:color w:val="auto"/>
          <w:kern w:val="2"/>
          <w:sz w:val="30"/>
          <w:szCs w:val="32"/>
          <w:lang w:eastAsia="zh-CN"/>
        </w:rPr>
        <w:t>现场指挥部职责</w:t>
      </w:r>
      <w:bookmarkEnd w:id="48"/>
    </w:p>
    <w:p w14:paraId="2A06636C">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环境应急指挥部根据需要成立突发环境事件现场指挥部，负责组织协调突发环境事件的现场处置工作。设立综合协调组、污染处置组、应急监测组、专家组、医疗救护组、应急保障组、新闻宣传组、社会稳定组和舆情处置组共9个现场处置小组。</w:t>
      </w:r>
    </w:p>
    <w:p w14:paraId="10B38231">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现场指挥部处置突发环境事件的主要内容包括：</w:t>
      </w:r>
    </w:p>
    <w:p w14:paraId="1ADC2A64">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xml:space="preserve">（1）提出现场处置原则、要求，依法及时下达应对突发环境事件的决定、命令； </w:t>
      </w:r>
    </w:p>
    <w:p w14:paraId="369BC523">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（2）邀请、选派有关专家和人员参与现场应急指挥；</w:t>
      </w:r>
    </w:p>
    <w:p w14:paraId="6A270919">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（3）协调各级、各专业应急力量实施应急救援行动；</w:t>
      </w:r>
    </w:p>
    <w:p w14:paraId="17200A61">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（4）协调事发地周边危险源的监控管理；</w:t>
      </w:r>
    </w:p>
    <w:p w14:paraId="69BA0B09">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xml:space="preserve">（5）协调建立现场警戒区和交通管制区域，确定重点防护区域； </w:t>
      </w:r>
    </w:p>
    <w:p w14:paraId="1CDE0718">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xml:space="preserve">（6）根据事发地的气象、地理环境、人员密集程度等，确定受威胁人员疏散和撤离的时间和方式； </w:t>
      </w:r>
    </w:p>
    <w:p w14:paraId="1344C56F">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（7）告知单位和个人应采取的环境安全防护措施；</w:t>
      </w:r>
    </w:p>
    <w:p w14:paraId="52AB113C">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（8）及时向县环境应急指挥部报告应急行动进展情况。</w:t>
      </w:r>
    </w:p>
    <w:p w14:paraId="5C7B4668">
      <w:pPr>
        <w:keepNext/>
        <w:keepLines/>
        <w:pageBreakBefore w:val="0"/>
        <w:widowControl w:val="0"/>
        <w:kinsoku/>
        <w:wordWrap/>
        <w:overflowPunct/>
        <w:topLinePunct w:val="0"/>
        <w:autoSpaceDE/>
        <w:autoSpaceDN/>
        <w:bidi w:val="0"/>
        <w:adjustRightInd/>
        <w:snapToGrid/>
        <w:spacing w:line="580" w:lineRule="exact"/>
        <w:jc w:val="both"/>
        <w:textAlignment w:val="auto"/>
        <w:outlineLvl w:val="2"/>
        <w:rPr>
          <w:rFonts w:hint="eastAsia" w:ascii="黑体" w:hAnsi="黑体" w:eastAsia="黑体" w:cs="黑体"/>
          <w:b/>
          <w:bCs/>
          <w:snapToGrid/>
          <w:color w:val="auto"/>
          <w:kern w:val="2"/>
          <w:sz w:val="30"/>
          <w:szCs w:val="32"/>
          <w:lang w:eastAsia="zh-CN"/>
        </w:rPr>
      </w:pPr>
      <w:bookmarkStart w:id="49" w:name="_Toc13674"/>
      <w:r>
        <w:rPr>
          <w:rFonts w:hint="eastAsia" w:ascii="Times New Roman" w:hAnsi="Times New Roman" w:eastAsia="宋体" w:cs="Times New Roman"/>
          <w:b/>
          <w:bCs/>
          <w:snapToGrid/>
          <w:color w:val="auto"/>
          <w:kern w:val="2"/>
          <w:sz w:val="30"/>
          <w:szCs w:val="32"/>
          <w:lang w:val="en-US" w:eastAsia="zh-CN"/>
        </w:rPr>
        <w:t>2.4</w:t>
      </w:r>
      <w:r>
        <w:rPr>
          <w:rFonts w:ascii="Times New Roman" w:hAnsi="Times New Roman" w:eastAsia="宋体" w:cs="Times New Roman"/>
          <w:b/>
          <w:bCs/>
          <w:snapToGrid/>
          <w:color w:val="auto"/>
          <w:kern w:val="2"/>
          <w:sz w:val="30"/>
          <w:szCs w:val="32"/>
          <w:lang w:eastAsia="zh-CN"/>
        </w:rPr>
        <w:t>.</w:t>
      </w:r>
      <w:r>
        <w:rPr>
          <w:rFonts w:hint="eastAsia" w:ascii="Times New Roman" w:hAnsi="Times New Roman" w:eastAsia="宋体" w:cs="Times New Roman"/>
          <w:b/>
          <w:bCs/>
          <w:snapToGrid/>
          <w:color w:val="auto"/>
          <w:kern w:val="2"/>
          <w:sz w:val="30"/>
          <w:szCs w:val="32"/>
          <w:lang w:val="en-US" w:eastAsia="zh-CN"/>
        </w:rPr>
        <w:t>2</w:t>
      </w:r>
      <w:r>
        <w:rPr>
          <w:rFonts w:ascii="Times New Roman" w:hAnsi="Times New Roman" w:eastAsia="宋体" w:cs="Times New Roman"/>
          <w:b/>
          <w:bCs/>
          <w:snapToGrid/>
          <w:color w:val="auto"/>
          <w:kern w:val="2"/>
          <w:sz w:val="30"/>
          <w:szCs w:val="32"/>
          <w:lang w:eastAsia="zh-CN"/>
        </w:rPr>
        <w:t xml:space="preserve"> </w:t>
      </w:r>
      <w:r>
        <w:rPr>
          <w:rFonts w:hint="eastAsia" w:ascii="黑体" w:hAnsi="黑体" w:eastAsia="黑体" w:cs="黑体"/>
          <w:b/>
          <w:bCs/>
          <w:snapToGrid/>
          <w:color w:val="auto"/>
          <w:kern w:val="2"/>
          <w:sz w:val="30"/>
          <w:szCs w:val="32"/>
          <w:lang w:eastAsia="zh-CN"/>
        </w:rPr>
        <w:t>专项工作组职责</w:t>
      </w:r>
      <w:bookmarkEnd w:id="49"/>
    </w:p>
    <w:p w14:paraId="23F8F12A">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1</w:t>
      </w:r>
      <w:r>
        <w:rPr>
          <w:rFonts w:hint="eastAsia"/>
          <w:sz w:val="32"/>
          <w:szCs w:val="32"/>
          <w:lang w:eastAsia="zh-CN"/>
        </w:rPr>
        <w:t>）</w:t>
      </w:r>
      <w:r>
        <w:rPr>
          <w:rFonts w:hint="eastAsia"/>
          <w:sz w:val="32"/>
          <w:szCs w:val="32"/>
        </w:rPr>
        <w:t>综合协调组：由</w:t>
      </w:r>
      <w:r>
        <w:rPr>
          <w:rFonts w:hint="eastAsia"/>
          <w:sz w:val="32"/>
          <w:szCs w:val="32"/>
          <w:lang w:eastAsia="zh-CN"/>
        </w:rPr>
        <w:t>县人民</w:t>
      </w:r>
      <w:r>
        <w:rPr>
          <w:rFonts w:hint="eastAsia"/>
          <w:sz w:val="32"/>
          <w:szCs w:val="32"/>
        </w:rPr>
        <w:t>政府办</w:t>
      </w:r>
      <w:r>
        <w:rPr>
          <w:rFonts w:hint="eastAsia"/>
          <w:sz w:val="32"/>
          <w:szCs w:val="32"/>
          <w:lang w:eastAsia="zh-CN"/>
        </w:rPr>
        <w:t>公室</w:t>
      </w:r>
      <w:r>
        <w:rPr>
          <w:rFonts w:hint="eastAsia"/>
          <w:sz w:val="32"/>
          <w:szCs w:val="32"/>
        </w:rPr>
        <w:t>牵头，市生态环境局</w:t>
      </w:r>
      <w:r>
        <w:rPr>
          <w:rFonts w:hint="eastAsia"/>
          <w:sz w:val="32"/>
          <w:szCs w:val="32"/>
          <w:lang w:eastAsia="zh-CN"/>
        </w:rPr>
        <w:t>炎陵</w:t>
      </w:r>
      <w:r>
        <w:rPr>
          <w:rFonts w:hint="eastAsia"/>
          <w:sz w:val="32"/>
          <w:szCs w:val="32"/>
        </w:rPr>
        <w:t>分局、</w:t>
      </w:r>
      <w:r>
        <w:rPr>
          <w:rFonts w:hint="eastAsia"/>
          <w:sz w:val="32"/>
          <w:szCs w:val="32"/>
          <w:lang w:eastAsia="zh-CN"/>
        </w:rPr>
        <w:t>县</w:t>
      </w:r>
      <w:r>
        <w:rPr>
          <w:rFonts w:hint="eastAsia"/>
          <w:sz w:val="32"/>
          <w:szCs w:val="32"/>
        </w:rPr>
        <w:t>发展和改革局</w:t>
      </w:r>
      <w:r>
        <w:rPr>
          <w:rFonts w:hint="eastAsia"/>
          <w:sz w:val="32"/>
          <w:szCs w:val="32"/>
          <w:lang w:eastAsia="zh-CN"/>
        </w:rPr>
        <w:t>、县</w:t>
      </w:r>
      <w:r>
        <w:rPr>
          <w:rFonts w:hint="eastAsia"/>
          <w:sz w:val="32"/>
          <w:szCs w:val="32"/>
        </w:rPr>
        <w:t>应急管理局、</w:t>
      </w:r>
      <w:r>
        <w:rPr>
          <w:rFonts w:hint="eastAsia"/>
          <w:sz w:val="32"/>
          <w:szCs w:val="32"/>
          <w:lang w:eastAsia="zh-CN"/>
        </w:rPr>
        <w:t>县</w:t>
      </w:r>
      <w:r>
        <w:rPr>
          <w:rFonts w:hint="eastAsia"/>
          <w:sz w:val="32"/>
          <w:szCs w:val="32"/>
        </w:rPr>
        <w:t>公安局、县科技和工业信息化局</w:t>
      </w:r>
      <w:r>
        <w:rPr>
          <w:rFonts w:hint="eastAsia"/>
          <w:sz w:val="32"/>
          <w:szCs w:val="32"/>
          <w:lang w:eastAsia="zh-CN"/>
        </w:rPr>
        <w:t>、县商务局、</w:t>
      </w:r>
      <w:r>
        <w:rPr>
          <w:rFonts w:hint="eastAsia"/>
          <w:sz w:val="32"/>
          <w:szCs w:val="32"/>
        </w:rPr>
        <w:t>事发地高新区管委会等成员单位参加。</w:t>
      </w:r>
    </w:p>
    <w:p w14:paraId="7FFC93E2">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w:t>
      </w:r>
      <w:r>
        <w:rPr>
          <w:rFonts w:hint="eastAsia"/>
          <w:sz w:val="32"/>
          <w:szCs w:val="32"/>
          <w:lang w:eastAsia="zh-CN"/>
        </w:rPr>
        <w:t>为</w:t>
      </w:r>
      <w:r>
        <w:rPr>
          <w:rFonts w:hint="eastAsia"/>
          <w:sz w:val="32"/>
          <w:szCs w:val="32"/>
        </w:rPr>
        <w:t>协助现场指挥部领导协调各工作组的工作，协调征调应急物资、对应急处置有关信息进行汇总、传递和向上级报告。</w:t>
      </w:r>
    </w:p>
    <w:p w14:paraId="426BD2F2">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2</w:t>
      </w:r>
      <w:r>
        <w:rPr>
          <w:rFonts w:hint="eastAsia"/>
          <w:sz w:val="32"/>
          <w:szCs w:val="32"/>
          <w:lang w:eastAsia="zh-CN"/>
        </w:rPr>
        <w:t>）</w:t>
      </w:r>
      <w:r>
        <w:rPr>
          <w:rFonts w:hint="eastAsia"/>
          <w:sz w:val="32"/>
          <w:szCs w:val="32"/>
        </w:rPr>
        <w:t>污染处置组：由市生态环境局</w:t>
      </w:r>
      <w:r>
        <w:rPr>
          <w:rFonts w:hint="eastAsia"/>
          <w:sz w:val="32"/>
          <w:szCs w:val="32"/>
          <w:lang w:eastAsia="zh-CN"/>
        </w:rPr>
        <w:t>炎陵</w:t>
      </w:r>
      <w:r>
        <w:rPr>
          <w:rFonts w:hint="eastAsia"/>
          <w:sz w:val="32"/>
          <w:szCs w:val="32"/>
        </w:rPr>
        <w:t>分局牵头，</w:t>
      </w:r>
      <w:r>
        <w:rPr>
          <w:rFonts w:hint="eastAsia"/>
          <w:sz w:val="32"/>
          <w:szCs w:val="32"/>
          <w:lang w:eastAsia="zh-CN"/>
        </w:rPr>
        <w:t>县</w:t>
      </w:r>
      <w:r>
        <w:rPr>
          <w:rFonts w:hint="eastAsia"/>
          <w:sz w:val="32"/>
          <w:szCs w:val="32"/>
        </w:rPr>
        <w:t>公安局、县交警大队</w:t>
      </w:r>
      <w:r>
        <w:rPr>
          <w:rFonts w:hint="eastAsia"/>
          <w:sz w:val="32"/>
          <w:szCs w:val="32"/>
          <w:lang w:eastAsia="zh-CN"/>
        </w:rPr>
        <w:t>、县城市管理和综合执法局</w:t>
      </w:r>
      <w:r>
        <w:rPr>
          <w:rFonts w:hint="eastAsia"/>
          <w:sz w:val="32"/>
          <w:szCs w:val="32"/>
        </w:rPr>
        <w:t>、县水利局、县消防救援大队</w:t>
      </w:r>
      <w:r>
        <w:rPr>
          <w:rFonts w:hint="eastAsia"/>
          <w:sz w:val="32"/>
          <w:szCs w:val="32"/>
          <w:lang w:eastAsia="zh-CN"/>
        </w:rPr>
        <w:t>、县自然资源局、县交通运输局、县农业农村局、县林业局</w:t>
      </w:r>
      <w:r>
        <w:rPr>
          <w:rFonts w:hint="eastAsia"/>
          <w:sz w:val="32"/>
          <w:szCs w:val="32"/>
        </w:rPr>
        <w:t>等成员单位参加。</w:t>
      </w:r>
    </w:p>
    <w:p w14:paraId="5DEA0A03">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w:t>
      </w:r>
      <w:r>
        <w:rPr>
          <w:rFonts w:hint="eastAsia"/>
          <w:sz w:val="32"/>
          <w:szCs w:val="32"/>
          <w:lang w:eastAsia="zh-CN"/>
        </w:rPr>
        <w:t>为</w:t>
      </w:r>
      <w:r>
        <w:rPr>
          <w:rFonts w:hint="eastAsia"/>
          <w:sz w:val="32"/>
          <w:szCs w:val="32"/>
        </w:rPr>
        <w:t>组织突发环境事件调查，收集汇总相关数据，组织进行技术研判，开展事态分析；迅速组织切断污染源，分析污染途径，明确防止污染物扩散的程序；组织采取有效措施，消除或减轻已经造成的污染；明确不同情况下的现场处置人员须采取的个人防护措施；组织建立现场警戒区和交通管制区域，确定重点防护区域，确定受威胁人员疏散的方式和途径，疏散转移受威胁人员至安全紧急避险场所。</w:t>
      </w:r>
    </w:p>
    <w:p w14:paraId="60FF0E6E">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3</w:t>
      </w:r>
      <w:r>
        <w:rPr>
          <w:rFonts w:hint="eastAsia"/>
          <w:sz w:val="32"/>
          <w:szCs w:val="32"/>
          <w:lang w:eastAsia="zh-CN"/>
        </w:rPr>
        <w:t>）</w:t>
      </w:r>
      <w:r>
        <w:rPr>
          <w:rFonts w:hint="eastAsia"/>
          <w:sz w:val="32"/>
          <w:szCs w:val="32"/>
        </w:rPr>
        <w:t>应急监测组：由市生态环境局</w:t>
      </w:r>
      <w:r>
        <w:rPr>
          <w:rFonts w:hint="eastAsia"/>
          <w:sz w:val="32"/>
          <w:szCs w:val="32"/>
          <w:lang w:eastAsia="zh-CN"/>
        </w:rPr>
        <w:t>炎陵</w:t>
      </w:r>
      <w:r>
        <w:rPr>
          <w:rFonts w:hint="eastAsia"/>
          <w:sz w:val="32"/>
          <w:szCs w:val="32"/>
        </w:rPr>
        <w:t>分局牵头，县水利局、县气象局等成员单位参加。</w:t>
      </w:r>
    </w:p>
    <w:p w14:paraId="086D85E8">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主要职责：根据上级气象局和上级水文监测站提供的气象、</w:t>
      </w:r>
      <w:r>
        <w:rPr>
          <w:rFonts w:hint="eastAsia"/>
          <w:sz w:val="32"/>
          <w:szCs w:val="32"/>
          <w:lang w:eastAsia="zh-CN"/>
        </w:rPr>
        <w:t>河流</w:t>
      </w:r>
      <w:r>
        <w:rPr>
          <w:rFonts w:hint="eastAsia"/>
          <w:sz w:val="32"/>
          <w:szCs w:val="32"/>
        </w:rPr>
        <w:t>等水体水文信息，以及突发环境事件的污染物种类、性质以及当地自然、社会环境状况等，制定相应的应急监测方案及监测方法，开展大气、水体、土壤等应急监测；预测污染物扩散路径、范围，为突发环境事件应急处置决策提供技术依据。会同专家组确定污染程度、范围、污染扩散趋势和可能产生的影响。</w:t>
      </w:r>
    </w:p>
    <w:p w14:paraId="105900E6">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4</w:t>
      </w:r>
      <w:r>
        <w:rPr>
          <w:rFonts w:hint="eastAsia"/>
          <w:sz w:val="32"/>
          <w:szCs w:val="32"/>
          <w:lang w:eastAsia="zh-CN"/>
        </w:rPr>
        <w:t>）</w:t>
      </w:r>
      <w:r>
        <w:rPr>
          <w:rFonts w:hint="eastAsia"/>
          <w:sz w:val="32"/>
          <w:szCs w:val="32"/>
        </w:rPr>
        <w:t>专家组：突发环境事件应急指挥部设立突发环境事件专家组，由有关科研机构和单位的专家（应急专家库内的专家）组成。</w:t>
      </w:r>
    </w:p>
    <w:p w14:paraId="37DEAA3D">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专家组应迅速对事件信息进行分析、评估，提出应急处置方案和建议，供现场应急指挥部领导决策。根据事件进展情况和形势动态，提出相应的对策和意见；对突发环境事件的危害范围、发展趋势作出科学预测；参与污染程度、危害范围、事件等级的判定，为污染区域的隔离与解禁、人员撤离与返回等重大防护措施的决策提供技术依据；指导应急处置行动；指导对环境应急工作的评价，进行事件的中长期环境影响评估。</w:t>
      </w:r>
    </w:p>
    <w:p w14:paraId="3CBA0381">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5</w:t>
      </w:r>
      <w:r>
        <w:rPr>
          <w:rFonts w:hint="eastAsia"/>
          <w:sz w:val="32"/>
          <w:szCs w:val="32"/>
          <w:lang w:eastAsia="zh-CN"/>
        </w:rPr>
        <w:t>）</w:t>
      </w:r>
      <w:r>
        <w:rPr>
          <w:rFonts w:hint="eastAsia"/>
          <w:sz w:val="32"/>
          <w:szCs w:val="32"/>
        </w:rPr>
        <w:t>医疗救护组：由县卫生健康局牵头，县应急管理局、市生态环境局</w:t>
      </w:r>
      <w:r>
        <w:rPr>
          <w:rFonts w:hint="eastAsia"/>
          <w:sz w:val="32"/>
          <w:szCs w:val="32"/>
          <w:lang w:eastAsia="zh-CN"/>
        </w:rPr>
        <w:t>炎陵</w:t>
      </w:r>
      <w:r>
        <w:rPr>
          <w:rFonts w:hint="eastAsia"/>
          <w:sz w:val="32"/>
          <w:szCs w:val="32"/>
        </w:rPr>
        <w:t>分局</w:t>
      </w:r>
      <w:r>
        <w:rPr>
          <w:rFonts w:hint="eastAsia"/>
          <w:sz w:val="32"/>
          <w:szCs w:val="32"/>
          <w:lang w:eastAsia="zh-CN"/>
        </w:rPr>
        <w:t>、县市场监督管理局</w:t>
      </w:r>
      <w:r>
        <w:rPr>
          <w:rFonts w:hint="eastAsia"/>
          <w:sz w:val="32"/>
          <w:szCs w:val="32"/>
        </w:rPr>
        <w:t>等成员单位参加。</w:t>
      </w:r>
    </w:p>
    <w:p w14:paraId="7AC925C3">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　</w:t>
      </w:r>
      <w:r>
        <w:rPr>
          <w:rFonts w:hint="eastAsia"/>
          <w:sz w:val="32"/>
          <w:szCs w:val="32"/>
        </w:rPr>
        <w:t>主要职责：组织开展伤病员医疗救治、应急心理援助；指导和协助开展受污染人员的去污洗消工作；提出保护公众健康的措施建议；禁止或限制受污染食品和饮用水的生产、加工、流通和食用，防范因突发环境事件造成集体中毒等。</w:t>
      </w:r>
    </w:p>
    <w:p w14:paraId="22ADD8D9">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6</w:t>
      </w:r>
      <w:r>
        <w:rPr>
          <w:rFonts w:hint="eastAsia"/>
          <w:sz w:val="32"/>
          <w:szCs w:val="32"/>
          <w:lang w:eastAsia="zh-CN"/>
        </w:rPr>
        <w:t>）</w:t>
      </w:r>
      <w:r>
        <w:rPr>
          <w:rFonts w:hint="eastAsia"/>
          <w:sz w:val="32"/>
          <w:szCs w:val="32"/>
        </w:rPr>
        <w:t>应急保障组：由</w:t>
      </w:r>
      <w:r>
        <w:rPr>
          <w:rFonts w:hint="eastAsia"/>
          <w:sz w:val="32"/>
          <w:szCs w:val="32"/>
          <w:lang w:eastAsia="zh-CN"/>
        </w:rPr>
        <w:t>县</w:t>
      </w:r>
      <w:r>
        <w:rPr>
          <w:rFonts w:hint="eastAsia"/>
          <w:sz w:val="32"/>
          <w:szCs w:val="32"/>
        </w:rPr>
        <w:t>应急管理局牵头，</w:t>
      </w:r>
      <w:r>
        <w:rPr>
          <w:rFonts w:hint="eastAsia"/>
          <w:sz w:val="32"/>
          <w:szCs w:val="32"/>
          <w:lang w:eastAsia="zh-CN"/>
        </w:rPr>
        <w:t>县</w:t>
      </w:r>
      <w:r>
        <w:rPr>
          <w:rFonts w:hint="eastAsia"/>
          <w:sz w:val="32"/>
          <w:szCs w:val="32"/>
        </w:rPr>
        <w:t>发展和改革局、</w:t>
      </w:r>
      <w:r>
        <w:rPr>
          <w:rFonts w:hint="eastAsia"/>
          <w:sz w:val="32"/>
          <w:szCs w:val="32"/>
          <w:lang w:eastAsia="zh-CN"/>
        </w:rPr>
        <w:t>县</w:t>
      </w:r>
      <w:r>
        <w:rPr>
          <w:rFonts w:hint="eastAsia"/>
          <w:sz w:val="32"/>
          <w:szCs w:val="32"/>
        </w:rPr>
        <w:t>公安局、</w:t>
      </w:r>
      <w:r>
        <w:rPr>
          <w:rFonts w:hint="eastAsia"/>
          <w:sz w:val="32"/>
          <w:szCs w:val="32"/>
          <w:lang w:eastAsia="zh-CN"/>
        </w:rPr>
        <w:t>县</w:t>
      </w:r>
      <w:r>
        <w:rPr>
          <w:rFonts w:hint="eastAsia"/>
          <w:sz w:val="32"/>
          <w:szCs w:val="32"/>
        </w:rPr>
        <w:t>财政局、</w:t>
      </w:r>
      <w:r>
        <w:rPr>
          <w:rFonts w:hint="eastAsia"/>
          <w:sz w:val="32"/>
          <w:szCs w:val="32"/>
          <w:lang w:eastAsia="zh-CN"/>
        </w:rPr>
        <w:t>县住房和城乡建设局</w:t>
      </w:r>
      <w:r>
        <w:rPr>
          <w:rFonts w:hint="eastAsia"/>
          <w:sz w:val="32"/>
          <w:szCs w:val="32"/>
        </w:rPr>
        <w:t>、县城市管理和综合执法局</w:t>
      </w:r>
      <w:r>
        <w:rPr>
          <w:rFonts w:hint="eastAsia"/>
          <w:sz w:val="32"/>
          <w:szCs w:val="32"/>
          <w:lang w:eastAsia="zh-CN"/>
        </w:rPr>
        <w:t>、县市场监督管理局、县民政局</w:t>
      </w:r>
      <w:r>
        <w:rPr>
          <w:rFonts w:hint="eastAsia"/>
          <w:sz w:val="32"/>
          <w:szCs w:val="32"/>
        </w:rPr>
        <w:t>等成员单位参加。</w:t>
      </w:r>
    </w:p>
    <w:p w14:paraId="5DD24896">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主要职责：指导做好事件影响区域有关人员的紧急转移和临时安置工作； 组织做好环境应急救援物资及临时安置重要物资的紧急生产、储备调拨和紧急配送工作；及时组织调运重要生活必需品，保障群众基本生活和市场供应。</w:t>
      </w:r>
    </w:p>
    <w:p w14:paraId="76BD6C27">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7</w:t>
      </w:r>
      <w:r>
        <w:rPr>
          <w:rFonts w:hint="eastAsia"/>
          <w:sz w:val="32"/>
          <w:szCs w:val="32"/>
          <w:lang w:eastAsia="zh-CN"/>
        </w:rPr>
        <w:t>）</w:t>
      </w:r>
      <w:r>
        <w:rPr>
          <w:rFonts w:hint="eastAsia"/>
          <w:sz w:val="32"/>
          <w:szCs w:val="32"/>
        </w:rPr>
        <w:t>新闻宣传组：由县委宣传部和县人民政府办公室共同牵头，市生态环境局</w:t>
      </w:r>
      <w:r>
        <w:rPr>
          <w:rFonts w:hint="eastAsia"/>
          <w:sz w:val="32"/>
          <w:szCs w:val="32"/>
          <w:lang w:eastAsia="zh-CN"/>
        </w:rPr>
        <w:t>炎陵</w:t>
      </w:r>
      <w:r>
        <w:rPr>
          <w:rFonts w:hint="eastAsia"/>
          <w:sz w:val="32"/>
          <w:szCs w:val="32"/>
        </w:rPr>
        <w:t>分局、</w:t>
      </w:r>
      <w:r>
        <w:rPr>
          <w:rFonts w:hint="eastAsia"/>
          <w:sz w:val="32"/>
          <w:szCs w:val="32"/>
          <w:lang w:eastAsia="zh-CN"/>
        </w:rPr>
        <w:t>县</w:t>
      </w:r>
      <w:r>
        <w:rPr>
          <w:rFonts w:hint="eastAsia"/>
          <w:sz w:val="32"/>
          <w:szCs w:val="32"/>
        </w:rPr>
        <w:t>应急管理局、县水利局等成员单位参加。</w:t>
      </w:r>
    </w:p>
    <w:p w14:paraId="79F7F7FE">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组织开展事件进展、应急工作情况等权威信息发布，加强新闻宣传报道；收集分析国内外舆情和社会公众动态，加强媒体、电信和互联网管理，正确引导舆论；通过多种方式，通俗、权威、全面、前瞻地做好相关知识 普及；及时澄清不实信息，回应社会关切。</w:t>
      </w:r>
    </w:p>
    <w:p w14:paraId="0376E699">
      <w:pPr>
        <w:pStyle w:val="6"/>
        <w:keepNext w:val="0"/>
        <w:keepLines w:val="0"/>
        <w:pageBreakBefore w:val="0"/>
        <w:widowControl/>
        <w:numPr>
          <w:ilvl w:val="0"/>
          <w:numId w:val="1"/>
        </w:numPr>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社会稳定组：由</w:t>
      </w:r>
      <w:r>
        <w:rPr>
          <w:rFonts w:hint="eastAsia"/>
          <w:sz w:val="32"/>
          <w:szCs w:val="32"/>
          <w:lang w:eastAsia="zh-CN"/>
        </w:rPr>
        <w:t>县</w:t>
      </w:r>
      <w:r>
        <w:rPr>
          <w:rFonts w:hint="eastAsia"/>
          <w:sz w:val="32"/>
          <w:szCs w:val="32"/>
        </w:rPr>
        <w:t>公安局牵头，县委宣传部、</w:t>
      </w:r>
      <w:r>
        <w:rPr>
          <w:rFonts w:hint="eastAsia"/>
          <w:sz w:val="32"/>
          <w:szCs w:val="32"/>
          <w:lang w:eastAsia="zh-CN"/>
        </w:rPr>
        <w:t>县</w:t>
      </w:r>
      <w:r>
        <w:rPr>
          <w:rFonts w:hint="eastAsia"/>
          <w:sz w:val="32"/>
          <w:szCs w:val="32"/>
        </w:rPr>
        <w:t>应急管理局、事发地</w:t>
      </w:r>
      <w:r>
        <w:rPr>
          <w:rFonts w:hint="eastAsia"/>
          <w:sz w:val="32"/>
          <w:szCs w:val="32"/>
          <w:lang w:eastAsia="zh-CN"/>
        </w:rPr>
        <w:t>高新区</w:t>
      </w:r>
      <w:r>
        <w:rPr>
          <w:rFonts w:hint="eastAsia"/>
          <w:sz w:val="32"/>
          <w:szCs w:val="32"/>
        </w:rPr>
        <w:t>管委会、</w:t>
      </w:r>
      <w:r>
        <w:rPr>
          <w:rFonts w:hint="eastAsia"/>
          <w:sz w:val="32"/>
          <w:szCs w:val="32"/>
          <w:lang w:eastAsia="zh-CN"/>
        </w:rPr>
        <w:t>各乡镇人民政府</w:t>
      </w:r>
      <w:r>
        <w:rPr>
          <w:rFonts w:hint="eastAsia"/>
          <w:sz w:val="32"/>
          <w:szCs w:val="32"/>
        </w:rPr>
        <w:t>等参加。</w:t>
      </w:r>
    </w:p>
    <w:p w14:paraId="1ECCDBEB">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ind w:right="471" w:rightChars="0"/>
        <w:jc w:val="both"/>
        <w:textAlignment w:val="baseline"/>
        <w:rPr>
          <w:rFonts w:hint="eastAsia"/>
          <w:sz w:val="32"/>
          <w:szCs w:val="32"/>
        </w:rPr>
      </w:pPr>
      <w:r>
        <w:rPr>
          <w:rFonts w:hint="eastAsia"/>
          <w:sz w:val="32"/>
          <w:szCs w:val="32"/>
          <w:lang w:eastAsia="zh-CN"/>
        </w:rPr>
        <w:t>　　</w:t>
      </w:r>
      <w:r>
        <w:rPr>
          <w:rFonts w:hint="eastAsia"/>
          <w:sz w:val="32"/>
          <w:szCs w:val="32"/>
        </w:rPr>
        <w:t>主要职责：加强受影响地区社会治安管理，严厉打击借机传播谣言制造社 会恐慌、哄抢物资等违法犯罪行为</w:t>
      </w:r>
      <w:r>
        <w:rPr>
          <w:rFonts w:hint="eastAsia"/>
          <w:sz w:val="32"/>
          <w:szCs w:val="32"/>
          <w:lang w:eastAsia="zh-CN"/>
        </w:rPr>
        <w:t>；</w:t>
      </w:r>
      <w:r>
        <w:rPr>
          <w:rFonts w:hint="eastAsia"/>
          <w:sz w:val="32"/>
          <w:szCs w:val="32"/>
        </w:rPr>
        <w:t>加强转移人员安置点、救灾物资存放点等重 点地区治安管控；做好受影响人员与涉事单位及有关部门矛盾纠纷化解和法律 服务工作，防止出现群体性事件，维护社会稳定；加强对重要生活必需品等商 品的市场监管和调控，打击囤积行为。</w:t>
      </w:r>
    </w:p>
    <w:p w14:paraId="33EDE1F8">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w:t>
      </w:r>
      <w:r>
        <w:rPr>
          <w:rFonts w:hint="eastAsia"/>
          <w:sz w:val="32"/>
          <w:szCs w:val="32"/>
          <w:lang w:val="en-US" w:eastAsia="zh-CN"/>
        </w:rPr>
        <w:t>9</w:t>
      </w:r>
      <w:r>
        <w:rPr>
          <w:rFonts w:hint="eastAsia"/>
          <w:sz w:val="32"/>
          <w:szCs w:val="32"/>
          <w:lang w:eastAsia="zh-CN"/>
        </w:rPr>
        <w:t>）</w:t>
      </w:r>
      <w:r>
        <w:rPr>
          <w:rFonts w:hint="eastAsia"/>
          <w:sz w:val="32"/>
          <w:szCs w:val="32"/>
        </w:rPr>
        <w:t>舆情处置组：由县人民政府办公室和市生态环境局</w:t>
      </w:r>
      <w:r>
        <w:rPr>
          <w:rFonts w:hint="eastAsia"/>
          <w:sz w:val="32"/>
          <w:szCs w:val="32"/>
          <w:lang w:eastAsia="zh-CN"/>
        </w:rPr>
        <w:t>炎陵</w:t>
      </w:r>
      <w:r>
        <w:rPr>
          <w:rFonts w:hint="eastAsia"/>
          <w:sz w:val="32"/>
          <w:szCs w:val="32"/>
        </w:rPr>
        <w:t>分局共同牵头，县委宣传部、事发地</w:t>
      </w:r>
      <w:r>
        <w:rPr>
          <w:rFonts w:hint="eastAsia"/>
          <w:sz w:val="32"/>
          <w:szCs w:val="32"/>
          <w:lang w:eastAsia="zh-CN"/>
        </w:rPr>
        <w:t>高新区</w:t>
      </w:r>
      <w:r>
        <w:rPr>
          <w:rFonts w:hint="eastAsia"/>
          <w:sz w:val="32"/>
          <w:szCs w:val="32"/>
        </w:rPr>
        <w:t>管委会等参加。</w:t>
      </w:r>
    </w:p>
    <w:p w14:paraId="21F5FC5F">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rPr>
        <w:t>主要职责：当涉及环境突发事件发生时，密切关注网络舆情发展趋势，制定网络舆情处置方案，对网络舆情进行监控和积极的引导。当网络舆情发生后做到及时发现、及时报告、及时办理，在第一时间发布准确、权威信息，稳定公众情绪，最大限度地避免或减少公众猜测和新闻媒体的不准确报道。</w:t>
      </w:r>
    </w:p>
    <w:p w14:paraId="159A5706">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r>
        <w:rPr>
          <w:rFonts w:hint="eastAsia"/>
          <w:sz w:val="32"/>
          <w:szCs w:val="32"/>
        </w:rPr>
        <w:t>工作组设置、组成和职责可根据</w:t>
      </w:r>
      <w:r>
        <w:rPr>
          <w:rFonts w:hint="eastAsia"/>
          <w:sz w:val="32"/>
          <w:szCs w:val="32"/>
          <w:lang w:eastAsia="zh-CN"/>
        </w:rPr>
        <w:t>工作</w:t>
      </w:r>
      <w:r>
        <w:rPr>
          <w:rFonts w:hint="eastAsia"/>
          <w:sz w:val="32"/>
          <w:szCs w:val="32"/>
        </w:rPr>
        <w:t>需要做适当调整</w:t>
      </w:r>
      <w:r>
        <w:rPr>
          <w:rFonts w:hint="eastAsia"/>
          <w:sz w:val="32"/>
          <w:szCs w:val="32"/>
          <w:lang w:eastAsia="zh-CN"/>
        </w:rPr>
        <w:t>。</w:t>
      </w:r>
    </w:p>
    <w:p w14:paraId="69E0DC69">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07AB8864">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62472BFC">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71488EE6">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2E54CCEF">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0B2B130D">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6915D1EC">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7D4D4FF7">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4B88FDE9">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lang w:eastAsia="zh-CN"/>
        </w:rPr>
      </w:pPr>
    </w:p>
    <w:p w14:paraId="60F686DC">
      <w:pPr>
        <w:pStyle w:val="6"/>
        <w:keepNext w:val="0"/>
        <w:keepLines w:val="0"/>
        <w:pageBreakBefore w:val="0"/>
        <w:widowControl/>
        <w:kinsoku w:val="0"/>
        <w:wordWrap/>
        <w:overflowPunct/>
        <w:topLinePunct w:val="0"/>
        <w:autoSpaceDE w:val="0"/>
        <w:autoSpaceDN w:val="0"/>
        <w:bidi w:val="0"/>
        <w:adjustRightInd w:val="0"/>
        <w:snapToGrid w:val="0"/>
        <w:spacing w:line="580" w:lineRule="exact"/>
        <w:ind w:right="471" w:firstLine="482"/>
        <w:jc w:val="both"/>
        <w:textAlignment w:val="baseline"/>
        <w:rPr>
          <w:rFonts w:hint="eastAsia"/>
          <w:sz w:val="32"/>
          <w:szCs w:val="32"/>
        </w:rPr>
      </w:pPr>
      <w:r>
        <w:rPr>
          <w:rFonts w:hint="eastAsia"/>
          <w:sz w:val="32"/>
          <w:szCs w:val="32"/>
          <w:lang w:eastAsia="zh-CN"/>
        </w:rPr>
        <w:t>　</w:t>
      </w:r>
    </w:p>
    <w:p w14:paraId="3D29F5A9">
      <w:pPr>
        <w:widowControl w:val="0"/>
        <w:kinsoku/>
        <w:autoSpaceDE/>
        <w:autoSpaceDN/>
        <w:spacing w:line="580" w:lineRule="exact"/>
        <w:jc w:val="both"/>
        <w:textAlignment w:val="auto"/>
        <w:outlineLvl w:val="0"/>
        <w:rPr>
          <w:rFonts w:ascii="Times New Roman" w:hAnsi="Times New Roman" w:eastAsia="黑体" w:cs="Times New Roman"/>
          <w:b/>
          <w:snapToGrid/>
          <w:color w:val="auto"/>
          <w:sz w:val="36"/>
          <w:szCs w:val="36"/>
          <w:lang w:eastAsia="zh-CN"/>
        </w:rPr>
      </w:pPr>
      <w:bookmarkStart w:id="50" w:name="_Toc31869"/>
      <w:r>
        <w:rPr>
          <w:rFonts w:ascii="Times New Roman" w:hAnsi="Times New Roman" w:eastAsia="黑体" w:cs="Times New Roman"/>
          <w:b/>
          <w:snapToGrid/>
          <w:color w:val="auto"/>
          <w:sz w:val="36"/>
          <w:szCs w:val="36"/>
          <w:lang w:eastAsia="zh-CN"/>
        </w:rPr>
        <w:t xml:space="preserve">3  </w:t>
      </w:r>
      <w:r>
        <w:rPr>
          <w:rFonts w:hint="eastAsia" w:ascii="Times New Roman" w:hAnsi="Times New Roman" w:eastAsia="黑体" w:cs="Times New Roman"/>
          <w:b/>
          <w:snapToGrid/>
          <w:color w:val="auto"/>
          <w:sz w:val="36"/>
          <w:szCs w:val="36"/>
          <w:lang w:eastAsia="zh-CN"/>
        </w:rPr>
        <w:t>预防</w:t>
      </w:r>
      <w:r>
        <w:rPr>
          <w:rFonts w:ascii="Times New Roman" w:hAnsi="Times New Roman" w:eastAsia="黑体" w:cs="Times New Roman"/>
          <w:b/>
          <w:snapToGrid/>
          <w:color w:val="auto"/>
          <w:sz w:val="36"/>
          <w:szCs w:val="36"/>
          <w:lang w:eastAsia="zh-CN"/>
        </w:rPr>
        <w:t>预警</w:t>
      </w:r>
      <w:bookmarkEnd w:id="50"/>
    </w:p>
    <w:p w14:paraId="00008DC3">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auto"/>
          <w:kern w:val="2"/>
          <w:sz w:val="32"/>
          <w:szCs w:val="32"/>
          <w:lang w:eastAsia="zh-CN"/>
        </w:rPr>
      </w:pPr>
      <w:bookmarkStart w:id="51" w:name="_Toc1100"/>
      <w:r>
        <w:rPr>
          <w:rFonts w:ascii="Times New Roman" w:hAnsi="Times New Roman" w:eastAsia="黑体" w:cs="Times New Roman"/>
          <w:b/>
          <w:bCs/>
          <w:snapToGrid/>
          <w:color w:val="auto"/>
          <w:kern w:val="2"/>
          <w:sz w:val="32"/>
          <w:szCs w:val="32"/>
          <w:lang w:eastAsia="zh-CN"/>
        </w:rPr>
        <w:t xml:space="preserve">3.1 </w:t>
      </w:r>
      <w:r>
        <w:rPr>
          <w:rFonts w:hint="eastAsia" w:ascii="Times New Roman" w:hAnsi="Times New Roman" w:eastAsia="黑体" w:cs="Times New Roman"/>
          <w:b/>
          <w:bCs/>
          <w:snapToGrid/>
          <w:color w:val="auto"/>
          <w:kern w:val="2"/>
          <w:sz w:val="32"/>
          <w:szCs w:val="32"/>
          <w:lang w:eastAsia="zh-CN"/>
        </w:rPr>
        <w:t>预防、</w:t>
      </w:r>
      <w:r>
        <w:rPr>
          <w:rFonts w:hint="eastAsia" w:ascii="Times New Roman" w:hAnsi="Times New Roman" w:eastAsia="黑体" w:cs="Times New Roman"/>
          <w:b/>
          <w:bCs/>
          <w:snapToGrid/>
          <w:color w:val="auto"/>
          <w:kern w:val="2"/>
          <w:sz w:val="32"/>
          <w:szCs w:val="32"/>
          <w:lang w:eastAsia="zh-CN"/>
        </w:rPr>
        <w:t>监测</w:t>
      </w:r>
      <w:bookmarkEnd w:id="51"/>
    </w:p>
    <w:p w14:paraId="488F10A4">
      <w:pPr>
        <w:keepNext/>
        <w:keepLines/>
        <w:widowControl w:val="0"/>
        <w:kinsoku/>
        <w:autoSpaceDE/>
        <w:autoSpaceDN/>
        <w:adjustRightInd/>
        <w:snapToGrid/>
        <w:spacing w:line="580" w:lineRule="exact"/>
        <w:jc w:val="both"/>
        <w:textAlignment w:val="auto"/>
        <w:outlineLvl w:val="2"/>
        <w:rPr>
          <w:rFonts w:ascii="Times New Roman" w:hAnsi="Times New Roman" w:eastAsia="宋体" w:cs="Times New Roman"/>
          <w:b/>
          <w:bCs/>
          <w:snapToGrid/>
          <w:color w:val="auto"/>
          <w:kern w:val="2"/>
          <w:sz w:val="30"/>
          <w:szCs w:val="32"/>
          <w:lang w:eastAsia="zh-CN"/>
        </w:rPr>
      </w:pPr>
      <w:bookmarkStart w:id="52" w:name="_Toc15417"/>
      <w:bookmarkStart w:id="53" w:name="_Toc15763"/>
      <w:bookmarkStart w:id="54" w:name="_Toc911"/>
      <w:bookmarkStart w:id="55" w:name="_Toc26890804"/>
      <w:r>
        <w:rPr>
          <w:rFonts w:ascii="Times New Roman" w:hAnsi="Times New Roman" w:eastAsia="宋体" w:cs="Times New Roman"/>
          <w:b/>
          <w:bCs/>
          <w:snapToGrid/>
          <w:color w:val="auto"/>
          <w:kern w:val="2"/>
          <w:sz w:val="30"/>
          <w:szCs w:val="32"/>
          <w:lang w:eastAsia="zh-CN"/>
        </w:rPr>
        <w:t>3.1.</w:t>
      </w:r>
      <w:r>
        <w:rPr>
          <w:rFonts w:hint="eastAsia" w:ascii="Times New Roman" w:hAnsi="Times New Roman" w:eastAsia="宋体" w:cs="Times New Roman"/>
          <w:b/>
          <w:bCs/>
          <w:snapToGrid/>
          <w:color w:val="auto"/>
          <w:kern w:val="2"/>
          <w:sz w:val="30"/>
          <w:szCs w:val="32"/>
          <w:lang w:val="en-US" w:eastAsia="zh-CN"/>
        </w:rPr>
        <w:t>1</w:t>
      </w:r>
      <w:r>
        <w:rPr>
          <w:rFonts w:hint="eastAsia" w:ascii="Times New Roman" w:hAnsi="Times New Roman" w:eastAsia="宋体" w:cs="Times New Roman"/>
          <w:b/>
          <w:bCs/>
          <w:snapToGrid/>
          <w:color w:val="auto"/>
          <w:kern w:val="2"/>
          <w:sz w:val="30"/>
          <w:szCs w:val="32"/>
          <w:lang w:eastAsia="zh-CN"/>
        </w:rPr>
        <w:t>预防</w:t>
      </w:r>
      <w:bookmarkEnd w:id="52"/>
    </w:p>
    <w:p w14:paraId="45ABC458">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1）市生态环境局炎陵分局按照产业政策和规划环评等要求，严格控制高环境风险项目的审批工作；按本级政府要求组织开展区域环境风险评估，分析区域环境风险管理的薄弱环节，提高区域环境风险防范能力；督促企业依据《企业突发环境事件风险评估指南（试行）》的规定开展环境风险评估，建立环境风险等级台账，实施差异化分级监督管理。</w:t>
      </w:r>
    </w:p>
    <w:p w14:paraId="2971F580">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2</w:t>
      </w:r>
      <w:r>
        <w:rPr>
          <w:rFonts w:hint="eastAsia" w:ascii="Times New Roman" w:hAnsi="Times New Roman" w:eastAsia="仿宋_GB2312" w:cs="Times New Roman"/>
          <w:snapToGrid/>
          <w:color w:val="auto"/>
          <w:kern w:val="2"/>
          <w:sz w:val="32"/>
          <w:szCs w:val="32"/>
          <w:lang w:eastAsia="zh-CN"/>
        </w:rPr>
        <w:t>）市生态环境局炎陵分局应加强对辖区企业环境安全监督管理，督促企业事业单位加强环境风险管控，组织或委托第三方专业机构开展环境安全隐患排查治理，排查治理并消除环境安全隐患。</w:t>
      </w:r>
    </w:p>
    <w:p w14:paraId="71D41CF4">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3</w:t>
      </w:r>
      <w:r>
        <w:rPr>
          <w:rFonts w:hint="eastAsia" w:ascii="Times New Roman" w:hAnsi="Times New Roman" w:eastAsia="仿宋_GB2312" w:cs="Times New Roman"/>
          <w:snapToGrid/>
          <w:color w:val="auto"/>
          <w:kern w:val="2"/>
          <w:sz w:val="32"/>
          <w:szCs w:val="32"/>
          <w:lang w:eastAsia="zh-CN"/>
        </w:rPr>
        <w:t>）县应急管理局对危险化学品生产、经营、储存、使用单位依法实施安全监督管理，及时将接报和核实的环境污染相关事故信息通报市生态环境局炎陵分局。</w:t>
      </w:r>
    </w:p>
    <w:p w14:paraId="3B5502FA">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4</w:t>
      </w:r>
      <w:r>
        <w:rPr>
          <w:rFonts w:hint="eastAsia" w:ascii="Times New Roman" w:hAnsi="Times New Roman" w:eastAsia="仿宋_GB2312" w:cs="Times New Roman"/>
          <w:snapToGrid/>
          <w:color w:val="auto"/>
          <w:kern w:val="2"/>
          <w:sz w:val="32"/>
          <w:szCs w:val="32"/>
          <w:lang w:eastAsia="zh-CN"/>
        </w:rPr>
        <w:t>）县交通运输局对危险物品运输单位加大安全监督力度，督促危险物品运输单位加强运输过程的风险管理，及时将导致或可能导致环境污染的相关交通事故信息通报市生态环境局。</w:t>
      </w:r>
    </w:p>
    <w:p w14:paraId="5936D413">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5</w:t>
      </w:r>
      <w:r>
        <w:rPr>
          <w:rFonts w:hint="eastAsia" w:ascii="Times New Roman" w:hAnsi="Times New Roman" w:eastAsia="仿宋_GB2312" w:cs="Times New Roman"/>
          <w:snapToGrid/>
          <w:color w:val="auto"/>
          <w:kern w:val="2"/>
          <w:sz w:val="32"/>
          <w:szCs w:val="32"/>
          <w:lang w:eastAsia="zh-CN"/>
        </w:rPr>
        <w:t>）县公安局依法加强剧毒化学品的安全管理，及时将导致或可能导致环境污染的剧毒品事故信息通报市生态环境局炎陵分局。</w:t>
      </w:r>
    </w:p>
    <w:p w14:paraId="3763500A">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6</w:t>
      </w:r>
      <w:r>
        <w:rPr>
          <w:rFonts w:hint="eastAsia" w:ascii="Times New Roman" w:hAnsi="Times New Roman" w:eastAsia="仿宋_GB2312" w:cs="Times New Roman"/>
          <w:snapToGrid/>
          <w:color w:val="auto"/>
          <w:kern w:val="2"/>
          <w:sz w:val="32"/>
          <w:szCs w:val="32"/>
          <w:lang w:eastAsia="zh-CN"/>
        </w:rPr>
        <w:t>）县公安交警部门依法加强剧毒、易燃、易爆危险物品运输车辆行驶路线的许可管理，依法查处危险物品运输车辆的道路交通违法行为，将涉及环境污染的相关交通事故信息通报市生态环境局。</w:t>
      </w:r>
    </w:p>
    <w:p w14:paraId="7C52DDAB">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7</w:t>
      </w:r>
      <w:r>
        <w:rPr>
          <w:rFonts w:hint="eastAsia" w:ascii="Times New Roman" w:hAnsi="Times New Roman" w:eastAsia="仿宋_GB2312" w:cs="Times New Roman"/>
          <w:snapToGrid/>
          <w:color w:val="auto"/>
          <w:kern w:val="2"/>
          <w:sz w:val="32"/>
          <w:szCs w:val="32"/>
          <w:lang w:eastAsia="zh-CN"/>
        </w:rPr>
        <w:t>）县住房和城乡建设局加强城镇燃气安全监督管理，及时组织排查并处理燃气泄漏事故隐患。</w:t>
      </w:r>
    </w:p>
    <w:p w14:paraId="7E1B5890">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8</w:t>
      </w:r>
      <w:r>
        <w:rPr>
          <w:rFonts w:hint="eastAsia" w:ascii="Times New Roman" w:hAnsi="Times New Roman" w:eastAsia="仿宋_GB2312" w:cs="Times New Roman"/>
          <w:snapToGrid/>
          <w:color w:val="auto"/>
          <w:kern w:val="2"/>
          <w:sz w:val="32"/>
          <w:szCs w:val="32"/>
          <w:lang w:eastAsia="zh-CN"/>
        </w:rPr>
        <w:t>）县住房和城乡建设局、县水利局督促城市污水处理企业和集中式饮用水源保护区管理单位开展突发环境事件隐患排查和采取治理措施，消除或降低环境风险，及时将水环境污染事件信息通报市生态环境局炎陵分局；突发饮用水源地污染事件时，组织实施应急处置和供水资源调配，确保城市供水安全。</w:t>
      </w:r>
    </w:p>
    <w:p w14:paraId="64CAFEEC">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9</w:t>
      </w:r>
      <w:r>
        <w:rPr>
          <w:rFonts w:hint="eastAsia" w:ascii="Times New Roman" w:hAnsi="Times New Roman" w:eastAsia="仿宋_GB2312" w:cs="Times New Roman"/>
          <w:snapToGrid/>
          <w:color w:val="auto"/>
          <w:kern w:val="2"/>
          <w:sz w:val="32"/>
          <w:szCs w:val="32"/>
          <w:lang w:eastAsia="zh-CN"/>
        </w:rPr>
        <w:t>）县域内企业应当建立环境安全责任制，建立健全环境安全风险分级管控和隐患排查治理机制，将污染防治设施的安全管理纳入安全生产管理体系；重点企业或高风险企业应按企业突发环境事件应急预案管理办法要求开展企业突发环境事件应急预案编制工作、定期修编，并送至株洲市生态环境局炎陵分局备案。</w:t>
      </w:r>
    </w:p>
    <w:p w14:paraId="241CAEC8">
      <w:pPr>
        <w:keepNext/>
        <w:keepLines/>
        <w:widowControl w:val="0"/>
        <w:kinsoku/>
        <w:autoSpaceDE/>
        <w:autoSpaceDN/>
        <w:adjustRightInd/>
        <w:snapToGrid/>
        <w:spacing w:line="580" w:lineRule="exact"/>
        <w:jc w:val="both"/>
        <w:textAlignment w:val="auto"/>
        <w:outlineLvl w:val="2"/>
        <w:rPr>
          <w:rFonts w:ascii="Times New Roman" w:hAnsi="Times New Roman" w:eastAsia="宋体" w:cs="Times New Roman"/>
          <w:b/>
          <w:bCs/>
          <w:snapToGrid/>
          <w:color w:val="auto"/>
          <w:kern w:val="2"/>
          <w:sz w:val="30"/>
          <w:szCs w:val="32"/>
          <w:lang w:eastAsia="zh-CN"/>
        </w:rPr>
      </w:pPr>
      <w:bookmarkStart w:id="56" w:name="_Toc13072"/>
      <w:r>
        <w:rPr>
          <w:rFonts w:ascii="Times New Roman" w:hAnsi="Times New Roman" w:eastAsia="宋体" w:cs="Times New Roman"/>
          <w:b/>
          <w:bCs/>
          <w:snapToGrid/>
          <w:color w:val="auto"/>
          <w:kern w:val="2"/>
          <w:sz w:val="30"/>
          <w:szCs w:val="32"/>
          <w:lang w:eastAsia="zh-CN"/>
        </w:rPr>
        <w:t>3.1.</w:t>
      </w:r>
      <w:r>
        <w:rPr>
          <w:rFonts w:hint="eastAsia" w:ascii="Times New Roman" w:hAnsi="Times New Roman" w:eastAsia="宋体" w:cs="Times New Roman"/>
          <w:b/>
          <w:bCs/>
          <w:snapToGrid/>
          <w:color w:val="auto"/>
          <w:kern w:val="2"/>
          <w:sz w:val="30"/>
          <w:szCs w:val="32"/>
          <w:lang w:val="en-US" w:eastAsia="zh-CN"/>
        </w:rPr>
        <w:t>2</w:t>
      </w:r>
      <w:r>
        <w:rPr>
          <w:rFonts w:hint="eastAsia" w:ascii="Times New Roman" w:hAnsi="Times New Roman" w:eastAsia="宋体" w:cs="Times New Roman"/>
          <w:b/>
          <w:bCs/>
          <w:snapToGrid/>
          <w:color w:val="auto"/>
          <w:kern w:val="2"/>
          <w:sz w:val="30"/>
          <w:szCs w:val="32"/>
          <w:lang w:eastAsia="zh-CN"/>
        </w:rPr>
        <w:t>监测</w:t>
      </w:r>
      <w:bookmarkEnd w:id="56"/>
    </w:p>
    <w:p w14:paraId="676CDE4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　　（1）市生态环境局炎陵分局应加强环境监测工作，及时发现河流和大气中的异常环境质量数据并跟踪监测分析与报告。</w:t>
      </w:r>
    </w:p>
    <w:p w14:paraId="5C11EBF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（2）市生态环境局炎陵分局建立突发环境事件监测、报告网络体系，加强突发环境事件信息管理，实现互联互通和资源共享。</w:t>
      </w:r>
    </w:p>
    <w:p w14:paraId="65ED563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（3）市生态环境局炎陵分局与同级的公安、消防、交通、水利等部门建立应急联动机制，及时应对突发环境事件。</w:t>
      </w:r>
    </w:p>
    <w:p w14:paraId="7E09F25D">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（4）企业事业单位在发生或可能发生突发环境事件时，应立即向县人民政府和市生态环境局炎陵分局报告相关信息，第一时间采取措施控制事态。　</w:t>
      </w:r>
    </w:p>
    <w:bookmarkEnd w:id="53"/>
    <w:bookmarkEnd w:id="54"/>
    <w:bookmarkEnd w:id="55"/>
    <w:p w14:paraId="6640DF22">
      <w:pPr>
        <w:keepNext/>
        <w:keepLines/>
        <w:widowControl w:val="0"/>
        <w:kinsoku/>
        <w:autoSpaceDE/>
        <w:autoSpaceDN/>
        <w:adjustRightInd/>
        <w:snapToGrid/>
        <w:spacing w:line="580" w:lineRule="exact"/>
        <w:jc w:val="both"/>
        <w:textAlignment w:val="auto"/>
        <w:outlineLvl w:val="1"/>
        <w:rPr>
          <w:rFonts w:ascii="Times New Roman" w:hAnsi="Times New Roman" w:eastAsia="黑体" w:cs="Times New Roman"/>
          <w:b/>
          <w:bCs/>
          <w:snapToGrid/>
          <w:color w:val="auto"/>
          <w:kern w:val="2"/>
          <w:sz w:val="32"/>
          <w:szCs w:val="32"/>
          <w:lang w:eastAsia="zh-CN"/>
        </w:rPr>
      </w:pPr>
      <w:bookmarkStart w:id="57" w:name="_Toc3236"/>
      <w:r>
        <w:rPr>
          <w:rFonts w:ascii="Times New Roman" w:hAnsi="Times New Roman" w:eastAsia="黑体" w:cs="Times New Roman"/>
          <w:b/>
          <w:bCs/>
          <w:snapToGrid/>
          <w:color w:val="auto"/>
          <w:kern w:val="2"/>
          <w:sz w:val="32"/>
          <w:szCs w:val="32"/>
          <w:lang w:eastAsia="zh-CN"/>
        </w:rPr>
        <w:t>3.2 预警</w:t>
      </w:r>
      <w:bookmarkEnd w:id="57"/>
    </w:p>
    <w:p w14:paraId="3CC6BF31">
      <w:pPr>
        <w:keepNext/>
        <w:keepLines/>
        <w:widowControl w:val="0"/>
        <w:kinsoku/>
        <w:autoSpaceDE/>
        <w:autoSpaceDN/>
        <w:adjustRightInd/>
        <w:snapToGrid/>
        <w:spacing w:line="580" w:lineRule="exact"/>
        <w:jc w:val="both"/>
        <w:textAlignment w:val="auto"/>
        <w:outlineLvl w:val="2"/>
        <w:rPr>
          <w:rFonts w:hint="eastAsia" w:ascii="黑体" w:hAnsi="黑体" w:eastAsia="黑体" w:cs="黑体"/>
          <w:b/>
          <w:bCs/>
          <w:snapToGrid/>
          <w:color w:val="auto"/>
          <w:kern w:val="2"/>
          <w:sz w:val="30"/>
          <w:szCs w:val="32"/>
          <w:lang w:eastAsia="zh-CN"/>
        </w:rPr>
      </w:pPr>
      <w:bookmarkStart w:id="58" w:name="_Toc14290"/>
      <w:bookmarkStart w:id="59" w:name="_Toc29505"/>
      <w:bookmarkStart w:id="60" w:name="_Toc21005"/>
      <w:bookmarkStart w:id="61" w:name="_Toc26890807"/>
      <w:r>
        <w:rPr>
          <w:rFonts w:ascii="Times New Roman" w:hAnsi="Times New Roman" w:eastAsia="宋体" w:cs="Times New Roman"/>
          <w:b/>
          <w:bCs/>
          <w:snapToGrid/>
          <w:color w:val="auto"/>
          <w:kern w:val="2"/>
          <w:sz w:val="30"/>
          <w:szCs w:val="32"/>
          <w:lang w:eastAsia="zh-CN"/>
        </w:rPr>
        <w:t xml:space="preserve">3.2.1 </w:t>
      </w:r>
      <w:r>
        <w:rPr>
          <w:rFonts w:hint="eastAsia" w:ascii="黑体" w:hAnsi="黑体" w:eastAsia="黑体" w:cs="黑体"/>
          <w:b/>
          <w:bCs/>
          <w:snapToGrid/>
          <w:color w:val="auto"/>
          <w:kern w:val="2"/>
          <w:sz w:val="30"/>
          <w:szCs w:val="32"/>
          <w:lang w:eastAsia="zh-CN"/>
        </w:rPr>
        <w:t>预警分级</w:t>
      </w:r>
      <w:bookmarkEnd w:id="58"/>
      <w:bookmarkEnd w:id="59"/>
      <w:bookmarkEnd w:id="60"/>
      <w:bookmarkEnd w:id="61"/>
    </w:p>
    <w:p w14:paraId="7726A95B">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按照突发环境事件的紧急程度、发展态势和可能造成的危害程度</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环境事件的预警分为Ⅳ级（一般）、Ⅲ级（较重）、Ⅱ级（严重）和Ⅰ级（特别严重）</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分别用蓝色、黄色、橙色和红色标示。</w:t>
      </w:r>
    </w:p>
    <w:p w14:paraId="3AA9ECDC">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蓝色预警（Ⅳ级）：预计将要发生一般突发环境事件。</w:t>
      </w:r>
    </w:p>
    <w:p w14:paraId="7E9818B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黄色预警（Ⅲ级）：预计将要发生较大突发环境事件。</w:t>
      </w:r>
    </w:p>
    <w:p w14:paraId="4E8430E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橙色预警（Ⅱ级）：预计将要发生重大突发环境事件。</w:t>
      </w:r>
    </w:p>
    <w:p w14:paraId="49B90AF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红色预警（Ⅰ级）：预计将要发生特别重大突发环境事件。</w:t>
      </w:r>
    </w:p>
    <w:p w14:paraId="3BCB5C3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突发环境事件即将发生或发生的可能性增大时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市生态环境局炎陵分局对事件信息进行评估</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必要时召集有关专家会商。会商内容作为确定预警级别和发布预警信息的重要依据。</w:t>
      </w:r>
    </w:p>
    <w:p w14:paraId="0AF3A549">
      <w:pPr>
        <w:widowControl w:val="0"/>
        <w:kinsoku/>
        <w:autoSpaceDE/>
        <w:autoSpaceDN/>
        <w:adjustRightInd/>
        <w:snapToGrid/>
        <w:spacing w:line="580" w:lineRule="exact"/>
        <w:ind w:firstLine="640" w:firstLineChars="200"/>
        <w:jc w:val="both"/>
        <w:textAlignment w:val="auto"/>
        <w:rPr>
          <w:lang w:eastAsia="zh-CN"/>
        </w:rPr>
      </w:pPr>
      <w:r>
        <w:rPr>
          <w:rFonts w:hint="eastAsia" w:ascii="Times New Roman" w:hAnsi="Times New Roman" w:eastAsia="仿宋_GB2312" w:cs="Times New Roman"/>
          <w:snapToGrid/>
          <w:color w:val="auto"/>
          <w:kern w:val="2"/>
          <w:sz w:val="32"/>
          <w:szCs w:val="32"/>
          <w:lang w:eastAsia="zh-CN"/>
        </w:rPr>
        <w:t>根据事态的发展情况和采取措施的效果，预警级别可以升、降或解除。</w:t>
      </w:r>
    </w:p>
    <w:p w14:paraId="608C2564">
      <w:pPr>
        <w:keepNext/>
        <w:keepLines/>
        <w:widowControl w:val="0"/>
        <w:kinsoku/>
        <w:autoSpaceDE/>
        <w:autoSpaceDN/>
        <w:adjustRightInd/>
        <w:snapToGrid/>
        <w:spacing w:line="580" w:lineRule="exact"/>
        <w:jc w:val="both"/>
        <w:textAlignment w:val="auto"/>
        <w:outlineLvl w:val="2"/>
        <w:rPr>
          <w:rFonts w:hint="eastAsia" w:ascii="黑体" w:hAnsi="黑体" w:eastAsia="黑体" w:cs="黑体"/>
          <w:b/>
          <w:bCs/>
          <w:snapToGrid/>
          <w:color w:val="auto"/>
          <w:kern w:val="2"/>
          <w:sz w:val="30"/>
          <w:szCs w:val="32"/>
          <w:lang w:eastAsia="zh-CN"/>
        </w:rPr>
      </w:pPr>
      <w:bookmarkStart w:id="62" w:name="_Toc30047"/>
      <w:bookmarkStart w:id="63" w:name="_Toc30709"/>
      <w:bookmarkStart w:id="64" w:name="_Toc26890808"/>
      <w:bookmarkStart w:id="65" w:name="_Toc26176"/>
      <w:r>
        <w:rPr>
          <w:rFonts w:ascii="Times New Roman" w:hAnsi="Times New Roman" w:eastAsia="宋体" w:cs="Times New Roman"/>
          <w:b/>
          <w:bCs/>
          <w:snapToGrid/>
          <w:color w:val="auto"/>
          <w:kern w:val="2"/>
          <w:sz w:val="30"/>
          <w:szCs w:val="32"/>
          <w:lang w:eastAsia="zh-CN"/>
        </w:rPr>
        <w:t xml:space="preserve">3.2.2 </w:t>
      </w:r>
      <w:r>
        <w:rPr>
          <w:rFonts w:hint="eastAsia" w:ascii="黑体" w:hAnsi="黑体" w:eastAsia="黑体" w:cs="黑体"/>
          <w:b/>
          <w:bCs/>
          <w:snapToGrid/>
          <w:color w:val="auto"/>
          <w:kern w:val="2"/>
          <w:sz w:val="30"/>
          <w:szCs w:val="32"/>
          <w:lang w:eastAsia="zh-CN"/>
        </w:rPr>
        <w:t>预警信息发布</w:t>
      </w:r>
      <w:bookmarkEnd w:id="62"/>
      <w:bookmarkEnd w:id="63"/>
      <w:bookmarkEnd w:id="64"/>
      <w:bookmarkEnd w:id="65"/>
    </w:p>
    <w:p w14:paraId="1BA79D65">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具体发布流程按照《湖南省突发事件预警信息发布管理办法》相关规定执行。</w:t>
      </w:r>
    </w:p>
    <w:p w14:paraId="5313B22E">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县</w:t>
      </w:r>
      <w:r>
        <w:rPr>
          <w:rFonts w:ascii="Times New Roman" w:hAnsi="Times New Roman" w:eastAsia="仿宋_GB2312" w:cs="Times New Roman"/>
          <w:snapToGrid/>
          <w:color w:val="auto"/>
          <w:kern w:val="2"/>
          <w:sz w:val="32"/>
          <w:szCs w:val="32"/>
          <w:lang w:eastAsia="zh-CN"/>
        </w:rPr>
        <w:t>生态环境</w:t>
      </w:r>
      <w:r>
        <w:rPr>
          <w:rFonts w:hint="eastAsia" w:ascii="Times New Roman" w:hAnsi="Times New Roman" w:eastAsia="仿宋_GB2312" w:cs="Times New Roman"/>
          <w:snapToGrid/>
          <w:color w:val="auto"/>
          <w:kern w:val="2"/>
          <w:sz w:val="32"/>
          <w:szCs w:val="32"/>
          <w:lang w:eastAsia="zh-CN"/>
        </w:rPr>
        <w:t>部门</w:t>
      </w:r>
      <w:r>
        <w:rPr>
          <w:rFonts w:ascii="Times New Roman" w:hAnsi="Times New Roman" w:eastAsia="仿宋_GB2312" w:cs="Times New Roman"/>
          <w:snapToGrid/>
          <w:color w:val="auto"/>
          <w:kern w:val="2"/>
          <w:sz w:val="32"/>
          <w:szCs w:val="32"/>
          <w:lang w:eastAsia="zh-CN"/>
        </w:rPr>
        <w:t>研判可能发生突发环境事件时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应当及时向</w:t>
      </w:r>
      <w:r>
        <w:rPr>
          <w:rFonts w:hint="eastAsia" w:ascii="Times New Roman" w:hAnsi="Times New Roman" w:eastAsia="仿宋_GB2312" w:cs="Times New Roman"/>
          <w:snapToGrid/>
          <w:color w:val="auto"/>
          <w:kern w:val="2"/>
          <w:sz w:val="32"/>
          <w:szCs w:val="32"/>
          <w:lang w:eastAsia="zh-CN"/>
        </w:rPr>
        <w:t>县</w:t>
      </w:r>
      <w:r>
        <w:rPr>
          <w:rFonts w:ascii="Times New Roman" w:hAnsi="Times New Roman" w:eastAsia="仿宋_GB2312" w:cs="Times New Roman"/>
          <w:snapToGrid/>
          <w:color w:val="auto"/>
          <w:kern w:val="2"/>
          <w:sz w:val="32"/>
          <w:szCs w:val="32"/>
          <w:lang w:eastAsia="zh-CN"/>
        </w:rPr>
        <w:t>人民政府提出预警信息发布建议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收到预警信息的市、县人民政府预警信息发布中心及时向社会公众发布预警信息</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并通报可能影响到的地区。</w:t>
      </w:r>
    </w:p>
    <w:p w14:paraId="1B1EAC46">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原则上</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蓝色预警由县人民政府发布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黄色预警由市人民政府发布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橙色预警由省人民政府发布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红色预警由省人民政府根据国务院授权发布。</w:t>
      </w:r>
    </w:p>
    <w:p w14:paraId="59BC381E">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特殊紧急情况下</w:t>
      </w:r>
      <w:r>
        <w:rPr>
          <w:rFonts w:hint="eastAsia" w:ascii="Times New Roman" w:hAnsi="Times New Roman" w:eastAsia="仿宋_GB2312" w:cs="Times New Roman"/>
          <w:snapToGrid/>
          <w:color w:val="auto"/>
          <w:kern w:val="2"/>
          <w:sz w:val="32"/>
          <w:szCs w:val="32"/>
          <w:lang w:eastAsia="zh-CN"/>
        </w:rPr>
        <w:t>，县人民政府</w:t>
      </w:r>
      <w:r>
        <w:rPr>
          <w:rFonts w:ascii="Times New Roman" w:hAnsi="Times New Roman" w:eastAsia="仿宋_GB2312" w:cs="Times New Roman"/>
          <w:snapToGrid/>
          <w:color w:val="auto"/>
          <w:kern w:val="2"/>
          <w:sz w:val="32"/>
          <w:szCs w:val="32"/>
          <w:lang w:eastAsia="zh-CN"/>
        </w:rPr>
        <w:t>认为有必要发布的突发环境事件预警信息</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可不受预警级别限制。</w:t>
      </w:r>
    </w:p>
    <w:p w14:paraId="6C66D94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突发环境事件预警信息内容包括：发布机关、发布时间、事件的类别、预警级别、起始时间、可能影响范围、警示事项、事态发展、相关措施和咨询电话等。</w:t>
      </w:r>
    </w:p>
    <w:p w14:paraId="09E923E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突发环境事件预警信息主要通过县人民政府和县网站及本地自媒体发布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也可充分利用其他网站、广播电台、电视台、报刊、手机短信、移动互联网应用（手机客户端、微博、微信等）、热线电话、户外LED显示屏、交通引导屏、车载电视等通信手段和传播媒介发布。</w:t>
      </w:r>
    </w:p>
    <w:p w14:paraId="0F9B20D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国务院及生态环境部、湖南省</w:t>
      </w:r>
      <w:r>
        <w:rPr>
          <w:rFonts w:hint="eastAsia" w:ascii="Times New Roman" w:hAnsi="Times New Roman" w:eastAsia="仿宋_GB2312" w:cs="Times New Roman"/>
          <w:snapToGrid/>
          <w:color w:val="auto"/>
          <w:kern w:val="2"/>
          <w:sz w:val="32"/>
          <w:szCs w:val="32"/>
          <w:lang w:eastAsia="zh-CN"/>
        </w:rPr>
        <w:t>人民</w:t>
      </w:r>
      <w:r>
        <w:rPr>
          <w:rFonts w:ascii="Times New Roman" w:hAnsi="Times New Roman" w:eastAsia="仿宋_GB2312" w:cs="Times New Roman"/>
          <w:snapToGrid/>
          <w:color w:val="auto"/>
          <w:kern w:val="2"/>
          <w:sz w:val="32"/>
          <w:szCs w:val="32"/>
          <w:lang w:eastAsia="zh-CN"/>
        </w:rPr>
        <w:t>政府</w:t>
      </w:r>
      <w:r>
        <w:rPr>
          <w:rFonts w:hint="eastAsia" w:ascii="Times New Roman" w:hAnsi="Times New Roman" w:eastAsia="仿宋_GB2312" w:cs="Times New Roman"/>
          <w:snapToGrid/>
          <w:color w:val="auto"/>
          <w:kern w:val="2"/>
          <w:sz w:val="32"/>
          <w:szCs w:val="32"/>
          <w:lang w:eastAsia="zh-CN"/>
        </w:rPr>
        <w:t>、市人民政府</w:t>
      </w:r>
      <w:r>
        <w:rPr>
          <w:rFonts w:ascii="Times New Roman" w:hAnsi="Times New Roman" w:eastAsia="仿宋_GB2312" w:cs="Times New Roman"/>
          <w:snapToGrid/>
          <w:color w:val="auto"/>
          <w:kern w:val="2"/>
          <w:sz w:val="32"/>
          <w:szCs w:val="32"/>
          <w:lang w:eastAsia="zh-CN"/>
        </w:rPr>
        <w:t>发布的可能影响我县的突发环境事件预警信息</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市生态环境局炎陵分局应及时通过县人民政府和县网站转发并注明信息来源。</w:t>
      </w:r>
    </w:p>
    <w:p w14:paraId="18921C77">
      <w:pPr>
        <w:keepNext/>
        <w:keepLines/>
        <w:widowControl w:val="0"/>
        <w:kinsoku/>
        <w:autoSpaceDE/>
        <w:autoSpaceDN/>
        <w:adjustRightInd/>
        <w:snapToGrid/>
        <w:spacing w:line="580" w:lineRule="exact"/>
        <w:jc w:val="both"/>
        <w:textAlignment w:val="auto"/>
        <w:outlineLvl w:val="2"/>
        <w:rPr>
          <w:rFonts w:hint="eastAsia" w:ascii="黑体" w:hAnsi="黑体" w:eastAsia="黑体" w:cs="黑体"/>
          <w:b/>
          <w:bCs/>
          <w:snapToGrid/>
          <w:color w:val="auto"/>
          <w:kern w:val="2"/>
          <w:sz w:val="30"/>
          <w:szCs w:val="32"/>
          <w:lang w:eastAsia="zh-CN"/>
        </w:rPr>
      </w:pPr>
      <w:bookmarkStart w:id="66" w:name="_Toc30262"/>
      <w:bookmarkStart w:id="67" w:name="_Toc26890809"/>
      <w:bookmarkStart w:id="68" w:name="_Toc2439"/>
      <w:bookmarkStart w:id="69" w:name="_Toc13968"/>
      <w:r>
        <w:rPr>
          <w:rFonts w:ascii="Times New Roman" w:hAnsi="Times New Roman" w:eastAsia="宋体" w:cs="Times New Roman"/>
          <w:b/>
          <w:bCs/>
          <w:snapToGrid/>
          <w:color w:val="auto"/>
          <w:kern w:val="2"/>
          <w:sz w:val="30"/>
          <w:szCs w:val="32"/>
          <w:lang w:eastAsia="zh-CN"/>
        </w:rPr>
        <w:t xml:space="preserve">3.2.3 </w:t>
      </w:r>
      <w:r>
        <w:rPr>
          <w:rFonts w:hint="eastAsia" w:ascii="黑体" w:hAnsi="黑体" w:eastAsia="黑体" w:cs="黑体"/>
          <w:b/>
          <w:bCs/>
          <w:snapToGrid/>
          <w:color w:val="auto"/>
          <w:kern w:val="2"/>
          <w:sz w:val="30"/>
          <w:szCs w:val="32"/>
          <w:lang w:eastAsia="zh-CN"/>
        </w:rPr>
        <w:t>预警行动</w:t>
      </w:r>
      <w:bookmarkEnd w:id="66"/>
      <w:bookmarkEnd w:id="67"/>
      <w:bookmarkEnd w:id="68"/>
      <w:bookmarkEnd w:id="69"/>
    </w:p>
    <w:p w14:paraId="4120A615">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预警信息发布后</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县人民政府及其有关部门视情采取以下措施：</w:t>
      </w:r>
    </w:p>
    <w:p w14:paraId="78C6745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（1）分析研判。组织有关部门和机构、专业技术人员及专家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及时对预警信息进行分析研判</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预估可能的影响范围和危害程度。</w:t>
      </w:r>
    </w:p>
    <w:p w14:paraId="6E40C76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（2）防范处置。迅速采取有效处置措施</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控制事件苗头。在涉险区域设置注意事项提示或事件危害警告标志</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利用各种渠道增加宣传频次</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告知公众避险和减轻危害的常识、需采取的必要的健康防护措施。</w:t>
      </w:r>
    </w:p>
    <w:p w14:paraId="391BEBC5">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（3）应急准备。提前疏散、转移可能受到危害的人员</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并进行妥善安置。责令应急救援队伍、负有特定职责的人员进入待命状态</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动员后备人员做好参加应急救援和处置工作的准备</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并调集应急所需物资和设备</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做好应急保障工作。对可能导致突发环境事件发生的相关企业事业单位和其他生产经营者加强环境监管。</w:t>
      </w:r>
    </w:p>
    <w:p w14:paraId="63B0C9E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（4）舆论引导。及时准确发布事态最新情况</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公布咨询电话</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组织专家解读。加强相关舆情监测</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做好舆论引导工作。</w:t>
      </w:r>
    </w:p>
    <w:p w14:paraId="4428F1C3">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70" w:name="_Toc29799"/>
      <w:bookmarkStart w:id="71" w:name="_Toc26890810"/>
      <w:bookmarkStart w:id="72" w:name="_Toc18468"/>
      <w:bookmarkStart w:id="73" w:name="_Toc19117"/>
      <w:r>
        <w:rPr>
          <w:rFonts w:ascii="Times New Roman" w:hAnsi="Times New Roman" w:eastAsia="黑体" w:cs="Times New Roman"/>
          <w:b/>
          <w:color w:val="auto"/>
          <w:kern w:val="2"/>
          <w:sz w:val="32"/>
          <w:szCs w:val="24"/>
          <w:lang w:eastAsia="zh-CN"/>
        </w:rPr>
        <w:t xml:space="preserve">3.2.4 </w:t>
      </w:r>
      <w:r>
        <w:rPr>
          <w:rFonts w:ascii="Times New Roman" w:hAnsi="Times New Roman" w:eastAsia="黑体" w:cs="Times New Roman"/>
          <w:b/>
          <w:color w:val="auto"/>
          <w:kern w:val="2"/>
          <w:sz w:val="30"/>
          <w:szCs w:val="30"/>
          <w:lang w:eastAsia="zh-CN"/>
        </w:rPr>
        <w:t>预警级别调整和解除</w:t>
      </w:r>
      <w:bookmarkEnd w:id="70"/>
      <w:bookmarkEnd w:id="71"/>
      <w:bookmarkEnd w:id="72"/>
      <w:bookmarkEnd w:id="73"/>
    </w:p>
    <w:p w14:paraId="0D36523D">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预警信息的解除按照“谁发布、谁取消”的原则执行。</w:t>
      </w:r>
    </w:p>
    <w:p w14:paraId="00437A64">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发布突发环境事件预警信息的县人民政府和有关部门根据事态发展情况和采取措施的效果，适时调整预警级别</w:t>
      </w:r>
      <w:r>
        <w:rPr>
          <w:rFonts w:ascii="Times New Roman" w:hAnsi="Times New Roman" w:eastAsia="仿宋_GB2312" w:cs="Times New Roman"/>
          <w:snapToGrid/>
          <w:color w:val="auto"/>
          <w:kern w:val="2"/>
          <w:sz w:val="32"/>
          <w:szCs w:val="32"/>
          <w:lang w:eastAsia="zh-CN"/>
        </w:rPr>
        <w:t>；当判断不可能发生突发环境事件或者危险已经消除时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宣布解除预警</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适时终止相关措施。</w:t>
      </w:r>
    </w:p>
    <w:p w14:paraId="29E6700A">
      <w:pPr>
        <w:keepNext/>
        <w:keepLines/>
        <w:widowControl w:val="0"/>
        <w:spacing w:before="120" w:after="120" w:line="440" w:lineRule="exact"/>
        <w:jc w:val="both"/>
        <w:outlineLvl w:val="1"/>
        <w:rPr>
          <w:rFonts w:ascii="Times New Roman" w:hAnsi="Times New Roman" w:eastAsia="黑体" w:cs="Times New Roman"/>
          <w:b/>
          <w:color w:val="auto"/>
          <w:kern w:val="2"/>
          <w:sz w:val="36"/>
          <w:szCs w:val="24"/>
          <w:lang w:eastAsia="zh-CN"/>
        </w:rPr>
      </w:pPr>
      <w:bookmarkStart w:id="74" w:name="_Toc12321"/>
      <w:r>
        <w:rPr>
          <w:rFonts w:ascii="Times New Roman" w:hAnsi="Times New Roman" w:eastAsia="黑体" w:cs="Times New Roman"/>
          <w:b/>
          <w:color w:val="auto"/>
          <w:kern w:val="2"/>
          <w:sz w:val="36"/>
          <w:szCs w:val="24"/>
          <w:lang w:eastAsia="zh-CN"/>
        </w:rPr>
        <w:t xml:space="preserve">3.3 </w:t>
      </w:r>
      <w:r>
        <w:rPr>
          <w:rFonts w:ascii="Times New Roman" w:hAnsi="Times New Roman" w:eastAsia="黑体" w:cs="Times New Roman"/>
          <w:b/>
          <w:color w:val="auto"/>
          <w:kern w:val="2"/>
          <w:sz w:val="32"/>
          <w:szCs w:val="32"/>
          <w:lang w:eastAsia="zh-CN"/>
        </w:rPr>
        <w:t>信息报告</w:t>
      </w:r>
      <w:r>
        <w:rPr>
          <w:rFonts w:hint="eastAsia" w:ascii="Times New Roman" w:hAnsi="Times New Roman" w:eastAsia="黑体" w:cs="Times New Roman"/>
          <w:b/>
          <w:color w:val="auto"/>
          <w:kern w:val="2"/>
          <w:sz w:val="32"/>
          <w:szCs w:val="32"/>
          <w:lang w:eastAsia="zh-CN"/>
        </w:rPr>
        <w:t>与通报</w:t>
      </w:r>
      <w:bookmarkEnd w:id="74"/>
    </w:p>
    <w:p w14:paraId="183D89CA">
      <w:pPr>
        <w:keepNext/>
        <w:keepLines/>
        <w:widowControl w:val="0"/>
        <w:kinsoku/>
        <w:autoSpaceDE/>
        <w:autoSpaceDN/>
        <w:adjustRightInd/>
        <w:snapToGrid/>
        <w:spacing w:line="580" w:lineRule="exact"/>
        <w:jc w:val="both"/>
        <w:textAlignment w:val="auto"/>
        <w:outlineLvl w:val="2"/>
        <w:rPr>
          <w:rFonts w:ascii="Times New Roman" w:hAnsi="Times New Roman" w:eastAsia="仿宋_GB2312" w:cs="Times New Roman"/>
          <w:snapToGrid/>
          <w:color w:val="auto"/>
          <w:kern w:val="2"/>
          <w:sz w:val="32"/>
          <w:szCs w:val="32"/>
          <w:lang w:eastAsia="zh-CN"/>
        </w:rPr>
      </w:pPr>
      <w:bookmarkStart w:id="75" w:name="_Toc13952"/>
      <w:r>
        <w:rPr>
          <w:rFonts w:ascii="Times New Roman" w:hAnsi="Times New Roman" w:eastAsia="黑体" w:cs="Times New Roman"/>
          <w:b/>
          <w:bCs/>
          <w:snapToGrid/>
          <w:color w:val="auto"/>
          <w:kern w:val="2"/>
          <w:sz w:val="30"/>
          <w:szCs w:val="32"/>
          <w:lang w:eastAsia="zh-CN"/>
        </w:rPr>
        <w:t>3.3.1 信息</w:t>
      </w:r>
      <w:r>
        <w:rPr>
          <w:rFonts w:hint="eastAsia" w:ascii="Times New Roman" w:hAnsi="Times New Roman" w:eastAsia="黑体" w:cs="Times New Roman"/>
          <w:b/>
          <w:bCs/>
          <w:snapToGrid/>
          <w:color w:val="auto"/>
          <w:kern w:val="2"/>
          <w:sz w:val="30"/>
          <w:szCs w:val="32"/>
          <w:lang w:eastAsia="zh-CN"/>
        </w:rPr>
        <w:t>报告</w:t>
      </w:r>
      <w:bookmarkEnd w:id="75"/>
    </w:p>
    <w:p w14:paraId="2AB510AC">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突发环境事件发生后或可能发生时，涉事企事业单位或其他生产经营者必须采取应对措施，并立即向当地生态环境部门及负有监管责任的政府部门报告，同时通报可能受到污染危害的单位和居民。当地生态环境部门及负有监管责任的政府部门接到突发环境事件报告后，1小时内组织核查并向同级人民政府报告，同时向上一级主管部门报告。紧急情况下，可以越级上报。</w:t>
      </w:r>
    </w:p>
    <w:p w14:paraId="47D9166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突发环境事件的报告分为初报、续报和终报。初报在发现或者得知突发环境事件后首次上报；续报在查清有关基本情况、事件发展情况后随时上报；终报是突发环境事件处理完毕后上报。</w:t>
      </w:r>
    </w:p>
    <w:p w14:paraId="3C9A2777">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（1）初报</w:t>
      </w:r>
      <w:r>
        <w:rPr>
          <w:rFonts w:hint="eastAsia" w:ascii="Times New Roman" w:hAnsi="Times New Roman" w:eastAsia="仿宋_GB2312" w:cs="Times New Roman"/>
          <w:snapToGrid/>
          <w:color w:val="auto"/>
          <w:kern w:val="2"/>
          <w:sz w:val="32"/>
          <w:szCs w:val="32"/>
          <w:lang w:eastAsia="zh-CN"/>
        </w:rPr>
        <w:t>：可通过电话或网络、书面报告，主要报告突发环境事件的类型、发生时间、地点、污染源、主要污染物质、人员受害情况、捕杀或砍伐国家重点野生动植物的名称和数量、自然保护区受害面积及程度、事件潜在的危害程度、转化方式趋向等初步情况。</w:t>
      </w:r>
    </w:p>
    <w:p w14:paraId="0E0C3B7B">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2</w:t>
      </w:r>
      <w:r>
        <w:rPr>
          <w:rFonts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eastAsia="zh-CN"/>
        </w:rPr>
        <w:t>续报：可通过网络或书面报告，既要报告新发生的情况，也要对初次报告的情况进行补充和修正，包括事件发生的原因、过程、进展情况及采取的应急措施等基本情况。重大、特别重大突发环境事件至少需要每天报告一次。</w:t>
      </w:r>
    </w:p>
    <w:p w14:paraId="35CD47F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val="en-US" w:eastAsia="zh-CN"/>
        </w:rPr>
        <w:t>3</w:t>
      </w:r>
      <w:r>
        <w:rPr>
          <w:rFonts w:ascii="Times New Roman" w:hAnsi="Times New Roman" w:eastAsia="仿宋_GB2312" w:cs="Times New Roman"/>
          <w:snapToGrid/>
          <w:color w:val="auto"/>
          <w:kern w:val="2"/>
          <w:sz w:val="32"/>
          <w:szCs w:val="32"/>
          <w:lang w:eastAsia="zh-CN"/>
        </w:rPr>
        <w:t>）</w:t>
      </w:r>
      <w:r>
        <w:rPr>
          <w:rFonts w:hint="eastAsia" w:ascii="Times New Roman" w:hAnsi="Times New Roman" w:eastAsia="仿宋_GB2312" w:cs="Times New Roman"/>
          <w:snapToGrid/>
          <w:color w:val="auto"/>
          <w:kern w:val="2"/>
          <w:sz w:val="32"/>
          <w:szCs w:val="32"/>
          <w:lang w:eastAsia="zh-CN"/>
        </w:rPr>
        <w:t>处置结果报告：采用书面报告形式，在初报和续报的基础上，报告事件处置的措施、过程和结果，事件潜在或者间接的危害、社会影响、处置后的遗留问题，参加处置工作的有关部门和工作内容，出具有关危害与损失的证明文件等详细情况</w:t>
      </w:r>
      <w:r>
        <w:rPr>
          <w:rFonts w:ascii="Times New Roman" w:hAnsi="Times New Roman" w:eastAsia="仿宋_GB2312" w:cs="Times New Roman"/>
          <w:snapToGrid/>
          <w:color w:val="auto"/>
          <w:kern w:val="2"/>
          <w:sz w:val="32"/>
          <w:szCs w:val="32"/>
          <w:lang w:eastAsia="zh-CN"/>
        </w:rPr>
        <w:t>。</w:t>
      </w:r>
    </w:p>
    <w:p w14:paraId="07D4862A">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（4）特殊情形报告</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发生下列一时无法判明等级的突发环境事件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生态环境部门应当按照重大以上突发环境事件的报告程序上报：</w:t>
      </w:r>
    </w:p>
    <w:p w14:paraId="46DC565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A、对饮用水水源保护区造成或者可能造成影响的；</w:t>
      </w:r>
    </w:p>
    <w:p w14:paraId="3D73EBF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B、涉及居民聚居区、学校、医院等敏感区域和敏感人群的；</w:t>
      </w:r>
    </w:p>
    <w:p w14:paraId="24CFB14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C、涉及重金属或者类金属污染的；</w:t>
      </w:r>
    </w:p>
    <w:p w14:paraId="17CB390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D、有可能产生跨省或者跨国影响的；</w:t>
      </w:r>
    </w:p>
    <w:p w14:paraId="717D61A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E、因环境污染引发群体性事件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或者社会影响较大的；</w:t>
      </w:r>
    </w:p>
    <w:p w14:paraId="5177815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F、生态环境部门认为有必要报告的其他突发环境事件。</w:t>
      </w:r>
    </w:p>
    <w:p w14:paraId="57F8FF9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突发环境事件处置过程中事件级别发生变化的</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应当按照变化后的级别报告信息。突发环境事件信息报告的内容和格式</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依据生态环境部《突发环境事件信息报告办法》规定执行。</w:t>
      </w:r>
    </w:p>
    <w:p w14:paraId="4E5B5A93">
      <w:pPr>
        <w:widowControl w:val="0"/>
        <w:kinsoku/>
        <w:autoSpaceDE/>
        <w:autoSpaceDN/>
        <w:adjustRightInd/>
        <w:snapToGrid/>
        <w:spacing w:line="580" w:lineRule="exact"/>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黑体" w:cs="Times New Roman"/>
          <w:b/>
          <w:bCs/>
          <w:snapToGrid/>
          <w:color w:val="auto"/>
          <w:kern w:val="2"/>
          <w:sz w:val="30"/>
          <w:szCs w:val="32"/>
          <w:lang w:eastAsia="zh-CN"/>
        </w:rPr>
        <w:t>3.3.</w:t>
      </w:r>
      <w:r>
        <w:rPr>
          <w:rFonts w:hint="eastAsia" w:ascii="Times New Roman" w:hAnsi="Times New Roman" w:eastAsia="黑体" w:cs="Times New Roman"/>
          <w:b/>
          <w:bCs/>
          <w:snapToGrid/>
          <w:color w:val="auto"/>
          <w:kern w:val="2"/>
          <w:sz w:val="30"/>
          <w:szCs w:val="32"/>
          <w:lang w:val="en-US" w:eastAsia="zh-CN"/>
        </w:rPr>
        <w:t>2信息通报</w:t>
      </w:r>
      <w:r>
        <w:rPr>
          <w:rFonts w:hint="eastAsia" w:ascii="Times New Roman" w:hAnsi="Times New Roman" w:eastAsia="仿宋_GB2312" w:cs="Times New Roman"/>
          <w:snapToGrid/>
          <w:color w:val="auto"/>
          <w:kern w:val="2"/>
          <w:sz w:val="32"/>
          <w:szCs w:val="32"/>
          <w:lang w:eastAsia="zh-CN"/>
        </w:rPr>
        <w:t>　　</w:t>
      </w:r>
    </w:p>
    <w:p w14:paraId="7F44626B">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val="en-US" w:eastAsia="zh-CN"/>
        </w:rPr>
      </w:pPr>
      <w:r>
        <w:rPr>
          <w:rFonts w:hint="eastAsia" w:ascii="Times New Roman" w:hAnsi="Times New Roman" w:eastAsia="仿宋_GB2312" w:cs="Times New Roman"/>
          <w:snapToGrid/>
          <w:color w:val="auto"/>
          <w:kern w:val="2"/>
          <w:sz w:val="32"/>
          <w:szCs w:val="32"/>
          <w:lang w:val="en-US" w:eastAsia="zh-CN"/>
        </w:rPr>
        <w:t>（1）县人民政府有关职能部门在日常监督管理中发现突发环境事件及隐患，应当立即向县人民政府报告，同时向市生态环境局炎陵分局通报。</w:t>
      </w:r>
    </w:p>
    <w:p w14:paraId="739CE6A0">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val="en-US" w:eastAsia="zh-CN"/>
        </w:rPr>
      </w:pPr>
      <w:r>
        <w:rPr>
          <w:rFonts w:hint="eastAsia" w:ascii="Times New Roman" w:hAnsi="Times New Roman" w:eastAsia="仿宋_GB2312" w:cs="Times New Roman"/>
          <w:snapToGrid/>
          <w:color w:val="auto"/>
          <w:kern w:val="2"/>
          <w:sz w:val="32"/>
          <w:szCs w:val="32"/>
          <w:lang w:val="en-US" w:eastAsia="zh-CN"/>
        </w:rPr>
        <w:t>（2）突发环境事件发生后，涉事企业事业单位或其他生产经营者必须立即向市生态环境局炎陵分局和相关部门报告，同时通报可能受到污染危害的单位和居民。</w:t>
      </w:r>
    </w:p>
    <w:p w14:paraId="5B1ED162">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val="en-US" w:eastAsia="zh-CN"/>
        </w:rPr>
      </w:pPr>
      <w:r>
        <w:rPr>
          <w:rFonts w:hint="eastAsia" w:ascii="Times New Roman" w:hAnsi="Times New Roman" w:eastAsia="仿宋_GB2312" w:cs="Times New Roman"/>
          <w:snapToGrid/>
          <w:color w:val="auto"/>
          <w:kern w:val="2"/>
          <w:sz w:val="32"/>
          <w:szCs w:val="32"/>
          <w:lang w:val="en-US" w:eastAsia="zh-CN"/>
        </w:rPr>
        <w:t>（3）市生态环境局炎陵分局接到突发环境事件信息报告或监测到相关信息后，应立即进行核实，对突发环境事件的性质和类别作出初步认定，并通报同级其他相关部门。突发环境事件已经或者可能涉及相邻行政区域的，县环境应急指挥部办公室应及时通报相邻行政区域同级人民政府或生态环境主管部门。</w:t>
      </w:r>
    </w:p>
    <w:p w14:paraId="04E79CEB">
      <w:pPr>
        <w:widowControl w:val="0"/>
        <w:kinsoku/>
        <w:autoSpaceDE/>
        <w:autoSpaceDN/>
        <w:adjustRightInd/>
        <w:snapToGrid/>
        <w:spacing w:line="580" w:lineRule="exact"/>
        <w:ind w:firstLine="320" w:firstLineChars="100"/>
        <w:jc w:val="both"/>
        <w:textAlignment w:val="auto"/>
        <w:rPr>
          <w:rFonts w:ascii="Times New Roman" w:hAnsi="Times New Roman" w:eastAsia="仿宋_GB2312" w:cs="Times New Roman"/>
          <w:snapToGrid/>
          <w:color w:val="auto"/>
          <w:kern w:val="2"/>
          <w:sz w:val="32"/>
          <w:szCs w:val="32"/>
          <w:lang w:eastAsia="zh-CN"/>
        </w:rPr>
      </w:pPr>
    </w:p>
    <w:p w14:paraId="2FB54647">
      <w:pPr>
        <w:widowControl w:val="0"/>
        <w:kinsoku/>
        <w:autoSpaceDE/>
        <w:autoSpaceDN/>
        <w:spacing w:line="580" w:lineRule="exact"/>
        <w:ind w:firstLine="210" w:firstLineChars="100"/>
        <w:textAlignment w:val="auto"/>
        <w:rPr>
          <w:rFonts w:ascii="Times New Roman" w:hAnsi="Times New Roman" w:eastAsia="仿宋_GB2312" w:cs="Times New Roman"/>
          <w:color w:val="auto"/>
          <w:szCs w:val="32"/>
          <w:lang w:eastAsia="zh-CN"/>
        </w:rPr>
        <w:sectPr>
          <w:pgSz w:w="11906" w:h="16838"/>
          <w:pgMar w:top="1984" w:right="1474" w:bottom="1871" w:left="1587" w:header="851" w:footer="1587" w:gutter="0"/>
          <w:cols w:space="720" w:num="1"/>
          <w:titlePg/>
          <w:docGrid w:linePitch="590" w:charSpace="0"/>
        </w:sectPr>
      </w:pPr>
    </w:p>
    <w:p w14:paraId="0F48F981">
      <w:pPr>
        <w:keepNext/>
        <w:keepLines/>
        <w:widowControl w:val="0"/>
        <w:kinsoku/>
        <w:autoSpaceDE/>
        <w:autoSpaceDN/>
        <w:adjustRightInd/>
        <w:snapToGrid/>
        <w:spacing w:before="180" w:after="180" w:line="440" w:lineRule="exact"/>
        <w:jc w:val="both"/>
        <w:textAlignment w:val="auto"/>
        <w:outlineLvl w:val="0"/>
        <w:rPr>
          <w:rFonts w:ascii="Times New Roman" w:hAnsi="Times New Roman" w:eastAsia="黑体" w:cs="Times New Roman"/>
          <w:b/>
          <w:bCs/>
          <w:color w:val="auto"/>
          <w:kern w:val="44"/>
          <w:sz w:val="36"/>
          <w:szCs w:val="36"/>
          <w:lang w:eastAsia="zh-CN"/>
        </w:rPr>
      </w:pPr>
      <w:bookmarkStart w:id="76" w:name="_Toc8561"/>
      <w:r>
        <w:rPr>
          <w:rFonts w:ascii="Times New Roman" w:hAnsi="Times New Roman" w:eastAsia="黑体" w:cs="Times New Roman"/>
          <w:b/>
          <w:bCs/>
          <w:color w:val="auto"/>
          <w:kern w:val="44"/>
          <w:sz w:val="36"/>
          <w:szCs w:val="36"/>
          <w:lang w:eastAsia="zh-CN"/>
        </w:rPr>
        <w:t>4  应急响应</w:t>
      </w:r>
      <w:bookmarkEnd w:id="76"/>
    </w:p>
    <w:p w14:paraId="21DC230F">
      <w:pPr>
        <w:keepNext/>
        <w:keepLines/>
        <w:widowControl w:val="0"/>
        <w:kinsoku/>
        <w:autoSpaceDE/>
        <w:autoSpaceDN/>
        <w:adjustRightInd/>
        <w:snapToGrid/>
        <w:spacing w:before="120" w:after="120" w:line="440" w:lineRule="exact"/>
        <w:jc w:val="both"/>
        <w:textAlignment w:val="auto"/>
        <w:outlineLvl w:val="1"/>
        <w:rPr>
          <w:rFonts w:ascii="Times New Roman" w:hAnsi="Times New Roman" w:eastAsia="黑体" w:cs="Times New Roman"/>
          <w:b/>
          <w:color w:val="auto"/>
          <w:kern w:val="2"/>
          <w:sz w:val="32"/>
          <w:szCs w:val="32"/>
          <w:lang w:eastAsia="zh-CN"/>
        </w:rPr>
      </w:pPr>
      <w:bookmarkStart w:id="77" w:name="_Toc9824"/>
      <w:r>
        <w:rPr>
          <w:rFonts w:ascii="Times New Roman" w:hAnsi="Times New Roman" w:eastAsia="黑体" w:cs="Times New Roman"/>
          <w:b/>
          <w:color w:val="auto"/>
          <w:kern w:val="2"/>
          <w:sz w:val="32"/>
          <w:szCs w:val="32"/>
          <w:lang w:eastAsia="zh-CN"/>
        </w:rPr>
        <w:t>4.1 应急响应分级</w:t>
      </w:r>
      <w:bookmarkEnd w:id="77"/>
    </w:p>
    <w:p w14:paraId="5445DF46">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突发环境事件的应急响应坚持属地为主、分级响应的原则，根据</w:t>
      </w:r>
      <w:r>
        <w:rPr>
          <w:rFonts w:hint="eastAsia" w:ascii="Times New Roman" w:hAnsi="Times New Roman" w:eastAsia="仿宋" w:cs="Times New Roman"/>
          <w:color w:val="auto"/>
          <w:kern w:val="2"/>
          <w:sz w:val="32"/>
          <w:szCs w:val="24"/>
          <w:lang w:eastAsia="zh-CN"/>
        </w:rPr>
        <w:t>IV</w:t>
      </w:r>
      <w:r>
        <w:rPr>
          <w:rFonts w:hint="eastAsia" w:ascii="Times New Roman" w:hAnsi="Times New Roman" w:eastAsia="仿宋" w:cs="Times New Roman"/>
          <w:color w:val="auto"/>
          <w:kern w:val="2"/>
          <w:sz w:val="32"/>
          <w:szCs w:val="24"/>
          <w:lang w:eastAsia="zh-CN"/>
        </w:rPr>
        <w:t xml:space="preserve">～ </w:t>
      </w:r>
      <w:r>
        <w:rPr>
          <w:rFonts w:hint="eastAsia" w:ascii="Times New Roman" w:hAnsi="Times New Roman" w:eastAsia="仿宋" w:cs="Times New Roman"/>
          <w:color w:val="auto"/>
          <w:kern w:val="2"/>
          <w:sz w:val="32"/>
          <w:szCs w:val="24"/>
          <w:lang w:eastAsia="zh-CN"/>
        </w:rPr>
        <w:t>I</w:t>
      </w:r>
      <w:r>
        <w:rPr>
          <w:rFonts w:hint="eastAsia" w:ascii="Times New Roman" w:hAnsi="Times New Roman" w:eastAsia="仿宋" w:cs="Times New Roman"/>
          <w:color w:val="auto"/>
          <w:kern w:val="2"/>
          <w:sz w:val="32"/>
          <w:szCs w:val="24"/>
          <w:lang w:eastAsia="zh-CN"/>
        </w:rPr>
        <w:t>级预警级别分别将应急响应分为</w:t>
      </w:r>
      <w:r>
        <w:rPr>
          <w:rFonts w:ascii="Times New Roman" w:hAnsi="Times New Roman" w:eastAsia="仿宋" w:cs="Times New Roman"/>
          <w:color w:val="auto"/>
          <w:kern w:val="2"/>
          <w:sz w:val="32"/>
          <w:szCs w:val="24"/>
          <w:lang w:eastAsia="zh-CN"/>
        </w:rPr>
        <w:t>Ⅳ级</w:t>
      </w:r>
      <w:r>
        <w:rPr>
          <w:rFonts w:hint="eastAsia" w:ascii="Times New Roman" w:hAnsi="Times New Roman" w:eastAsia="仿宋" w:cs="Times New Roman"/>
          <w:color w:val="auto"/>
          <w:kern w:val="2"/>
          <w:sz w:val="32"/>
          <w:szCs w:val="24"/>
          <w:lang w:eastAsia="zh-CN"/>
        </w:rPr>
        <w:t>响应</w:t>
      </w:r>
      <w:r>
        <w:rPr>
          <w:rFonts w:ascii="Times New Roman" w:hAnsi="Times New Roman" w:eastAsia="仿宋" w:cs="Times New Roman"/>
          <w:color w:val="auto"/>
          <w:kern w:val="2"/>
          <w:sz w:val="32"/>
          <w:szCs w:val="24"/>
          <w:lang w:eastAsia="zh-CN"/>
        </w:rPr>
        <w:t>、Ⅲ级</w:t>
      </w:r>
      <w:r>
        <w:rPr>
          <w:rFonts w:hint="eastAsia" w:ascii="Times New Roman" w:hAnsi="Times New Roman" w:eastAsia="仿宋" w:cs="Times New Roman"/>
          <w:color w:val="auto"/>
          <w:kern w:val="2"/>
          <w:sz w:val="32"/>
          <w:szCs w:val="24"/>
          <w:lang w:eastAsia="zh-CN"/>
        </w:rPr>
        <w:t>响应</w:t>
      </w:r>
      <w:r>
        <w:rPr>
          <w:rFonts w:ascii="Times New Roman" w:hAnsi="Times New Roman" w:eastAsia="仿宋" w:cs="Times New Roman"/>
          <w:color w:val="auto"/>
          <w:kern w:val="2"/>
          <w:sz w:val="32"/>
          <w:szCs w:val="24"/>
          <w:lang w:eastAsia="zh-CN"/>
        </w:rPr>
        <w:t>、Ⅱ级</w:t>
      </w:r>
      <w:r>
        <w:rPr>
          <w:rFonts w:hint="eastAsia" w:ascii="Times New Roman" w:hAnsi="Times New Roman" w:eastAsia="仿宋" w:cs="Times New Roman"/>
          <w:color w:val="auto"/>
          <w:kern w:val="2"/>
          <w:sz w:val="32"/>
          <w:szCs w:val="24"/>
          <w:lang w:eastAsia="zh-CN"/>
        </w:rPr>
        <w:t>响应</w:t>
      </w:r>
      <w:r>
        <w:rPr>
          <w:rFonts w:ascii="Times New Roman" w:hAnsi="Times New Roman" w:eastAsia="仿宋" w:cs="Times New Roman"/>
          <w:color w:val="auto"/>
          <w:kern w:val="2"/>
          <w:sz w:val="32"/>
          <w:szCs w:val="24"/>
          <w:lang w:eastAsia="zh-CN"/>
        </w:rPr>
        <w:t>、Ⅰ级</w:t>
      </w:r>
      <w:r>
        <w:rPr>
          <w:rFonts w:hint="eastAsia" w:ascii="Times New Roman" w:hAnsi="Times New Roman" w:eastAsia="仿宋" w:cs="Times New Roman"/>
          <w:color w:val="auto"/>
          <w:kern w:val="2"/>
          <w:sz w:val="32"/>
          <w:szCs w:val="24"/>
          <w:lang w:eastAsia="zh-CN"/>
        </w:rPr>
        <w:t>响应四</w:t>
      </w:r>
      <w:r>
        <w:rPr>
          <w:rFonts w:ascii="Times New Roman" w:hAnsi="Times New Roman" w:eastAsia="仿宋" w:cs="Times New Roman"/>
          <w:color w:val="auto"/>
          <w:kern w:val="2"/>
          <w:sz w:val="32"/>
          <w:szCs w:val="24"/>
          <w:lang w:eastAsia="zh-CN"/>
        </w:rPr>
        <w:t>级。</w:t>
      </w:r>
    </w:p>
    <w:p w14:paraId="755091E3">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78" w:name="_Toc18044"/>
      <w:r>
        <w:rPr>
          <w:rFonts w:ascii="Times New Roman" w:hAnsi="Times New Roman" w:eastAsia="黑体" w:cs="Times New Roman"/>
          <w:b/>
          <w:color w:val="auto"/>
          <w:kern w:val="2"/>
          <w:sz w:val="32"/>
          <w:szCs w:val="32"/>
          <w:lang w:eastAsia="zh-CN"/>
        </w:rPr>
        <w:t>4.2 应急响应</w:t>
      </w:r>
      <w:r>
        <w:rPr>
          <w:rFonts w:hint="eastAsia" w:ascii="Times New Roman" w:hAnsi="Times New Roman" w:eastAsia="黑体" w:cs="Times New Roman"/>
          <w:b/>
          <w:color w:val="auto"/>
          <w:kern w:val="2"/>
          <w:sz w:val="32"/>
          <w:szCs w:val="32"/>
          <w:lang w:val="en-US" w:eastAsia="zh-CN"/>
        </w:rPr>
        <w:t>启</w:t>
      </w:r>
      <w:r>
        <w:rPr>
          <w:rFonts w:ascii="Times New Roman" w:hAnsi="Times New Roman" w:eastAsia="黑体" w:cs="Times New Roman"/>
          <w:b/>
          <w:color w:val="auto"/>
          <w:kern w:val="2"/>
          <w:sz w:val="32"/>
          <w:szCs w:val="32"/>
          <w:lang w:eastAsia="zh-CN"/>
        </w:rPr>
        <w:t>动</w:t>
      </w:r>
      <w:bookmarkEnd w:id="78"/>
    </w:p>
    <w:p w14:paraId="37CA5264">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79" w:name="_Toc32374"/>
      <w:bookmarkStart w:id="80" w:name="_Toc31014"/>
      <w:bookmarkStart w:id="81" w:name="_Toc6365"/>
      <w:bookmarkStart w:id="82" w:name="_Toc193"/>
      <w:bookmarkStart w:id="83" w:name="_Toc26237"/>
      <w:r>
        <w:rPr>
          <w:rFonts w:ascii="Times New Roman" w:hAnsi="Times New Roman" w:eastAsia="黑体" w:cs="Times New Roman"/>
          <w:b/>
          <w:color w:val="auto"/>
          <w:kern w:val="2"/>
          <w:sz w:val="30"/>
          <w:szCs w:val="30"/>
          <w:lang w:eastAsia="zh-CN"/>
        </w:rPr>
        <w:t>4.2.</w:t>
      </w:r>
      <w:r>
        <w:rPr>
          <w:rFonts w:hint="eastAsia" w:ascii="Times New Roman" w:hAnsi="Times New Roman" w:eastAsia="黑体" w:cs="Times New Roman"/>
          <w:b/>
          <w:color w:val="auto"/>
          <w:kern w:val="2"/>
          <w:sz w:val="30"/>
          <w:szCs w:val="30"/>
          <w:lang w:val="en-US" w:eastAsia="zh-CN"/>
        </w:rPr>
        <w:t>1</w:t>
      </w:r>
      <w:r>
        <w:rPr>
          <w:rFonts w:ascii="Times New Roman" w:hAnsi="Times New Roman" w:eastAsia="黑体" w:cs="Times New Roman"/>
          <w:b/>
          <w:color w:val="auto"/>
          <w:kern w:val="2"/>
          <w:sz w:val="30"/>
          <w:szCs w:val="30"/>
          <w:lang w:eastAsia="zh-CN"/>
        </w:rPr>
        <w:t>Ⅳ级应急响应</w:t>
      </w:r>
      <w:bookmarkEnd w:id="79"/>
      <w:bookmarkEnd w:id="80"/>
      <w:bookmarkEnd w:id="81"/>
    </w:p>
    <w:p w14:paraId="0DFAF04B">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初判发生一般突发环境事件，由县人民政府组织实施，开展突发环境事件应急处置工作。</w:t>
      </w:r>
      <w:r>
        <w:rPr>
          <w:rFonts w:hint="eastAsia" w:ascii="Times New Roman" w:hAnsi="Times New Roman" w:eastAsia="仿宋_GB2312" w:cs="Times New Roman"/>
          <w:snapToGrid/>
          <w:color w:val="auto"/>
          <w:kern w:val="2"/>
          <w:sz w:val="32"/>
          <w:szCs w:val="32"/>
          <w:lang w:val="en-US" w:eastAsia="zh-CN"/>
        </w:rPr>
        <w:t>县环境应急指挥部</w:t>
      </w:r>
      <w:r>
        <w:rPr>
          <w:rFonts w:hint="eastAsia" w:ascii="Times New Roman" w:hAnsi="Times New Roman" w:eastAsia="仿宋" w:cs="Times New Roman"/>
          <w:color w:val="auto"/>
          <w:kern w:val="2"/>
          <w:sz w:val="32"/>
          <w:szCs w:val="24"/>
          <w:lang w:eastAsia="zh-CN"/>
        </w:rPr>
        <w:t>根据县人民政府的请求和实际需要对突发环境事件应急处置工作进行指导。</w:t>
      </w:r>
    </w:p>
    <w:bookmarkEnd w:id="82"/>
    <w:bookmarkEnd w:id="83"/>
    <w:p w14:paraId="75661545">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84" w:name="_Toc2892"/>
      <w:bookmarkStart w:id="85" w:name="_Toc13428"/>
      <w:bookmarkStart w:id="86" w:name="_Toc26981"/>
      <w:r>
        <w:rPr>
          <w:rFonts w:ascii="Times New Roman" w:hAnsi="Times New Roman" w:eastAsia="黑体" w:cs="Times New Roman"/>
          <w:b/>
          <w:color w:val="auto"/>
          <w:kern w:val="2"/>
          <w:sz w:val="30"/>
          <w:szCs w:val="30"/>
          <w:lang w:eastAsia="zh-CN"/>
        </w:rPr>
        <w:t>4.2.2 Ⅲ级应急响应</w:t>
      </w:r>
      <w:bookmarkEnd w:id="84"/>
      <w:bookmarkEnd w:id="85"/>
      <w:bookmarkEnd w:id="86"/>
    </w:p>
    <w:p w14:paraId="3892953E">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初判发生较大突发环境事件时，</w:t>
      </w:r>
      <w:r>
        <w:rPr>
          <w:rFonts w:hint="eastAsia" w:ascii="Times New Roman" w:hAnsi="Times New Roman" w:eastAsia="仿宋" w:cs="Times New Roman"/>
          <w:color w:val="auto"/>
          <w:kern w:val="2"/>
          <w:sz w:val="32"/>
          <w:szCs w:val="24"/>
          <w:lang w:val="en-US" w:eastAsia="zh-CN"/>
        </w:rPr>
        <w:t>县</w:t>
      </w:r>
      <w:r>
        <w:rPr>
          <w:rFonts w:hint="eastAsia" w:ascii="Times New Roman" w:hAnsi="Times New Roman" w:eastAsia="仿宋" w:cs="Times New Roman"/>
          <w:color w:val="auto"/>
          <w:kern w:val="2"/>
          <w:sz w:val="32"/>
          <w:szCs w:val="24"/>
          <w:lang w:eastAsia="zh-CN"/>
        </w:rPr>
        <w:t>人民政府和市生态环境局</w:t>
      </w:r>
      <w:r>
        <w:rPr>
          <w:rFonts w:hint="eastAsia" w:ascii="Times New Roman" w:hAnsi="Times New Roman" w:eastAsia="仿宋" w:cs="Times New Roman"/>
          <w:color w:val="auto"/>
          <w:kern w:val="2"/>
          <w:sz w:val="32"/>
          <w:szCs w:val="24"/>
          <w:lang w:val="en-US" w:eastAsia="zh-CN"/>
        </w:rPr>
        <w:t>炎陵</w:t>
      </w:r>
      <w:r>
        <w:rPr>
          <w:rFonts w:hint="eastAsia" w:ascii="Times New Roman" w:hAnsi="Times New Roman" w:eastAsia="仿宋" w:cs="Times New Roman"/>
          <w:color w:val="auto"/>
          <w:kern w:val="2"/>
          <w:sz w:val="32"/>
          <w:szCs w:val="24"/>
          <w:lang w:eastAsia="zh-CN"/>
        </w:rPr>
        <w:t>分局分别逐级报市人民政府和市生态环境局，由市环境应急指挥部组织指挥部成员和专家分析研判，对突发环境事件影响及其发展趋势进行综合评估，由市人民政府、市指挥部决定启动Ⅲ级响应，向</w:t>
      </w:r>
      <w:r>
        <w:rPr>
          <w:rFonts w:hint="eastAsia" w:ascii="Times New Roman" w:hAnsi="Times New Roman" w:eastAsia="仿宋" w:cs="Times New Roman"/>
          <w:color w:val="auto"/>
          <w:kern w:val="2"/>
          <w:sz w:val="32"/>
          <w:szCs w:val="24"/>
          <w:lang w:val="en-US" w:eastAsia="zh-CN"/>
        </w:rPr>
        <w:t>县</w:t>
      </w:r>
      <w:r>
        <w:rPr>
          <w:rFonts w:hint="eastAsia" w:ascii="Times New Roman" w:hAnsi="Times New Roman" w:eastAsia="仿宋" w:cs="Times New Roman"/>
          <w:color w:val="auto"/>
          <w:kern w:val="2"/>
          <w:sz w:val="32"/>
          <w:szCs w:val="24"/>
          <w:lang w:eastAsia="zh-CN"/>
        </w:rPr>
        <w:t>人民政府和各有关单位发布启动相关应急程序的命令。</w:t>
      </w:r>
      <w:r>
        <w:rPr>
          <w:rFonts w:hint="eastAsia" w:ascii="Times New Roman" w:hAnsi="Times New Roman" w:eastAsia="仿宋" w:cs="Times New Roman"/>
          <w:color w:val="auto"/>
          <w:kern w:val="2"/>
          <w:sz w:val="32"/>
          <w:szCs w:val="24"/>
          <w:lang w:val="en-US" w:eastAsia="zh-CN"/>
        </w:rPr>
        <w:t>县</w:t>
      </w:r>
      <w:r>
        <w:rPr>
          <w:rFonts w:hint="eastAsia" w:ascii="Times New Roman" w:hAnsi="Times New Roman" w:eastAsia="仿宋" w:cs="Times New Roman"/>
          <w:color w:val="auto"/>
          <w:kern w:val="2"/>
          <w:sz w:val="32"/>
          <w:szCs w:val="24"/>
          <w:lang w:eastAsia="zh-CN"/>
        </w:rPr>
        <w:t>指挥部立即派出工作组赶赴事发现场开展应急处置工作，迅速将有关情况逐级报告市人民政府及有关部门。</w:t>
      </w:r>
    </w:p>
    <w:p w14:paraId="15D042B8">
      <w:pPr>
        <w:keepNext/>
        <w:keepLines/>
        <w:widowControl w:val="0"/>
        <w:spacing w:before="60" w:after="60" w:line="440" w:lineRule="exact"/>
        <w:jc w:val="both"/>
        <w:outlineLvl w:val="2"/>
        <w:rPr>
          <w:rFonts w:ascii="Times New Roman" w:hAnsi="Times New Roman" w:eastAsia="黑体" w:cs="Times New Roman"/>
          <w:b/>
          <w:color w:val="auto"/>
          <w:kern w:val="2"/>
          <w:sz w:val="30"/>
          <w:szCs w:val="30"/>
          <w:lang w:eastAsia="zh-CN"/>
        </w:rPr>
      </w:pPr>
      <w:bookmarkStart w:id="87" w:name="_Toc12856"/>
      <w:r>
        <w:rPr>
          <w:rFonts w:ascii="Times New Roman" w:hAnsi="Times New Roman" w:eastAsia="黑体" w:cs="Times New Roman"/>
          <w:b/>
          <w:color w:val="auto"/>
          <w:kern w:val="2"/>
          <w:sz w:val="30"/>
          <w:szCs w:val="30"/>
          <w:lang w:eastAsia="zh-CN"/>
        </w:rPr>
        <w:t>4.2.</w:t>
      </w:r>
      <w:r>
        <w:rPr>
          <w:rFonts w:hint="eastAsia" w:ascii="Times New Roman" w:hAnsi="Times New Roman" w:eastAsia="黑体" w:cs="Times New Roman"/>
          <w:b/>
          <w:color w:val="auto"/>
          <w:kern w:val="2"/>
          <w:sz w:val="30"/>
          <w:szCs w:val="30"/>
          <w:lang w:val="en-US" w:eastAsia="zh-CN"/>
        </w:rPr>
        <w:t>3</w:t>
      </w:r>
      <w:r>
        <w:rPr>
          <w:rFonts w:ascii="Times New Roman" w:hAnsi="Times New Roman" w:eastAsia="黑体" w:cs="Times New Roman"/>
          <w:b/>
          <w:color w:val="auto"/>
          <w:kern w:val="2"/>
          <w:sz w:val="30"/>
          <w:szCs w:val="30"/>
          <w:lang w:eastAsia="zh-CN"/>
        </w:rPr>
        <w:t xml:space="preserve"> Ⅰ级、Ⅱ级应急响应</w:t>
      </w:r>
      <w:bookmarkEnd w:id="87"/>
    </w:p>
    <w:p w14:paraId="1B1140EA">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初判发生特别重大、重大突发环境事件时，</w:t>
      </w:r>
      <w:r>
        <w:rPr>
          <w:rFonts w:hint="eastAsia" w:ascii="Times New Roman" w:hAnsi="Times New Roman" w:eastAsia="仿宋" w:cs="Times New Roman"/>
          <w:color w:val="auto"/>
          <w:kern w:val="2"/>
          <w:sz w:val="32"/>
          <w:szCs w:val="24"/>
          <w:lang w:val="en-US" w:eastAsia="zh-CN"/>
        </w:rPr>
        <w:t>县</w:t>
      </w:r>
      <w:r>
        <w:rPr>
          <w:rFonts w:hint="eastAsia" w:ascii="Times New Roman" w:hAnsi="Times New Roman" w:eastAsia="仿宋" w:cs="Times New Roman"/>
          <w:color w:val="auto"/>
          <w:kern w:val="2"/>
          <w:sz w:val="32"/>
          <w:szCs w:val="24"/>
          <w:lang w:eastAsia="zh-CN"/>
        </w:rPr>
        <w:t>人民政府和市生态环境局</w:t>
      </w:r>
      <w:r>
        <w:rPr>
          <w:rFonts w:hint="eastAsia" w:ascii="Times New Roman" w:hAnsi="Times New Roman" w:eastAsia="仿宋" w:cs="Times New Roman"/>
          <w:color w:val="auto"/>
          <w:kern w:val="2"/>
          <w:sz w:val="32"/>
          <w:szCs w:val="24"/>
          <w:lang w:val="en-US" w:eastAsia="zh-CN"/>
        </w:rPr>
        <w:t>炎陵</w:t>
      </w:r>
      <w:r>
        <w:rPr>
          <w:rFonts w:hint="eastAsia" w:ascii="Times New Roman" w:hAnsi="Times New Roman" w:eastAsia="仿宋" w:cs="Times New Roman"/>
          <w:color w:val="auto"/>
          <w:kern w:val="2"/>
          <w:sz w:val="32"/>
          <w:szCs w:val="24"/>
          <w:lang w:eastAsia="zh-CN"/>
        </w:rPr>
        <w:t>分局分别逐级报市人民政府和市生态环境局以及省人民政府和省生态环境厅，由省、市指挥部组织指挥部成员和专家分析研判，对突发环境事件影响及其发展趋势进行综合评估，由省人民政府、省指挥部或市人民政府、市指挥部决定启动Ⅰ级或Ⅱ级响应，向</w:t>
      </w:r>
      <w:r>
        <w:rPr>
          <w:rFonts w:hint="eastAsia" w:ascii="Times New Roman" w:hAnsi="Times New Roman" w:eastAsia="仿宋" w:cs="Times New Roman"/>
          <w:color w:val="auto"/>
          <w:kern w:val="2"/>
          <w:sz w:val="32"/>
          <w:szCs w:val="24"/>
          <w:lang w:val="en-US" w:eastAsia="zh-CN"/>
        </w:rPr>
        <w:t>县</w:t>
      </w:r>
      <w:r>
        <w:rPr>
          <w:rFonts w:hint="eastAsia" w:ascii="Times New Roman" w:hAnsi="Times New Roman" w:eastAsia="仿宋" w:cs="Times New Roman"/>
          <w:color w:val="auto"/>
          <w:kern w:val="2"/>
          <w:sz w:val="32"/>
          <w:szCs w:val="24"/>
          <w:lang w:eastAsia="zh-CN"/>
        </w:rPr>
        <w:t>人民政府和各有关单位发布启动相关应急程序的命令。应急指挥部立即派出由指挥部成员和专家组成的工作组赶赴事发现场，组织事发地人民政府及相关单位，在上级的指挥下参与应急处置工作。</w:t>
      </w:r>
    </w:p>
    <w:p w14:paraId="658939A1">
      <w:pPr>
        <w:keepNext/>
        <w:keepLines/>
        <w:widowControl w:val="0"/>
        <w:spacing w:before="120" w:after="120" w:line="440" w:lineRule="exact"/>
        <w:jc w:val="both"/>
        <w:outlineLvl w:val="1"/>
        <w:rPr>
          <w:rFonts w:hint="eastAsia" w:ascii="Times New Roman" w:hAnsi="Times New Roman" w:eastAsia="黑体" w:cs="Times New Roman"/>
          <w:b/>
          <w:color w:val="auto"/>
          <w:kern w:val="2"/>
          <w:sz w:val="32"/>
          <w:szCs w:val="32"/>
          <w:lang w:val="en-US" w:eastAsia="zh-CN"/>
        </w:rPr>
      </w:pPr>
      <w:bookmarkStart w:id="88" w:name="_Toc20982"/>
      <w:r>
        <w:rPr>
          <w:rFonts w:ascii="Times New Roman" w:hAnsi="Times New Roman" w:eastAsia="黑体" w:cs="Times New Roman"/>
          <w:b/>
          <w:color w:val="auto"/>
          <w:kern w:val="2"/>
          <w:sz w:val="32"/>
          <w:szCs w:val="32"/>
          <w:lang w:eastAsia="zh-CN"/>
        </w:rPr>
        <w:t>4.</w:t>
      </w:r>
      <w:r>
        <w:rPr>
          <w:rFonts w:hint="eastAsia" w:ascii="Times New Roman" w:hAnsi="Times New Roman" w:eastAsia="黑体" w:cs="Times New Roman"/>
          <w:b/>
          <w:color w:val="auto"/>
          <w:kern w:val="2"/>
          <w:sz w:val="32"/>
          <w:szCs w:val="32"/>
          <w:lang w:val="en-US" w:eastAsia="zh-CN"/>
        </w:rPr>
        <w:t>3</w:t>
      </w:r>
      <w:r>
        <w:rPr>
          <w:rFonts w:ascii="Times New Roman" w:hAnsi="Times New Roman" w:eastAsia="黑体" w:cs="Times New Roman"/>
          <w:b/>
          <w:color w:val="auto"/>
          <w:kern w:val="2"/>
          <w:sz w:val="32"/>
          <w:szCs w:val="32"/>
          <w:lang w:eastAsia="zh-CN"/>
        </w:rPr>
        <w:t xml:space="preserve"> 应急</w:t>
      </w:r>
      <w:r>
        <w:rPr>
          <w:rFonts w:hint="eastAsia" w:ascii="Times New Roman" w:hAnsi="Times New Roman" w:eastAsia="黑体" w:cs="Times New Roman"/>
          <w:b/>
          <w:color w:val="auto"/>
          <w:kern w:val="2"/>
          <w:sz w:val="32"/>
          <w:szCs w:val="32"/>
          <w:lang w:val="en-US" w:eastAsia="zh-CN"/>
        </w:rPr>
        <w:t>响应</w:t>
      </w:r>
      <w:r>
        <w:rPr>
          <w:rFonts w:hint="eastAsia" w:ascii="Times New Roman" w:hAnsi="Times New Roman" w:eastAsia="黑体" w:cs="Times New Roman"/>
          <w:b/>
          <w:color w:val="auto"/>
          <w:kern w:val="2"/>
          <w:sz w:val="32"/>
          <w:szCs w:val="32"/>
          <w:lang w:val="en-US" w:eastAsia="zh-CN"/>
        </w:rPr>
        <w:t>行动</w:t>
      </w:r>
      <w:bookmarkEnd w:id="88"/>
    </w:p>
    <w:p w14:paraId="1AB86A7A">
      <w:pPr>
        <w:keepNext/>
        <w:keepLines/>
        <w:widowControl w:val="0"/>
        <w:spacing w:before="60" w:after="60" w:line="440" w:lineRule="exact"/>
        <w:jc w:val="both"/>
        <w:outlineLvl w:val="2"/>
        <w:rPr>
          <w:rFonts w:hint="default"/>
          <w:lang w:val="en-US" w:eastAsia="zh-CN"/>
        </w:rPr>
      </w:pPr>
      <w:bookmarkStart w:id="89" w:name="_Toc18344"/>
      <w:bookmarkStart w:id="90" w:name="_Toc7639"/>
      <w:r>
        <w:rPr>
          <w:rFonts w:ascii="Times New Roman" w:hAnsi="Times New Roman" w:eastAsia="黑体" w:cs="Times New Roman"/>
          <w:b/>
          <w:color w:val="auto"/>
          <w:kern w:val="2"/>
          <w:sz w:val="30"/>
          <w:szCs w:val="30"/>
          <w:lang w:eastAsia="zh-CN"/>
        </w:rPr>
        <w:t>4.</w:t>
      </w:r>
      <w:r>
        <w:rPr>
          <w:rFonts w:hint="eastAsia" w:ascii="Times New Roman" w:hAnsi="Times New Roman" w:eastAsia="黑体" w:cs="Times New Roman"/>
          <w:b/>
          <w:color w:val="auto"/>
          <w:kern w:val="2"/>
          <w:sz w:val="30"/>
          <w:szCs w:val="30"/>
          <w:lang w:val="en-US" w:eastAsia="zh-CN"/>
        </w:rPr>
        <w:t>3</w:t>
      </w:r>
      <w:r>
        <w:rPr>
          <w:rFonts w:ascii="Times New Roman" w:hAnsi="Times New Roman" w:eastAsia="黑体" w:cs="Times New Roman"/>
          <w:b/>
          <w:color w:val="auto"/>
          <w:kern w:val="2"/>
          <w:sz w:val="30"/>
          <w:szCs w:val="30"/>
          <w:lang w:eastAsia="zh-CN"/>
        </w:rPr>
        <w:t xml:space="preserve">.1 </w:t>
      </w:r>
      <w:r>
        <w:rPr>
          <w:rFonts w:hint="eastAsia" w:ascii="Times New Roman" w:hAnsi="Times New Roman" w:eastAsia="黑体" w:cs="Times New Roman"/>
          <w:b/>
          <w:color w:val="auto"/>
          <w:kern w:val="2"/>
          <w:sz w:val="30"/>
          <w:szCs w:val="30"/>
          <w:lang w:val="en-US" w:eastAsia="zh-CN"/>
        </w:rPr>
        <w:t>先期处置</w:t>
      </w:r>
      <w:bookmarkEnd w:id="89"/>
      <w:bookmarkEnd w:id="90"/>
    </w:p>
    <w:p w14:paraId="4B124062">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1</w:t>
      </w:r>
      <w:r>
        <w:rPr>
          <w:rFonts w:hint="eastAsia" w:ascii="Times New Roman" w:hAnsi="Times New Roman" w:eastAsia="仿宋" w:cs="Times New Roman"/>
          <w:color w:val="auto"/>
          <w:kern w:val="2"/>
          <w:sz w:val="32"/>
          <w:szCs w:val="24"/>
          <w:lang w:eastAsia="zh-CN"/>
        </w:rPr>
        <w:t>）突发环境事件发生后，责任单位要立即进行先期处置，采取措施控制事态发展。并向属地政府（乡镇人民政府或高新区管委会等）报告，根据需要拨打120、119、 110 等电话请求援助。</w:t>
      </w:r>
    </w:p>
    <w:p w14:paraId="3A5E5060">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2</w:t>
      </w:r>
      <w:r>
        <w:rPr>
          <w:rFonts w:hint="eastAsia" w:ascii="Times New Roman" w:hAnsi="Times New Roman" w:eastAsia="仿宋" w:cs="Times New Roman"/>
          <w:color w:val="auto"/>
          <w:kern w:val="2"/>
          <w:sz w:val="32"/>
          <w:szCs w:val="24"/>
          <w:lang w:eastAsia="zh-CN"/>
        </w:rPr>
        <w:t>）事发地人民政府（各乡镇人民政府、高新区管委会）接报后负责突发环境事件的应对工作，县环境应急指挥部各成员立即赶赴现场，组织开展应急处置。主要职责是组织营救和救治受害人员，疏散受威胁人员，组织警力划定禁止通行区域、维护现场秩序、救治受伤人员，采取措施控制事态发展，严防二次污染和次生事件发生。</w:t>
      </w:r>
    </w:p>
    <w:p w14:paraId="17440598">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3</w:t>
      </w:r>
      <w:r>
        <w:rPr>
          <w:rFonts w:hint="eastAsia" w:ascii="Times New Roman" w:hAnsi="Times New Roman" w:eastAsia="仿宋" w:cs="Times New Roman"/>
          <w:color w:val="auto"/>
          <w:kern w:val="2"/>
          <w:sz w:val="32"/>
          <w:szCs w:val="24"/>
          <w:lang w:eastAsia="zh-CN"/>
        </w:rPr>
        <w:t>）事发单位、属地政府及监管单位要及时提供企业和污染源相关资料数据，为实施和调整应急处置方案提供参考。</w:t>
      </w:r>
    </w:p>
    <w:p w14:paraId="1C8FE2C0">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4</w:t>
      </w:r>
      <w:r>
        <w:rPr>
          <w:rFonts w:hint="eastAsia" w:ascii="Times New Roman" w:hAnsi="Times New Roman" w:eastAsia="仿宋" w:cs="Times New Roman"/>
          <w:color w:val="auto"/>
          <w:kern w:val="2"/>
          <w:sz w:val="32"/>
          <w:szCs w:val="24"/>
          <w:lang w:eastAsia="zh-CN"/>
        </w:rPr>
        <w:t>）县消防救援大队、县卫生健康局组织专业应急人员及设备装备，赶赴现场参与救援。</w:t>
      </w:r>
    </w:p>
    <w:p w14:paraId="21C61584">
      <w:pPr>
        <w:keepNext/>
        <w:keepLines/>
        <w:widowControl w:val="0"/>
        <w:spacing w:before="60" w:after="60" w:line="440" w:lineRule="exact"/>
        <w:jc w:val="both"/>
        <w:outlineLvl w:val="2"/>
        <w:rPr>
          <w:rFonts w:hint="default"/>
          <w:lang w:val="en-US" w:eastAsia="zh-CN"/>
        </w:rPr>
      </w:pPr>
      <w:bookmarkStart w:id="91" w:name="_Toc28803"/>
      <w:r>
        <w:rPr>
          <w:rFonts w:ascii="Times New Roman" w:hAnsi="Times New Roman" w:eastAsia="黑体" w:cs="Times New Roman"/>
          <w:b/>
          <w:color w:val="auto"/>
          <w:kern w:val="2"/>
          <w:sz w:val="30"/>
          <w:szCs w:val="30"/>
          <w:lang w:eastAsia="zh-CN"/>
        </w:rPr>
        <w:t>4.</w:t>
      </w:r>
      <w:r>
        <w:rPr>
          <w:rFonts w:hint="eastAsia" w:ascii="Times New Roman" w:hAnsi="Times New Roman" w:eastAsia="黑体" w:cs="Times New Roman"/>
          <w:b/>
          <w:color w:val="auto"/>
          <w:kern w:val="2"/>
          <w:sz w:val="30"/>
          <w:szCs w:val="30"/>
          <w:lang w:val="en-US" w:eastAsia="zh-CN"/>
        </w:rPr>
        <w:t>3</w:t>
      </w:r>
      <w:r>
        <w:rPr>
          <w:rFonts w:ascii="Times New Roman" w:hAnsi="Times New Roman" w:eastAsia="黑体" w:cs="Times New Roman"/>
          <w:b/>
          <w:color w:val="auto"/>
          <w:kern w:val="2"/>
          <w:sz w:val="30"/>
          <w:szCs w:val="30"/>
          <w:lang w:eastAsia="zh-CN"/>
        </w:rPr>
        <w:t>.</w:t>
      </w:r>
      <w:r>
        <w:rPr>
          <w:rFonts w:hint="eastAsia" w:ascii="Times New Roman" w:hAnsi="Times New Roman" w:eastAsia="黑体" w:cs="Times New Roman"/>
          <w:b/>
          <w:color w:val="auto"/>
          <w:kern w:val="2"/>
          <w:sz w:val="30"/>
          <w:szCs w:val="30"/>
          <w:lang w:val="en-US" w:eastAsia="zh-CN"/>
        </w:rPr>
        <w:t>2</w:t>
      </w:r>
      <w:r>
        <w:rPr>
          <w:rFonts w:ascii="Times New Roman" w:hAnsi="Times New Roman" w:eastAsia="黑体" w:cs="Times New Roman"/>
          <w:b/>
          <w:color w:val="auto"/>
          <w:kern w:val="2"/>
          <w:sz w:val="30"/>
          <w:szCs w:val="30"/>
          <w:lang w:eastAsia="zh-CN"/>
        </w:rPr>
        <w:t xml:space="preserve"> </w:t>
      </w:r>
      <w:r>
        <w:rPr>
          <w:rFonts w:hint="eastAsia" w:ascii="Times New Roman" w:hAnsi="Times New Roman" w:eastAsia="黑体" w:cs="Times New Roman"/>
          <w:b/>
          <w:color w:val="auto"/>
          <w:kern w:val="2"/>
          <w:sz w:val="30"/>
          <w:szCs w:val="30"/>
          <w:lang w:val="en-US" w:eastAsia="zh-CN"/>
        </w:rPr>
        <w:t>响应措施</w:t>
      </w:r>
      <w:bookmarkEnd w:id="91"/>
    </w:p>
    <w:p w14:paraId="403BBFD7">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I级、II、Ⅲ级应急响应启动后，县环境应急指挥部服从上级现场应急救援指挥部指挥，开展应急处置工作。Ⅳ级应急响应启动后，县人民政府授权有关负责人担任现场应急指挥部指挥长，现场应急指挥部的具体名称和设置地点，根据处置工作需要，由县环境应急指挥部确定。各专项工作组、专家机构服从现场应急指挥部指挥展开救援处置工作。</w:t>
      </w:r>
    </w:p>
    <w:p w14:paraId="42A4B71A">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 xml:space="preserve">现场应急响应措施包括以下几个方面： </w:t>
      </w:r>
    </w:p>
    <w:p w14:paraId="18816E4F">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1</w:t>
      </w:r>
      <w:r>
        <w:rPr>
          <w:rFonts w:hint="eastAsia" w:ascii="Times New Roman" w:hAnsi="Times New Roman" w:eastAsia="仿宋" w:cs="Times New Roman"/>
          <w:color w:val="auto"/>
          <w:kern w:val="2"/>
          <w:sz w:val="32"/>
          <w:szCs w:val="24"/>
          <w:lang w:eastAsia="zh-CN"/>
        </w:rPr>
        <w:t>）综合协调工作：县环境应急指挥部安排专人负责搜集现场各方面情况信息，随时向县人民政府汇报处置工作进展情况，并做好处置现场的综合协调工作。县人民政府办公室负责协助做好信息报告和现场协调工作。</w:t>
      </w:r>
    </w:p>
    <w:p w14:paraId="3232CEA5">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2</w:t>
      </w:r>
      <w:r>
        <w:rPr>
          <w:rFonts w:hint="eastAsia" w:ascii="Times New Roman" w:hAnsi="Times New Roman" w:eastAsia="仿宋" w:cs="Times New Roman"/>
          <w:color w:val="auto"/>
          <w:kern w:val="2"/>
          <w:sz w:val="32"/>
          <w:szCs w:val="24"/>
          <w:lang w:eastAsia="zh-CN"/>
        </w:rPr>
        <w:t>）人员转移安置：首先组织营救和救治受害人员。其次，根据突发环境事件影响范围、程度以及事发当地的气象、地理环境、人员密集度等，建立现场警戒区、交通管制区域和重点防护区域，确定受威胁人员疏散的方式和途径，有组织、有秩序地 及时疏散转移受威胁人员和可能受影响地区居民，确保生命安全，妥善做好转移人员安置工作。</w:t>
      </w:r>
    </w:p>
    <w:p w14:paraId="46CE920F">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3</w:t>
      </w:r>
      <w:r>
        <w:rPr>
          <w:rFonts w:hint="eastAsia" w:ascii="Times New Roman" w:hAnsi="Times New Roman" w:eastAsia="仿宋" w:cs="Times New Roman"/>
          <w:color w:val="auto"/>
          <w:kern w:val="2"/>
          <w:sz w:val="32"/>
          <w:szCs w:val="24"/>
          <w:lang w:eastAsia="zh-CN"/>
        </w:rPr>
        <w:t>）医学救援：县卫生健康局就近安排受伤人员进行急救，重症人员要及时转移至县级医院或转运至市级医院进行救治。视情增派医疗卫生专家和卫生应急队伍、调配急需医药物资，支持事发地医学救援工作。提出保护公众健康的措施建议，做好受影响人员的心理援助。</w:t>
      </w:r>
    </w:p>
    <w:p w14:paraId="55CED34A">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4</w:t>
      </w:r>
      <w:r>
        <w:rPr>
          <w:rFonts w:hint="eastAsia" w:ascii="Times New Roman" w:hAnsi="Times New Roman" w:eastAsia="仿宋" w:cs="Times New Roman"/>
          <w:color w:val="auto"/>
          <w:kern w:val="2"/>
          <w:sz w:val="32"/>
          <w:szCs w:val="24"/>
          <w:lang w:eastAsia="zh-CN"/>
        </w:rPr>
        <w:t>）抢险：立即抢修被损坏的交通、通信、供水、排水、供电、供气等公共设施，短时难以恢复的，应当实施临时过渡方案，优先保障突发事件应急处置，保障社会生产生活基本需要。</w:t>
      </w:r>
    </w:p>
    <w:p w14:paraId="08B28624">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5</w:t>
      </w:r>
      <w:r>
        <w:rPr>
          <w:rFonts w:hint="eastAsia" w:ascii="Times New Roman" w:hAnsi="Times New Roman" w:eastAsia="仿宋" w:cs="Times New Roman"/>
          <w:color w:val="auto"/>
          <w:kern w:val="2"/>
          <w:sz w:val="32"/>
          <w:szCs w:val="24"/>
          <w:lang w:eastAsia="zh-CN"/>
        </w:rPr>
        <w:t>）现场应急监测：由应急监测组负责对现场开展应急监测工作，分析污染种类和数量及可能造成的影响，判断事件的变化趋势，向现场指挥部提出控制和消除影响的科学建议，必要时可请第三方专业监测机构进行应急监测。根据监测结果，综合分析突发环境事件污染变化趋势，并通过专家咨询和讨论的方式，预测并报告突发环境事件的发展情况和污染物的变化情况，判定突发环境事件发生后的危害程度以及受影响的范围，为突发环境事件应急决策提供依据。</w:t>
      </w:r>
    </w:p>
    <w:p w14:paraId="78AA3F21">
      <w:pPr>
        <w:widowControl w:val="0"/>
        <w:spacing w:line="580" w:lineRule="exact"/>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　　（</w:t>
      </w:r>
      <w:r>
        <w:rPr>
          <w:rFonts w:hint="eastAsia" w:ascii="Times New Roman" w:hAnsi="Times New Roman" w:eastAsia="仿宋" w:cs="Times New Roman"/>
          <w:color w:val="auto"/>
          <w:kern w:val="2"/>
          <w:sz w:val="32"/>
          <w:szCs w:val="24"/>
          <w:lang w:val="en-US" w:eastAsia="zh-CN"/>
        </w:rPr>
        <w:t>6</w:t>
      </w:r>
      <w:r>
        <w:rPr>
          <w:rFonts w:hint="eastAsia" w:ascii="Times New Roman" w:hAnsi="Times New Roman" w:eastAsia="仿宋" w:cs="Times New Roman"/>
          <w:color w:val="auto"/>
          <w:kern w:val="2"/>
          <w:sz w:val="32"/>
          <w:szCs w:val="24"/>
          <w:lang w:eastAsia="zh-CN"/>
        </w:rPr>
        <w:t>）现场控制与处置：现场应急指挥部根据现场调查以及监测数据和检测结果，确定应急处置方案，组织污染处置组人员采取阻断、覆盖、隔离、过滤、清洗、封闭、中和、稀释、转移等措施处置污染源。县公安局安排足够警力维护现场秩序，划定警戒区域，对事发地及周边地区实行交通管制，保证抢险救援车辆顺畅通行。</w:t>
      </w:r>
    </w:p>
    <w:p w14:paraId="5E458E90">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7</w:t>
      </w:r>
      <w:r>
        <w:rPr>
          <w:rFonts w:hint="eastAsia" w:ascii="Times New Roman" w:hAnsi="Times New Roman" w:eastAsia="仿宋" w:cs="Times New Roman"/>
          <w:color w:val="auto"/>
          <w:kern w:val="2"/>
          <w:sz w:val="32"/>
          <w:szCs w:val="24"/>
          <w:lang w:eastAsia="zh-CN"/>
        </w:rPr>
        <w:t>）安全防护：现场处置人员应根据不同类型环境事件的特点，配备相应的专业防护装备，采取安全防护措施。严格执行应急人员出入事发现场程序。</w:t>
      </w:r>
    </w:p>
    <w:p w14:paraId="0CCD912E">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w:t>
      </w:r>
      <w:r>
        <w:rPr>
          <w:rFonts w:hint="eastAsia" w:ascii="Times New Roman" w:hAnsi="Times New Roman" w:eastAsia="仿宋" w:cs="Times New Roman"/>
          <w:color w:val="auto"/>
          <w:kern w:val="2"/>
          <w:sz w:val="32"/>
          <w:szCs w:val="24"/>
          <w:lang w:val="en-US" w:eastAsia="zh-CN"/>
        </w:rPr>
        <w:t>8</w:t>
      </w:r>
      <w:r>
        <w:rPr>
          <w:rFonts w:hint="eastAsia" w:ascii="Times New Roman" w:hAnsi="Times New Roman" w:eastAsia="仿宋" w:cs="Times New Roman"/>
          <w:color w:val="auto"/>
          <w:kern w:val="2"/>
          <w:sz w:val="32"/>
          <w:szCs w:val="24"/>
          <w:lang w:eastAsia="zh-CN"/>
        </w:rPr>
        <w:t>）社会维稳：密切关注受事件影响地区市场供应情况及公众反映，县公安局维护受影响地区的治安。加强对重要生活必需品等商品的市场监管和调控。禁止或限制受污染食品和饮用水的生产、加工、流通和食用，防范因突发环境事件造成的集体中毒等。</w:t>
      </w:r>
    </w:p>
    <w:p w14:paraId="6158F759">
      <w:pPr>
        <w:keepNext/>
        <w:keepLines/>
        <w:widowControl w:val="0"/>
        <w:spacing w:before="120" w:after="120" w:line="440" w:lineRule="exact"/>
        <w:jc w:val="both"/>
        <w:outlineLvl w:val="1"/>
        <w:rPr>
          <w:rFonts w:hint="default" w:ascii="Times New Roman" w:hAnsi="Times New Roman" w:eastAsia="黑体" w:cs="Times New Roman"/>
          <w:b/>
          <w:color w:val="auto"/>
          <w:kern w:val="2"/>
          <w:sz w:val="32"/>
          <w:szCs w:val="32"/>
          <w:lang w:val="en-US" w:eastAsia="zh-CN"/>
        </w:rPr>
      </w:pPr>
      <w:bookmarkStart w:id="92" w:name="_Toc32272"/>
      <w:r>
        <w:rPr>
          <w:rFonts w:ascii="Times New Roman" w:hAnsi="Times New Roman" w:eastAsia="黑体" w:cs="Times New Roman"/>
          <w:b/>
          <w:color w:val="auto"/>
          <w:kern w:val="2"/>
          <w:sz w:val="32"/>
          <w:szCs w:val="32"/>
          <w:lang w:eastAsia="zh-CN"/>
        </w:rPr>
        <w:t xml:space="preserve">4.4 </w:t>
      </w:r>
      <w:r>
        <w:rPr>
          <w:rFonts w:hint="eastAsia" w:ascii="Times New Roman" w:hAnsi="Times New Roman" w:eastAsia="黑体" w:cs="Times New Roman"/>
          <w:b/>
          <w:color w:val="auto"/>
          <w:kern w:val="2"/>
          <w:sz w:val="32"/>
          <w:szCs w:val="32"/>
          <w:lang w:val="en-US" w:eastAsia="zh-CN"/>
        </w:rPr>
        <w:t>信息发布</w:t>
      </w:r>
      <w:bookmarkEnd w:id="92"/>
    </w:p>
    <w:p w14:paraId="415E8914">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县委宣传部与市生态环境局炎陵分局、县应急管理局共同 拟定新闻通稿，由县人民政府授权新闻宣传组发布突发环境事件应对工作信息，回应社会关切，澄清不实信息，正确引导社会舆论。信息发布的内容包括事件原因、污染程度、影响范围、应对措施、需要公众配合采取的措施、公众防范常识和事件调查处理进展情况等。</w:t>
      </w:r>
    </w:p>
    <w:p w14:paraId="1F1BC066">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县委宣传部</w:t>
      </w:r>
      <w:r>
        <w:rPr>
          <w:rFonts w:hint="eastAsia" w:ascii="Times New Roman" w:hAnsi="Times New Roman" w:eastAsia="仿宋" w:cs="Times New Roman"/>
          <w:color w:val="auto"/>
          <w:kern w:val="2"/>
          <w:sz w:val="32"/>
          <w:szCs w:val="24"/>
          <w:lang w:eastAsia="zh-CN"/>
        </w:rPr>
        <w:t>负责组织做好媒体记者的接待服务工作，协助相关部门提供所需的信息要情，加强舆情信息监控，正确引导舆论导向。</w:t>
      </w:r>
    </w:p>
    <w:p w14:paraId="6EB1D49A">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按规定应由上一级人民政府统一负责新闻发布工作时，由</w:t>
      </w:r>
      <w:r>
        <w:rPr>
          <w:rFonts w:hint="eastAsia" w:ascii="Times New Roman" w:hAnsi="Times New Roman" w:eastAsia="仿宋" w:cs="Times New Roman"/>
          <w:color w:val="auto"/>
          <w:kern w:val="2"/>
          <w:sz w:val="32"/>
          <w:szCs w:val="24"/>
          <w:lang w:eastAsia="zh-CN"/>
        </w:rPr>
        <w:t>县委宣传部</w:t>
      </w:r>
      <w:r>
        <w:rPr>
          <w:rFonts w:hint="eastAsia" w:ascii="Times New Roman" w:hAnsi="Times New Roman" w:eastAsia="仿宋" w:cs="Times New Roman"/>
          <w:color w:val="auto"/>
          <w:kern w:val="2"/>
          <w:sz w:val="32"/>
          <w:szCs w:val="24"/>
          <w:lang w:eastAsia="zh-CN"/>
        </w:rPr>
        <w:t>负责对接有关事项并落实相关工作。</w:t>
      </w:r>
    </w:p>
    <w:p w14:paraId="3EB30316">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93" w:name="_Toc2880"/>
      <w:r>
        <w:rPr>
          <w:rFonts w:ascii="Times New Roman" w:hAnsi="Times New Roman" w:eastAsia="黑体" w:cs="Times New Roman"/>
          <w:b/>
          <w:color w:val="auto"/>
          <w:kern w:val="2"/>
          <w:sz w:val="32"/>
          <w:szCs w:val="32"/>
          <w:lang w:eastAsia="zh-CN"/>
        </w:rPr>
        <w:t>4.</w:t>
      </w:r>
      <w:r>
        <w:rPr>
          <w:rFonts w:hint="eastAsia" w:ascii="Times New Roman" w:hAnsi="Times New Roman" w:eastAsia="黑体" w:cs="Times New Roman"/>
          <w:b/>
          <w:color w:val="auto"/>
          <w:kern w:val="2"/>
          <w:sz w:val="32"/>
          <w:szCs w:val="32"/>
          <w:lang w:val="en-US" w:eastAsia="zh-CN"/>
        </w:rPr>
        <w:t>5</w:t>
      </w:r>
      <w:r>
        <w:rPr>
          <w:rFonts w:ascii="Times New Roman" w:hAnsi="Times New Roman" w:eastAsia="黑体" w:cs="Times New Roman"/>
          <w:b/>
          <w:color w:val="auto"/>
          <w:kern w:val="2"/>
          <w:sz w:val="32"/>
          <w:szCs w:val="32"/>
          <w:lang w:eastAsia="zh-CN"/>
        </w:rPr>
        <w:t xml:space="preserve"> </w:t>
      </w:r>
      <w:r>
        <w:rPr>
          <w:rFonts w:hint="eastAsia" w:ascii="Times New Roman" w:hAnsi="Times New Roman" w:eastAsia="黑体" w:cs="Times New Roman"/>
          <w:b/>
          <w:color w:val="auto"/>
          <w:kern w:val="2"/>
          <w:sz w:val="32"/>
          <w:szCs w:val="32"/>
          <w:lang w:eastAsia="zh-CN"/>
        </w:rPr>
        <w:t>响应终止</w:t>
      </w:r>
      <w:bookmarkEnd w:id="93"/>
    </w:p>
    <w:p w14:paraId="5765C48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当事件条件已经排除、污染物质已降至规定限值以内、所造成的危害基本消除时，由启动响应的人民政府终止应急响应。符合下列情况之一的，即满足应急终止条件：</w:t>
      </w:r>
    </w:p>
    <w:p w14:paraId="04DA370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（1）事件现场危险状态得到控制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事件发生条件已经消除；</w:t>
      </w:r>
    </w:p>
    <w:p w14:paraId="7E072A8D">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（2）污染源的</w:t>
      </w:r>
      <w:r>
        <w:rPr>
          <w:rFonts w:hint="eastAsia" w:ascii="Times New Roman" w:hAnsi="Times New Roman" w:eastAsia="仿宋_GB2312" w:cs="Times New Roman"/>
          <w:snapToGrid/>
          <w:color w:val="auto"/>
          <w:kern w:val="2"/>
          <w:sz w:val="32"/>
          <w:szCs w:val="32"/>
          <w:lang w:eastAsia="zh-CN"/>
        </w:rPr>
        <w:t>泄漏</w:t>
      </w:r>
      <w:r>
        <w:rPr>
          <w:rFonts w:ascii="Times New Roman" w:hAnsi="Times New Roman" w:eastAsia="仿宋_GB2312" w:cs="Times New Roman"/>
          <w:snapToGrid/>
          <w:color w:val="auto"/>
          <w:kern w:val="2"/>
          <w:sz w:val="32"/>
          <w:szCs w:val="32"/>
          <w:lang w:eastAsia="zh-CN"/>
        </w:rPr>
        <w:t>或释放已降至规定值以内</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无继续发生可能；</w:t>
      </w:r>
    </w:p>
    <w:p w14:paraId="372EA13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（3）采取了必要的防护措施以保护群众免受再次危害</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事件可能引起的中长期影响趋于合理且处于尽量低的水平。</w:t>
      </w:r>
    </w:p>
    <w:p w14:paraId="087E9229">
      <w:pPr>
        <w:pStyle w:val="4"/>
        <w:rPr>
          <w:lang w:eastAsia="zh-CN"/>
        </w:rPr>
        <w:sectPr>
          <w:footerReference r:id="rId9" w:type="default"/>
          <w:pgSz w:w="11906" w:h="16838"/>
          <w:pgMar w:top="1984" w:right="1474" w:bottom="1871" w:left="1587" w:header="851" w:footer="1587" w:gutter="0"/>
          <w:cols w:space="720" w:num="1"/>
          <w:titlePg/>
          <w:docGrid w:linePitch="312" w:charSpace="0"/>
        </w:sectPr>
      </w:pPr>
    </w:p>
    <w:p w14:paraId="1ABF3B12">
      <w:pPr>
        <w:keepNext/>
        <w:keepLines/>
        <w:widowControl w:val="0"/>
        <w:spacing w:before="180" w:after="180" w:line="440" w:lineRule="exact"/>
        <w:jc w:val="both"/>
        <w:outlineLvl w:val="0"/>
        <w:rPr>
          <w:rFonts w:ascii="Times New Roman" w:hAnsi="Times New Roman" w:eastAsia="黑体" w:cs="Times New Roman"/>
          <w:b/>
          <w:bCs/>
          <w:color w:val="auto"/>
          <w:kern w:val="44"/>
          <w:sz w:val="36"/>
          <w:szCs w:val="36"/>
          <w:lang w:eastAsia="zh-CN"/>
        </w:rPr>
      </w:pPr>
      <w:bookmarkStart w:id="94" w:name="_Toc6044"/>
      <w:r>
        <w:rPr>
          <w:rFonts w:hint="eastAsia" w:ascii="Times New Roman" w:hAnsi="Times New Roman" w:eastAsia="黑体" w:cs="Times New Roman"/>
          <w:b/>
          <w:bCs/>
          <w:color w:val="auto"/>
          <w:kern w:val="44"/>
          <w:sz w:val="36"/>
          <w:szCs w:val="36"/>
          <w:lang w:val="en-US" w:eastAsia="zh-CN"/>
        </w:rPr>
        <w:t xml:space="preserve">5 </w:t>
      </w:r>
      <w:r>
        <w:rPr>
          <w:rFonts w:ascii="Times New Roman" w:hAnsi="Times New Roman" w:eastAsia="黑体" w:cs="Times New Roman"/>
          <w:b/>
          <w:bCs/>
          <w:color w:val="auto"/>
          <w:kern w:val="44"/>
          <w:sz w:val="36"/>
          <w:szCs w:val="36"/>
          <w:lang w:eastAsia="zh-CN"/>
        </w:rPr>
        <w:t xml:space="preserve"> 后期处置</w:t>
      </w:r>
      <w:bookmarkEnd w:id="94"/>
    </w:p>
    <w:p w14:paraId="4B81BA43">
      <w:pPr>
        <w:keepNext/>
        <w:keepLines/>
        <w:widowControl w:val="0"/>
        <w:spacing w:before="120" w:after="120" w:line="440" w:lineRule="exact"/>
        <w:jc w:val="both"/>
        <w:outlineLvl w:val="1"/>
        <w:rPr>
          <w:rFonts w:hint="default" w:ascii="Times New Roman" w:hAnsi="Times New Roman" w:eastAsia="黑体" w:cs="Times New Roman"/>
          <w:b/>
          <w:color w:val="auto"/>
          <w:kern w:val="2"/>
          <w:sz w:val="32"/>
          <w:szCs w:val="32"/>
          <w:lang w:val="en-US" w:eastAsia="zh-CN"/>
        </w:rPr>
      </w:pPr>
      <w:bookmarkStart w:id="95" w:name="_Toc5746"/>
      <w:bookmarkStart w:id="96" w:name="_Toc17481"/>
      <w:bookmarkStart w:id="97" w:name="_Toc26890827"/>
      <w:r>
        <w:rPr>
          <w:rFonts w:hint="eastAsia" w:ascii="Times New Roman" w:hAnsi="Times New Roman" w:eastAsia="黑体" w:cs="Times New Roman"/>
          <w:b/>
          <w:color w:val="auto"/>
          <w:kern w:val="2"/>
          <w:sz w:val="32"/>
          <w:szCs w:val="32"/>
          <w:lang w:val="en-US" w:eastAsia="zh-CN"/>
        </w:rPr>
        <w:t>5</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1</w:t>
      </w:r>
      <w:r>
        <w:rPr>
          <w:rFonts w:ascii="Times New Roman" w:hAnsi="Times New Roman" w:eastAsia="黑体" w:cs="Times New Roman"/>
          <w:b/>
          <w:color w:val="auto"/>
          <w:kern w:val="2"/>
          <w:sz w:val="32"/>
          <w:szCs w:val="32"/>
          <w:lang w:eastAsia="zh-CN"/>
        </w:rPr>
        <w:t xml:space="preserve"> </w:t>
      </w:r>
      <w:r>
        <w:rPr>
          <w:rFonts w:hint="eastAsia" w:ascii="Times New Roman" w:hAnsi="Times New Roman" w:eastAsia="黑体" w:cs="Times New Roman"/>
          <w:b/>
          <w:color w:val="auto"/>
          <w:kern w:val="2"/>
          <w:sz w:val="32"/>
          <w:szCs w:val="32"/>
          <w:lang w:val="en-US" w:eastAsia="zh-CN"/>
        </w:rPr>
        <w:t>善后处置</w:t>
      </w:r>
      <w:bookmarkEnd w:id="95"/>
    </w:p>
    <w:p w14:paraId="606F2376">
      <w:pPr>
        <w:widowControl w:val="0"/>
        <w:kinsoku/>
        <w:autoSpaceDE/>
        <w:autoSpaceDN/>
        <w:spacing w:line="57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应急响应结束后，应急指挥部应指导并要求继续实施环境监测、污染治理等应急措施，防止造成次生、衍生环境污染。并根据突发环境事件污染物特征制定生态修复计划，及时开展生态修复。突发环境事件应急工作结束后，</w:t>
      </w:r>
      <w:r>
        <w:rPr>
          <w:rFonts w:hint="eastAsia" w:ascii="Times New Roman" w:hAnsi="Times New Roman" w:eastAsia="仿宋_GB2312" w:cs="Times New Roman"/>
          <w:snapToGrid/>
          <w:color w:val="auto"/>
          <w:kern w:val="2"/>
          <w:sz w:val="32"/>
          <w:szCs w:val="32"/>
          <w:lang w:val="en-US" w:eastAsia="zh-CN"/>
        </w:rPr>
        <w:t>县</w:t>
      </w:r>
      <w:r>
        <w:rPr>
          <w:rFonts w:hint="eastAsia" w:ascii="Times New Roman" w:hAnsi="Times New Roman" w:eastAsia="仿宋_GB2312" w:cs="Times New Roman"/>
          <w:snapToGrid/>
          <w:color w:val="auto"/>
          <w:kern w:val="2"/>
          <w:sz w:val="32"/>
          <w:szCs w:val="32"/>
          <w:lang w:eastAsia="zh-CN"/>
        </w:rPr>
        <w:t>人民政府和事发地</w:t>
      </w:r>
      <w:r>
        <w:rPr>
          <w:rFonts w:hint="eastAsia" w:ascii="Times New Roman" w:hAnsi="Times New Roman" w:eastAsia="仿宋_GB2312" w:cs="Times New Roman"/>
          <w:snapToGrid/>
          <w:color w:val="auto"/>
          <w:kern w:val="2"/>
          <w:sz w:val="32"/>
          <w:szCs w:val="32"/>
          <w:lang w:val="en-US" w:eastAsia="zh-CN"/>
        </w:rPr>
        <w:t>乡镇</w:t>
      </w:r>
      <w:r>
        <w:rPr>
          <w:rFonts w:hint="eastAsia" w:ascii="Times New Roman" w:hAnsi="Times New Roman" w:eastAsia="仿宋_GB2312" w:cs="Times New Roman"/>
          <w:snapToGrid/>
          <w:color w:val="auto"/>
          <w:kern w:val="2"/>
          <w:sz w:val="32"/>
          <w:szCs w:val="32"/>
          <w:lang w:eastAsia="zh-CN"/>
        </w:rPr>
        <w:t>人民政府、高新区</w:t>
      </w:r>
      <w:r>
        <w:rPr>
          <w:rFonts w:hint="eastAsia" w:ascii="Times New Roman" w:hAnsi="Times New Roman" w:eastAsia="仿宋_GB2312" w:cs="Times New Roman"/>
          <w:snapToGrid/>
          <w:color w:val="auto"/>
          <w:kern w:val="2"/>
          <w:sz w:val="32"/>
          <w:szCs w:val="32"/>
          <w:lang w:val="en-US" w:eastAsia="zh-CN"/>
        </w:rPr>
        <w:t>管委会</w:t>
      </w:r>
      <w:r>
        <w:rPr>
          <w:rFonts w:hint="eastAsia" w:ascii="Times New Roman" w:hAnsi="Times New Roman" w:eastAsia="仿宋_GB2312" w:cs="Times New Roman"/>
          <w:snapToGrid/>
          <w:color w:val="auto"/>
          <w:kern w:val="2"/>
          <w:sz w:val="32"/>
          <w:szCs w:val="32"/>
          <w:lang w:eastAsia="zh-CN"/>
        </w:rPr>
        <w:t>及时制订善后工作方案并组织实施；做好受灾人员的补助、抚慰、抚恤和安置工作，确保社会稳定；被征用的防治污染设施、设备、器材以及其他物资等财产使用完毕后，应当及时返还，财产被征用或者征用后毁损、灭失的，要按照有关规定给予补偿。保险机构要及时开展相关理赔工作。</w:t>
      </w:r>
    </w:p>
    <w:p w14:paraId="4C87133C">
      <w:pPr>
        <w:keepNext w:val="0"/>
        <w:keepLines w:val="0"/>
        <w:pageBreakBefore w:val="0"/>
        <w:widowControl w:val="0"/>
        <w:kinsoku/>
        <w:wordWrap/>
        <w:overflowPunct/>
        <w:topLinePunct w:val="0"/>
        <w:autoSpaceDE/>
        <w:autoSpaceDN/>
        <w:bidi w:val="0"/>
        <w:adjustRightInd w:val="0"/>
        <w:snapToGrid w:val="0"/>
        <w:spacing w:line="570" w:lineRule="exact"/>
        <w:jc w:val="both"/>
        <w:textAlignment w:val="auto"/>
        <w:outlineLvl w:val="1"/>
        <w:rPr>
          <w:rFonts w:hint="default" w:ascii="Times New Roman" w:hAnsi="Times New Roman" w:eastAsia="黑体" w:cs="Times New Roman"/>
          <w:b/>
          <w:color w:val="auto"/>
          <w:kern w:val="2"/>
          <w:sz w:val="32"/>
          <w:szCs w:val="32"/>
          <w:lang w:val="en-US" w:eastAsia="zh-CN"/>
        </w:rPr>
      </w:pPr>
      <w:bookmarkStart w:id="98" w:name="_Toc12063"/>
      <w:r>
        <w:rPr>
          <w:rFonts w:hint="eastAsia" w:ascii="Times New Roman" w:hAnsi="Times New Roman" w:eastAsia="黑体" w:cs="Times New Roman"/>
          <w:b/>
          <w:color w:val="auto"/>
          <w:kern w:val="2"/>
          <w:sz w:val="32"/>
          <w:szCs w:val="32"/>
          <w:lang w:val="en-US" w:eastAsia="zh-CN"/>
        </w:rPr>
        <w:t>5</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2</w:t>
      </w:r>
      <w:r>
        <w:rPr>
          <w:rFonts w:ascii="Times New Roman" w:hAnsi="Times New Roman" w:eastAsia="黑体" w:cs="Times New Roman"/>
          <w:b/>
          <w:color w:val="auto"/>
          <w:kern w:val="2"/>
          <w:sz w:val="32"/>
          <w:szCs w:val="32"/>
          <w:lang w:eastAsia="zh-CN"/>
        </w:rPr>
        <w:t xml:space="preserve"> </w:t>
      </w:r>
      <w:r>
        <w:rPr>
          <w:rFonts w:hint="eastAsia" w:ascii="Times New Roman" w:hAnsi="Times New Roman" w:eastAsia="黑体" w:cs="Times New Roman"/>
          <w:b/>
          <w:color w:val="auto"/>
          <w:kern w:val="2"/>
          <w:sz w:val="32"/>
          <w:szCs w:val="32"/>
          <w:lang w:eastAsia="zh-CN"/>
        </w:rPr>
        <w:t>污染</w:t>
      </w:r>
      <w:r>
        <w:rPr>
          <w:rFonts w:hint="eastAsia" w:ascii="Times New Roman" w:hAnsi="Times New Roman" w:eastAsia="黑体" w:cs="Times New Roman"/>
          <w:b/>
          <w:color w:val="auto"/>
          <w:kern w:val="2"/>
          <w:sz w:val="32"/>
          <w:szCs w:val="32"/>
          <w:lang w:val="en-US" w:eastAsia="zh-CN"/>
        </w:rPr>
        <w:t>损害评估</w:t>
      </w:r>
      <w:bookmarkEnd w:id="98"/>
    </w:p>
    <w:p w14:paraId="539585AF">
      <w:pPr>
        <w:widowControl w:val="0"/>
        <w:spacing w:line="580" w:lineRule="exact"/>
        <w:ind w:firstLine="640" w:firstLineChars="200"/>
        <w:jc w:val="both"/>
        <w:rPr>
          <w:rFonts w:hint="eastAsia"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突发环境事件应急响应终止后，生态环境部门要及时组织开展污染损害评估，并将评估结果向社会公布。评估结论作为事件调查处理、损害赔偿、环境修复费和生态恢复重建的依据。</w:t>
      </w:r>
    </w:p>
    <w:p w14:paraId="4ADE46DB">
      <w:pPr>
        <w:pStyle w:val="4"/>
        <w:keepNext/>
        <w:keepLines/>
        <w:pageBreakBefore w:val="0"/>
        <w:widowControl/>
        <w:kinsoku w:val="0"/>
        <w:wordWrap/>
        <w:overflowPunct/>
        <w:topLinePunct w:val="0"/>
        <w:autoSpaceDE w:val="0"/>
        <w:autoSpaceDN w:val="0"/>
        <w:bidi w:val="0"/>
        <w:adjustRightInd w:val="0"/>
        <w:snapToGrid w:val="0"/>
        <w:spacing w:before="0" w:after="0" w:line="580" w:lineRule="exact"/>
        <w:textAlignment w:val="baseline"/>
        <w:rPr>
          <w:rFonts w:hint="eastAsia"/>
          <w:lang w:eastAsia="zh-CN"/>
        </w:rPr>
      </w:pPr>
      <w:r>
        <w:rPr>
          <w:rFonts w:hint="eastAsia" w:ascii="Times New Roman" w:hAnsi="Times New Roman" w:eastAsia="仿宋" w:cs="Times New Roman"/>
          <w:color w:val="auto"/>
          <w:kern w:val="2"/>
          <w:sz w:val="32"/>
          <w:szCs w:val="24"/>
          <w:lang w:eastAsia="zh-CN"/>
        </w:rPr>
        <w:t>　</w:t>
      </w:r>
      <w:bookmarkStart w:id="99" w:name="_Toc25279"/>
      <w:r>
        <w:rPr>
          <w:rFonts w:hint="eastAsia" w:ascii="Times New Roman" w:hAnsi="Times New Roman" w:eastAsia="仿宋" w:cs="Times New Roman"/>
          <w:b w:val="0"/>
          <w:snapToGrid w:val="0"/>
          <w:color w:val="auto"/>
          <w:kern w:val="2"/>
          <w:sz w:val="32"/>
          <w:szCs w:val="24"/>
          <w:lang w:val="en-US" w:eastAsia="zh-CN" w:bidi="ar-SA"/>
        </w:rPr>
        <w:t>污染损害评估应当于应急处置工作结束后30个工作日内完成。</w:t>
      </w:r>
      <w:bookmarkEnd w:id="99"/>
    </w:p>
    <w:p w14:paraId="283250BB">
      <w:pPr>
        <w:keepNext/>
        <w:keepLines/>
        <w:widowControl w:val="0"/>
        <w:spacing w:before="120" w:after="120" w:line="440" w:lineRule="exact"/>
        <w:jc w:val="both"/>
        <w:outlineLvl w:val="1"/>
        <w:rPr>
          <w:rFonts w:hint="default" w:ascii="Times New Roman" w:hAnsi="Times New Roman" w:eastAsia="黑体" w:cs="Times New Roman"/>
          <w:b/>
          <w:color w:val="auto"/>
          <w:kern w:val="2"/>
          <w:sz w:val="32"/>
          <w:szCs w:val="32"/>
          <w:lang w:val="en-US" w:eastAsia="zh-CN"/>
        </w:rPr>
      </w:pPr>
      <w:bookmarkStart w:id="100" w:name="_Toc22361"/>
      <w:r>
        <w:rPr>
          <w:rFonts w:hint="eastAsia" w:ascii="Times New Roman" w:hAnsi="Times New Roman" w:eastAsia="黑体" w:cs="Times New Roman"/>
          <w:b/>
          <w:color w:val="auto"/>
          <w:kern w:val="2"/>
          <w:sz w:val="32"/>
          <w:szCs w:val="32"/>
          <w:lang w:val="en-US" w:eastAsia="zh-CN"/>
        </w:rPr>
        <w:t>5</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3</w:t>
      </w:r>
      <w:r>
        <w:rPr>
          <w:rFonts w:ascii="Times New Roman" w:hAnsi="Times New Roman" w:eastAsia="黑体" w:cs="Times New Roman"/>
          <w:b/>
          <w:color w:val="auto"/>
          <w:kern w:val="2"/>
          <w:sz w:val="32"/>
          <w:szCs w:val="32"/>
          <w:lang w:eastAsia="zh-CN"/>
        </w:rPr>
        <w:t xml:space="preserve"> </w:t>
      </w:r>
      <w:r>
        <w:rPr>
          <w:rFonts w:hint="eastAsia" w:ascii="Times New Roman" w:hAnsi="Times New Roman" w:eastAsia="黑体" w:cs="Times New Roman"/>
          <w:b/>
          <w:color w:val="auto"/>
          <w:kern w:val="2"/>
          <w:sz w:val="32"/>
          <w:szCs w:val="32"/>
          <w:lang w:val="en-US" w:eastAsia="zh-CN"/>
        </w:rPr>
        <w:t>调查处理</w:t>
      </w:r>
      <w:bookmarkEnd w:id="100"/>
    </w:p>
    <w:p w14:paraId="14A970D7">
      <w:pPr>
        <w:widowControl w:val="0"/>
        <w:spacing w:line="580" w:lineRule="exact"/>
        <w:ind w:firstLine="640" w:firstLineChars="200"/>
        <w:jc w:val="both"/>
        <w:rPr>
          <w:rFonts w:ascii="Times New Roman" w:hAnsi="Times New Roman" w:eastAsia="仿宋" w:cs="Times New Roman"/>
          <w:color w:val="auto"/>
          <w:kern w:val="2"/>
          <w:sz w:val="32"/>
          <w:szCs w:val="24"/>
          <w:lang w:eastAsia="zh-CN"/>
        </w:rPr>
      </w:pPr>
      <w:r>
        <w:rPr>
          <w:rFonts w:hint="eastAsia" w:ascii="Times New Roman" w:hAnsi="Times New Roman" w:eastAsia="仿宋" w:cs="Times New Roman"/>
          <w:color w:val="auto"/>
          <w:kern w:val="2"/>
          <w:sz w:val="32"/>
          <w:szCs w:val="24"/>
          <w:lang w:eastAsia="zh-CN"/>
        </w:rPr>
        <w:t>突发环境事件应急处置工作结束后，成立由生态环境部门牵头的突发环境事件调查组，按照《突发环境事件调查处理办法》开展事件调查，查清突发环境事件原因，确认事件性质，认定事件责任，提出整改措施和处理意见，形成书面调查报告，上报本级人民政府和上级生态环境部门。</w:t>
      </w:r>
    </w:p>
    <w:bookmarkEnd w:id="96"/>
    <w:bookmarkEnd w:id="97"/>
    <w:p w14:paraId="3541C485">
      <w:pPr>
        <w:keepNext/>
        <w:keepLines/>
        <w:widowControl w:val="0"/>
        <w:spacing w:before="180" w:after="180" w:line="440" w:lineRule="exact"/>
        <w:jc w:val="both"/>
        <w:outlineLvl w:val="0"/>
        <w:rPr>
          <w:rFonts w:ascii="Times New Roman" w:hAnsi="Times New Roman" w:eastAsia="黑体" w:cs="Times New Roman"/>
          <w:b/>
          <w:bCs/>
          <w:color w:val="auto"/>
          <w:kern w:val="44"/>
          <w:sz w:val="36"/>
          <w:szCs w:val="36"/>
          <w:lang w:eastAsia="zh-CN"/>
        </w:rPr>
      </w:pPr>
      <w:bookmarkStart w:id="101" w:name="_Toc29132"/>
      <w:r>
        <w:rPr>
          <w:rFonts w:hint="eastAsia" w:ascii="Times New Roman" w:hAnsi="Times New Roman" w:eastAsia="黑体" w:cs="Times New Roman"/>
          <w:b/>
          <w:bCs/>
          <w:color w:val="auto"/>
          <w:kern w:val="44"/>
          <w:sz w:val="36"/>
          <w:szCs w:val="36"/>
          <w:lang w:val="en-US" w:eastAsia="zh-CN"/>
        </w:rPr>
        <w:t>6</w:t>
      </w:r>
      <w:r>
        <w:rPr>
          <w:rFonts w:ascii="Times New Roman" w:hAnsi="Times New Roman" w:eastAsia="黑体" w:cs="Times New Roman"/>
          <w:b/>
          <w:bCs/>
          <w:color w:val="auto"/>
          <w:kern w:val="44"/>
          <w:sz w:val="36"/>
          <w:szCs w:val="36"/>
          <w:lang w:eastAsia="zh-CN"/>
        </w:rPr>
        <w:t xml:space="preserve">  应急保障</w:t>
      </w:r>
      <w:bookmarkEnd w:id="101"/>
    </w:p>
    <w:p w14:paraId="6496DFA1">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02" w:name="_Toc1436"/>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 xml:space="preserve">.1 </w:t>
      </w:r>
      <w:r>
        <w:rPr>
          <w:rFonts w:hint="eastAsia" w:ascii="Times New Roman" w:hAnsi="Times New Roman" w:eastAsia="黑体" w:cs="Times New Roman"/>
          <w:b/>
          <w:color w:val="auto"/>
          <w:kern w:val="2"/>
          <w:sz w:val="32"/>
          <w:szCs w:val="32"/>
          <w:lang w:val="en-US" w:eastAsia="zh-CN"/>
        </w:rPr>
        <w:t>队伍保障</w:t>
      </w:r>
      <w:bookmarkEnd w:id="102"/>
    </w:p>
    <w:p w14:paraId="0F397295">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val="en-US" w:eastAsia="zh-CN"/>
        </w:rPr>
        <w:t>县</w:t>
      </w:r>
      <w:r>
        <w:rPr>
          <w:rFonts w:hint="eastAsia" w:ascii="Times New Roman" w:hAnsi="Times New Roman" w:eastAsia="仿宋_GB2312" w:cs="Times New Roman"/>
          <w:snapToGrid/>
          <w:color w:val="auto"/>
          <w:kern w:val="2"/>
          <w:sz w:val="32"/>
          <w:szCs w:val="32"/>
          <w:lang w:eastAsia="zh-CN"/>
        </w:rPr>
        <w:t>环境应急相关专业部门要建立反应速度快、业务能力强的专业应急救援队伍。突发环境事件应急指挥部办公室要依托环境应急监测队伍、消防救援队伍、企业应急专业队伍、社会力量，培养一支常备不懈、熟悉环境应急知识、充分掌握各类突发环境事件处置措施的应急队伍，重点建设危险化学品事故应急救援队伍、饮用水源地应急快速监测和救援队伍等。</w:t>
      </w:r>
    </w:p>
    <w:p w14:paraId="0E2B8C8E">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03" w:name="_Toc4086940"/>
      <w:bookmarkStart w:id="104" w:name="_Toc31969"/>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 xml:space="preserve">.2 </w:t>
      </w:r>
      <w:r>
        <w:rPr>
          <w:rFonts w:hint="eastAsia" w:ascii="Times New Roman" w:hAnsi="Times New Roman" w:eastAsia="黑体" w:cs="Times New Roman"/>
          <w:b/>
          <w:color w:val="auto"/>
          <w:kern w:val="2"/>
          <w:sz w:val="32"/>
          <w:szCs w:val="32"/>
          <w:lang w:val="en-US" w:eastAsia="zh-CN"/>
        </w:rPr>
        <w:t>经费</w:t>
      </w:r>
      <w:r>
        <w:rPr>
          <w:rFonts w:ascii="Times New Roman" w:hAnsi="Times New Roman" w:eastAsia="黑体" w:cs="Times New Roman"/>
          <w:b/>
          <w:color w:val="auto"/>
          <w:kern w:val="2"/>
          <w:sz w:val="32"/>
          <w:szCs w:val="32"/>
          <w:lang w:eastAsia="zh-CN"/>
        </w:rPr>
        <w:t>及物资</w:t>
      </w:r>
      <w:bookmarkEnd w:id="103"/>
      <w:r>
        <w:rPr>
          <w:rFonts w:ascii="Times New Roman" w:hAnsi="Times New Roman" w:eastAsia="黑体" w:cs="Times New Roman"/>
          <w:b/>
          <w:color w:val="auto"/>
          <w:kern w:val="2"/>
          <w:sz w:val="32"/>
          <w:szCs w:val="32"/>
          <w:lang w:eastAsia="zh-CN"/>
        </w:rPr>
        <w:t>保障</w:t>
      </w:r>
      <w:bookmarkEnd w:id="104"/>
    </w:p>
    <w:p w14:paraId="12FD614F">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突发环境事件应急处置所需经费首先由事件责任单位承担。</w:t>
      </w:r>
      <w:r>
        <w:rPr>
          <w:rFonts w:hint="eastAsia" w:ascii="Times New Roman" w:hAnsi="Times New Roman" w:eastAsia="仿宋_GB2312" w:cs="Times New Roman"/>
          <w:snapToGrid/>
          <w:color w:val="auto"/>
          <w:kern w:val="2"/>
          <w:sz w:val="32"/>
          <w:szCs w:val="32"/>
          <w:lang w:val="en-US" w:eastAsia="zh-CN"/>
        </w:rPr>
        <w:t>县</w:t>
      </w:r>
      <w:r>
        <w:rPr>
          <w:rFonts w:hint="eastAsia" w:ascii="Times New Roman" w:hAnsi="Times New Roman" w:eastAsia="仿宋_GB2312" w:cs="Times New Roman"/>
          <w:snapToGrid/>
          <w:color w:val="auto"/>
          <w:kern w:val="2"/>
          <w:sz w:val="32"/>
          <w:szCs w:val="32"/>
          <w:lang w:eastAsia="zh-CN"/>
        </w:rPr>
        <w:t>人民政府要将突发环境事件应急处置经费列入年度经费预算，对突发环境事件应急处置工作提供资金保障。</w:t>
      </w:r>
      <w:r>
        <w:rPr>
          <w:rFonts w:hint="eastAsia" w:ascii="Times New Roman" w:hAnsi="Times New Roman" w:eastAsia="仿宋_GB2312" w:cs="Times New Roman"/>
          <w:snapToGrid/>
          <w:color w:val="auto"/>
          <w:kern w:val="2"/>
          <w:sz w:val="32"/>
          <w:szCs w:val="32"/>
          <w:lang w:val="en-US" w:eastAsia="zh-CN"/>
        </w:rPr>
        <w:t>县</w:t>
      </w:r>
      <w:r>
        <w:rPr>
          <w:rFonts w:hint="eastAsia" w:ascii="Times New Roman" w:hAnsi="Times New Roman" w:eastAsia="仿宋_GB2312" w:cs="Times New Roman"/>
          <w:snapToGrid/>
          <w:color w:val="auto"/>
          <w:kern w:val="2"/>
          <w:sz w:val="32"/>
          <w:szCs w:val="32"/>
          <w:lang w:eastAsia="zh-CN"/>
        </w:rPr>
        <w:t>人民政府和事发地</w:t>
      </w:r>
      <w:r>
        <w:rPr>
          <w:rFonts w:hint="eastAsia" w:ascii="Times New Roman" w:hAnsi="Times New Roman" w:eastAsia="仿宋_GB2312" w:cs="Times New Roman"/>
          <w:snapToGrid/>
          <w:color w:val="auto"/>
          <w:kern w:val="2"/>
          <w:sz w:val="32"/>
          <w:szCs w:val="32"/>
          <w:lang w:val="en-US" w:eastAsia="zh-CN"/>
        </w:rPr>
        <w:t>乡镇</w:t>
      </w:r>
      <w:r>
        <w:rPr>
          <w:rFonts w:hint="eastAsia" w:ascii="Times New Roman" w:hAnsi="Times New Roman" w:eastAsia="仿宋_GB2312" w:cs="Times New Roman"/>
          <w:snapToGrid/>
          <w:color w:val="auto"/>
          <w:kern w:val="2"/>
          <w:sz w:val="32"/>
          <w:szCs w:val="32"/>
          <w:lang w:eastAsia="zh-CN"/>
        </w:rPr>
        <w:t>人民政府（高新区</w:t>
      </w:r>
      <w:r>
        <w:rPr>
          <w:rFonts w:hint="eastAsia" w:ascii="Times New Roman" w:hAnsi="Times New Roman" w:eastAsia="仿宋_GB2312" w:cs="Times New Roman"/>
          <w:snapToGrid/>
          <w:color w:val="auto"/>
          <w:kern w:val="2"/>
          <w:sz w:val="32"/>
          <w:szCs w:val="32"/>
          <w:lang w:val="en-US" w:eastAsia="zh-CN"/>
        </w:rPr>
        <w:t>管委会</w:t>
      </w:r>
      <w:r>
        <w:rPr>
          <w:rFonts w:hint="eastAsia" w:ascii="Times New Roman" w:hAnsi="Times New Roman" w:eastAsia="仿宋_GB2312" w:cs="Times New Roman"/>
          <w:snapToGrid/>
          <w:color w:val="auto"/>
          <w:kern w:val="2"/>
          <w:sz w:val="32"/>
          <w:szCs w:val="32"/>
          <w:lang w:eastAsia="zh-CN"/>
        </w:rPr>
        <w:t>）及其有关部门要加强应急物资储备，鼓励支持社会化应急物资储备，保障应急物资、生活必需品的生产和供给。市生态环境局炎陵分局要加强对当地环境应急物资储备信息的动态管理。承担环境安全主体责任的企事业单位和其他生产经营者应当储备必要的应急装备和物资。</w:t>
      </w:r>
    </w:p>
    <w:p w14:paraId="6E3610D5">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05" w:name="_Toc10852"/>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3</w:t>
      </w:r>
      <w:r>
        <w:rPr>
          <w:rFonts w:ascii="Times New Roman" w:hAnsi="Times New Roman" w:eastAsia="黑体" w:cs="Times New Roman"/>
          <w:b/>
          <w:color w:val="auto"/>
          <w:kern w:val="2"/>
          <w:sz w:val="32"/>
          <w:szCs w:val="32"/>
          <w:lang w:eastAsia="zh-CN"/>
        </w:rPr>
        <w:t xml:space="preserve"> </w:t>
      </w:r>
      <w:r>
        <w:rPr>
          <w:rFonts w:hint="eastAsia" w:ascii="Times New Roman" w:hAnsi="Times New Roman" w:eastAsia="黑体" w:cs="Times New Roman"/>
          <w:b/>
          <w:color w:val="auto"/>
          <w:kern w:val="2"/>
          <w:sz w:val="32"/>
          <w:szCs w:val="32"/>
          <w:lang w:eastAsia="zh-CN"/>
        </w:rPr>
        <w:t>通讯、交通与运输保障</w:t>
      </w:r>
      <w:bookmarkEnd w:id="105"/>
    </w:p>
    <w:p w14:paraId="41C5B943">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县科技和工业信息化局</w:t>
      </w:r>
      <w:r>
        <w:rPr>
          <w:rFonts w:hint="eastAsia" w:ascii="Times New Roman" w:hAnsi="Times New Roman" w:eastAsia="仿宋_GB2312" w:cs="Times New Roman"/>
          <w:snapToGrid/>
          <w:color w:val="auto"/>
          <w:kern w:val="2"/>
          <w:sz w:val="32"/>
          <w:szCs w:val="32"/>
          <w:lang w:eastAsia="zh-CN"/>
        </w:rPr>
        <w:t>组织建立健全突发环境事件应急通信保障体系，确保应急期间通信联络和信息传递需要。</w:t>
      </w:r>
      <w:r>
        <w:rPr>
          <w:rFonts w:hint="eastAsia" w:ascii="Times New Roman" w:hAnsi="Times New Roman" w:eastAsia="仿宋_GB2312" w:cs="Times New Roman"/>
          <w:snapToGrid/>
          <w:color w:val="auto"/>
          <w:kern w:val="2"/>
          <w:sz w:val="32"/>
          <w:szCs w:val="32"/>
          <w:lang w:val="en-US" w:eastAsia="zh-CN"/>
        </w:rPr>
        <w:t>县</w:t>
      </w:r>
      <w:r>
        <w:rPr>
          <w:rFonts w:hint="eastAsia" w:ascii="Times New Roman" w:hAnsi="Times New Roman" w:eastAsia="仿宋_GB2312" w:cs="Times New Roman"/>
          <w:snapToGrid/>
          <w:color w:val="auto"/>
          <w:kern w:val="2"/>
          <w:sz w:val="32"/>
          <w:szCs w:val="32"/>
          <w:lang w:eastAsia="zh-CN"/>
        </w:rPr>
        <w:t>交通运输局健全紧急运输保障体系，保障应急响应所需人员、物资、装备、器材等的运输。</w:t>
      </w:r>
      <w:r>
        <w:rPr>
          <w:rFonts w:hint="eastAsia" w:ascii="Times New Roman" w:hAnsi="Times New Roman" w:eastAsia="仿宋_GB2312" w:cs="Times New Roman"/>
          <w:snapToGrid/>
          <w:color w:val="auto"/>
          <w:kern w:val="2"/>
          <w:sz w:val="32"/>
          <w:szCs w:val="32"/>
          <w:lang w:val="en-US" w:eastAsia="zh-CN"/>
        </w:rPr>
        <w:t>县</w:t>
      </w:r>
      <w:r>
        <w:rPr>
          <w:rFonts w:hint="eastAsia" w:ascii="Times New Roman" w:hAnsi="Times New Roman" w:eastAsia="仿宋_GB2312" w:cs="Times New Roman"/>
          <w:snapToGrid/>
          <w:color w:val="auto"/>
          <w:kern w:val="2"/>
          <w:sz w:val="32"/>
          <w:szCs w:val="32"/>
          <w:lang w:eastAsia="zh-CN"/>
        </w:rPr>
        <w:t>交警</w:t>
      </w:r>
      <w:r>
        <w:rPr>
          <w:rFonts w:hint="eastAsia" w:ascii="Times New Roman" w:hAnsi="Times New Roman" w:eastAsia="仿宋_GB2312" w:cs="Times New Roman"/>
          <w:snapToGrid/>
          <w:color w:val="auto"/>
          <w:kern w:val="2"/>
          <w:sz w:val="32"/>
          <w:szCs w:val="32"/>
          <w:lang w:val="en-US" w:eastAsia="zh-CN"/>
        </w:rPr>
        <w:t>大</w:t>
      </w:r>
      <w:r>
        <w:rPr>
          <w:rFonts w:hint="eastAsia" w:ascii="Times New Roman" w:hAnsi="Times New Roman" w:eastAsia="仿宋_GB2312" w:cs="Times New Roman"/>
          <w:snapToGrid/>
          <w:color w:val="auto"/>
          <w:kern w:val="2"/>
          <w:sz w:val="32"/>
          <w:szCs w:val="32"/>
          <w:lang w:eastAsia="zh-CN"/>
        </w:rPr>
        <w:t>队加强应急交通管理，保障运送伤病员应急救援人员、物资、装备、器材车辆的优先通行。</w:t>
      </w:r>
    </w:p>
    <w:p w14:paraId="2CC336AF">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06" w:name="_Toc9616"/>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.4 医疗卫生保障</w:t>
      </w:r>
      <w:bookmarkEnd w:id="106"/>
    </w:p>
    <w:p w14:paraId="4858F56E">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县卫生健康局负责建立健全全县医疗卫生救援体系</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储备医疗救治、疾病防控、检测检验等卫生应急物资</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建立医疗救援和疾病防控资源动态管理数据库</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掌握医疗救治机构和疾病预防机构的资源分布、救援能力和专长</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适时开展卫生应急技能培训与演练。</w:t>
      </w:r>
    </w:p>
    <w:p w14:paraId="65F309EF">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07" w:name="_Toc12254"/>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5</w:t>
      </w:r>
      <w:r>
        <w:rPr>
          <w:rFonts w:ascii="Times New Roman" w:hAnsi="Times New Roman" w:eastAsia="黑体" w:cs="Times New Roman"/>
          <w:b/>
          <w:color w:val="auto"/>
          <w:kern w:val="2"/>
          <w:sz w:val="32"/>
          <w:szCs w:val="32"/>
          <w:lang w:eastAsia="zh-CN"/>
        </w:rPr>
        <w:t xml:space="preserve"> 治安保障</w:t>
      </w:r>
      <w:bookmarkEnd w:id="107"/>
    </w:p>
    <w:p w14:paraId="4C0CA338">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县公安部门依据相关规定实施治安维护工作</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采取有力措施防止不法人员趁乱抢劫、盗窃或哄抢财物</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打击一切破坏社会秩序的行为</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维护社会稳定。</w:t>
      </w:r>
    </w:p>
    <w:p w14:paraId="1B50E750">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08" w:name="_Toc18610"/>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6</w:t>
      </w:r>
      <w:r>
        <w:rPr>
          <w:rFonts w:ascii="Times New Roman" w:hAnsi="Times New Roman" w:eastAsia="黑体" w:cs="Times New Roman"/>
          <w:b/>
          <w:color w:val="auto"/>
          <w:kern w:val="2"/>
          <w:sz w:val="32"/>
          <w:szCs w:val="32"/>
          <w:lang w:eastAsia="zh-CN"/>
        </w:rPr>
        <w:t xml:space="preserve"> 其他应急保障</w:t>
      </w:r>
      <w:bookmarkEnd w:id="108"/>
    </w:p>
    <w:p w14:paraId="0C401475">
      <w:pPr>
        <w:widowControl w:val="0"/>
        <w:kinsoku/>
        <w:autoSpaceDE/>
        <w:autoSpaceDN/>
        <w:adjustRightInd/>
        <w:snapToGrid/>
        <w:spacing w:line="580" w:lineRule="exact"/>
        <w:ind w:firstLine="640" w:firstLineChars="200"/>
        <w:textAlignment w:val="auto"/>
        <w:rPr>
          <w:rFonts w:ascii="Times New Roman" w:hAnsi="Times New Roman" w:eastAsia="仿宋_GB2312" w:cs="Times New Roman"/>
          <w:color w:val="auto"/>
          <w:szCs w:val="32"/>
          <w:lang w:eastAsia="zh-CN"/>
        </w:rPr>
        <w:sectPr>
          <w:pgSz w:w="11906" w:h="16838"/>
          <w:pgMar w:top="1984" w:right="1474" w:bottom="1871" w:left="1587" w:header="851" w:footer="1587" w:gutter="0"/>
          <w:cols w:space="720" w:num="1"/>
          <w:titlePg/>
          <w:docGrid w:linePitch="312" w:charSpace="0"/>
        </w:sectPr>
      </w:pPr>
      <w:r>
        <w:rPr>
          <w:rFonts w:ascii="Times New Roman" w:hAnsi="Times New Roman" w:eastAsia="仿宋_GB2312" w:cs="Times New Roman"/>
          <w:snapToGrid/>
          <w:color w:val="auto"/>
          <w:kern w:val="2"/>
          <w:sz w:val="32"/>
          <w:szCs w:val="32"/>
          <w:lang w:eastAsia="zh-CN"/>
        </w:rPr>
        <w:t>市生态环境局炎陵分局根据实际需要</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可针对性地提出其他保障需求</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报</w:t>
      </w:r>
      <w:r>
        <w:rPr>
          <w:rFonts w:hint="eastAsia" w:ascii="Times New Roman" w:hAnsi="Times New Roman" w:eastAsia="仿宋_GB2312" w:cs="Times New Roman"/>
          <w:snapToGrid/>
          <w:color w:val="auto"/>
          <w:kern w:val="2"/>
          <w:sz w:val="32"/>
          <w:szCs w:val="32"/>
          <w:lang w:eastAsia="zh-CN"/>
        </w:rPr>
        <w:t>县人民政府</w:t>
      </w:r>
      <w:r>
        <w:rPr>
          <w:rFonts w:ascii="Times New Roman" w:hAnsi="Times New Roman" w:eastAsia="仿宋_GB2312" w:cs="Times New Roman"/>
          <w:snapToGrid/>
          <w:color w:val="auto"/>
          <w:kern w:val="2"/>
          <w:sz w:val="32"/>
          <w:szCs w:val="32"/>
          <w:lang w:eastAsia="zh-CN"/>
        </w:rPr>
        <w:t>批准实施。</w:t>
      </w:r>
    </w:p>
    <w:p w14:paraId="40054EF3">
      <w:pPr>
        <w:keepNext/>
        <w:keepLines/>
        <w:widowControl w:val="0"/>
        <w:spacing w:before="180" w:after="180" w:line="440" w:lineRule="exact"/>
        <w:jc w:val="both"/>
        <w:outlineLvl w:val="0"/>
        <w:rPr>
          <w:rFonts w:ascii="Times New Roman" w:hAnsi="Times New Roman" w:eastAsia="黑体" w:cs="Times New Roman"/>
          <w:b/>
          <w:bCs/>
          <w:color w:val="auto"/>
          <w:kern w:val="44"/>
          <w:sz w:val="36"/>
          <w:szCs w:val="36"/>
          <w:lang w:eastAsia="zh-CN"/>
        </w:rPr>
      </w:pPr>
      <w:bookmarkStart w:id="109" w:name="_Toc5488"/>
      <w:r>
        <w:rPr>
          <w:rFonts w:hint="eastAsia" w:ascii="Times New Roman" w:hAnsi="Times New Roman" w:eastAsia="黑体" w:cs="Times New Roman"/>
          <w:b/>
          <w:bCs/>
          <w:color w:val="auto"/>
          <w:kern w:val="44"/>
          <w:sz w:val="36"/>
          <w:szCs w:val="36"/>
          <w:lang w:val="en-US" w:eastAsia="zh-CN"/>
        </w:rPr>
        <w:t>7</w:t>
      </w:r>
      <w:r>
        <w:rPr>
          <w:rFonts w:ascii="Times New Roman" w:hAnsi="Times New Roman" w:eastAsia="黑体" w:cs="Times New Roman"/>
          <w:b/>
          <w:bCs/>
          <w:color w:val="auto"/>
          <w:kern w:val="44"/>
          <w:sz w:val="36"/>
          <w:szCs w:val="36"/>
          <w:lang w:eastAsia="zh-CN"/>
        </w:rPr>
        <w:t xml:space="preserve">  监督管理</w:t>
      </w:r>
      <w:bookmarkEnd w:id="109"/>
    </w:p>
    <w:p w14:paraId="3683D79C">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10" w:name="_Toc28217"/>
      <w:r>
        <w:rPr>
          <w:rFonts w:hint="eastAsia" w:ascii="Times New Roman" w:hAnsi="Times New Roman" w:eastAsia="黑体" w:cs="Times New Roman"/>
          <w:b/>
          <w:color w:val="auto"/>
          <w:kern w:val="2"/>
          <w:sz w:val="32"/>
          <w:szCs w:val="32"/>
          <w:lang w:eastAsia="zh-CN"/>
        </w:rPr>
        <w:t>7.1 宣传、培训和演练</w:t>
      </w:r>
      <w:bookmarkEnd w:id="110"/>
    </w:p>
    <w:p w14:paraId="76AA1D40">
      <w:pPr>
        <w:widowControl w:val="0"/>
        <w:kinsoku/>
        <w:autoSpaceDE/>
        <w:autoSpaceDN/>
        <w:adjustRightInd/>
        <w:snapToGrid/>
        <w:spacing w:line="580" w:lineRule="exact"/>
        <w:ind w:firstLine="640" w:firstLineChars="200"/>
        <w:jc w:val="both"/>
        <w:textAlignment w:val="auto"/>
        <w:rPr>
          <w:rFonts w:hint="eastAsia"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val="en-US" w:eastAsia="zh-CN"/>
        </w:rPr>
        <w:t>县（乡镇）</w:t>
      </w:r>
      <w:r>
        <w:rPr>
          <w:rFonts w:hint="eastAsia" w:ascii="Times New Roman" w:hAnsi="Times New Roman" w:eastAsia="仿宋_GB2312" w:cs="Times New Roman"/>
          <w:snapToGrid/>
          <w:color w:val="auto"/>
          <w:kern w:val="2"/>
          <w:sz w:val="32"/>
          <w:szCs w:val="32"/>
          <w:lang w:eastAsia="zh-CN"/>
        </w:rPr>
        <w:t>级人民政府</w:t>
      </w:r>
      <w:r>
        <w:rPr>
          <w:rFonts w:hint="eastAsia" w:ascii="Times New Roman" w:hAnsi="Times New Roman" w:eastAsia="仿宋_GB2312" w:cs="Times New Roman"/>
          <w:snapToGrid/>
          <w:color w:val="auto"/>
          <w:kern w:val="2"/>
          <w:sz w:val="32"/>
          <w:szCs w:val="32"/>
          <w:lang w:val="en-US" w:eastAsia="zh-CN"/>
        </w:rPr>
        <w:t>和管委会要</w:t>
      </w:r>
      <w:r>
        <w:rPr>
          <w:rFonts w:hint="eastAsia" w:ascii="Times New Roman" w:hAnsi="Times New Roman" w:eastAsia="仿宋_GB2312" w:cs="Times New Roman"/>
          <w:snapToGrid/>
          <w:color w:val="auto"/>
          <w:kern w:val="2"/>
          <w:sz w:val="32"/>
          <w:szCs w:val="32"/>
          <w:lang w:eastAsia="zh-CN"/>
        </w:rPr>
        <w:t>积极开展环境应急教育，普及突发环境事件预防常识，增强公众的防范意识，提高公众的防范能力。加强环境应急救援及管理人员日常培训，提高其专业技能及应急处置能力。结合实际，有计划、有重点地组织不同类型的突发环境事件应急演练，提高防范和处置突发环境事件的技能，增强实战能力。</w:t>
      </w:r>
    </w:p>
    <w:p w14:paraId="419553B4">
      <w:pPr>
        <w:pStyle w:val="4"/>
        <w:keepNext/>
        <w:keepLines/>
        <w:pageBreakBefore w:val="0"/>
        <w:widowControl/>
        <w:kinsoku w:val="0"/>
        <w:wordWrap/>
        <w:overflowPunct/>
        <w:topLinePunct w:val="0"/>
        <w:autoSpaceDE w:val="0"/>
        <w:autoSpaceDN w:val="0"/>
        <w:bidi w:val="0"/>
        <w:adjustRightInd w:val="0"/>
        <w:snapToGrid w:val="0"/>
        <w:spacing w:before="0" w:after="0" w:line="580" w:lineRule="exact"/>
        <w:textAlignment w:val="baseline"/>
        <w:rPr>
          <w:rFonts w:hint="eastAsia" w:ascii="Times New Roman" w:hAnsi="Times New Roman" w:eastAsia="仿宋_GB2312" w:cs="Times New Roman"/>
          <w:b w:val="0"/>
          <w:snapToGrid/>
          <w:color w:val="auto"/>
          <w:kern w:val="2"/>
          <w:sz w:val="32"/>
          <w:szCs w:val="32"/>
          <w:lang w:val="en-US" w:eastAsia="zh-CN" w:bidi="ar-SA"/>
        </w:rPr>
      </w:pPr>
      <w:r>
        <w:rPr>
          <w:rFonts w:hint="eastAsia" w:eastAsia="仿宋_GB2312" w:cs="Times New Roman"/>
          <w:snapToGrid/>
          <w:color w:val="auto"/>
          <w:kern w:val="2"/>
          <w:sz w:val="32"/>
          <w:szCs w:val="32"/>
          <w:lang w:eastAsia="zh-CN"/>
        </w:rPr>
        <w:t>　</w:t>
      </w:r>
      <w:r>
        <w:rPr>
          <w:rFonts w:hint="eastAsia" w:ascii="Times New Roman" w:hAnsi="Times New Roman" w:eastAsia="仿宋_GB2312" w:cs="Times New Roman"/>
          <w:b w:val="0"/>
          <w:snapToGrid/>
          <w:color w:val="auto"/>
          <w:kern w:val="2"/>
          <w:sz w:val="32"/>
          <w:szCs w:val="32"/>
          <w:lang w:val="en-US" w:eastAsia="zh-CN" w:bidi="ar-SA"/>
        </w:rPr>
        <w:t>　</w:t>
      </w:r>
      <w:bookmarkStart w:id="111" w:name="_Toc22722"/>
      <w:r>
        <w:rPr>
          <w:rFonts w:hint="eastAsia" w:ascii="Times New Roman" w:hAnsi="Times New Roman" w:eastAsia="仿宋_GB2312" w:cs="Times New Roman"/>
          <w:b w:val="0"/>
          <w:snapToGrid/>
          <w:color w:val="auto"/>
          <w:kern w:val="2"/>
          <w:sz w:val="32"/>
          <w:szCs w:val="32"/>
          <w:lang w:val="en-US" w:eastAsia="zh-CN" w:bidi="ar-SA"/>
        </w:rPr>
        <w:t>企事业单位定期组织开展企业突发环境事件应急演练，并记录保存演练相关资料（演练现场视频或照片/演练内容资料/演练总结等），株洲市生态环境局炎陵分局制定抽查制度，对企业环境应急工作进行检查，对应急设施及相关工作落实不到位的企业令其限期整改。</w:t>
      </w:r>
      <w:bookmarkEnd w:id="111"/>
    </w:p>
    <w:p w14:paraId="732EE64A">
      <w:pPr>
        <w:rPr>
          <w:rFonts w:hint="eastAsia"/>
          <w:lang w:eastAsia="zh-CN"/>
        </w:rPr>
      </w:pPr>
    </w:p>
    <w:p w14:paraId="6D48189E">
      <w:pPr>
        <w:keepNext/>
        <w:keepLines/>
        <w:widowControl w:val="0"/>
        <w:spacing w:before="120" w:after="120" w:line="440" w:lineRule="exact"/>
        <w:jc w:val="both"/>
        <w:outlineLvl w:val="1"/>
        <w:rPr>
          <w:rFonts w:hint="eastAsia" w:ascii="Times New Roman" w:hAnsi="Times New Roman" w:eastAsia="黑体" w:cs="Times New Roman"/>
          <w:b/>
          <w:color w:val="auto"/>
          <w:kern w:val="2"/>
          <w:sz w:val="32"/>
          <w:szCs w:val="32"/>
          <w:lang w:eastAsia="zh-CN"/>
        </w:rPr>
      </w:pPr>
      <w:bookmarkStart w:id="112" w:name="_Toc25770"/>
      <w:r>
        <w:rPr>
          <w:rFonts w:hint="eastAsia" w:ascii="Times New Roman" w:hAnsi="Times New Roman" w:eastAsia="黑体" w:cs="Times New Roman"/>
          <w:b/>
          <w:color w:val="auto"/>
          <w:kern w:val="2"/>
          <w:sz w:val="32"/>
          <w:szCs w:val="32"/>
          <w:lang w:eastAsia="zh-CN"/>
        </w:rPr>
        <w:t>7.2 奖励和责任追究</w:t>
      </w:r>
      <w:bookmarkEnd w:id="112"/>
    </w:p>
    <w:p w14:paraId="1F8BA165">
      <w:pPr>
        <w:widowControl w:val="0"/>
        <w:kinsoku/>
        <w:autoSpaceDE/>
        <w:autoSpaceDN/>
        <w:adjustRightInd/>
        <w:snapToGrid/>
        <w:spacing w:line="580" w:lineRule="exact"/>
        <w:ind w:firstLine="640" w:firstLineChars="200"/>
        <w:jc w:val="both"/>
        <w:textAlignment w:val="auto"/>
        <w:rPr>
          <w:rFonts w:ascii="Times New Roman" w:hAnsi="Times New Roman" w:cs="Times New Roman"/>
          <w:color w:val="auto"/>
          <w:lang w:eastAsia="zh-CN"/>
        </w:rPr>
        <w:sectPr>
          <w:pgSz w:w="11906" w:h="16838"/>
          <w:pgMar w:top="1984" w:right="1474" w:bottom="1871" w:left="1587" w:header="851" w:footer="1587" w:gutter="0"/>
          <w:cols w:space="720" w:num="1"/>
          <w:titlePg/>
          <w:docGrid w:linePitch="312" w:charSpace="0"/>
        </w:sectPr>
      </w:pPr>
      <w:r>
        <w:rPr>
          <w:rFonts w:hint="eastAsia" w:ascii="Times New Roman" w:hAnsi="Times New Roman" w:eastAsia="仿宋_GB2312" w:cs="Times New Roman"/>
          <w:snapToGrid/>
          <w:color w:val="auto"/>
          <w:kern w:val="2"/>
          <w:sz w:val="32"/>
          <w:szCs w:val="32"/>
          <w:lang w:eastAsia="zh-CN"/>
        </w:rPr>
        <w:t>对在突发环境事件处置过程中做出突出贡献的单位和个人，根据有关规定给予奖励。对迟报、谎报、瞒报和漏报突发环境事件重要情况，在应急处置工作中存在失职、渎职等行为的，依照有关法律、法规，追究有关单位负责人和有关责任人的责任；构成犯罪的，移送司法机关依法处理。</w:t>
      </w:r>
    </w:p>
    <w:p w14:paraId="2A023419">
      <w:pPr>
        <w:keepNext/>
        <w:keepLines/>
        <w:widowControl w:val="0"/>
        <w:kinsoku/>
        <w:autoSpaceDE/>
        <w:autoSpaceDN/>
        <w:adjustRightInd/>
        <w:snapToGrid/>
        <w:spacing w:before="180" w:after="180" w:line="440" w:lineRule="exact"/>
        <w:jc w:val="both"/>
        <w:textAlignment w:val="auto"/>
        <w:outlineLvl w:val="0"/>
        <w:rPr>
          <w:rFonts w:ascii="Times New Roman" w:hAnsi="Times New Roman" w:eastAsia="仿宋_GB2312" w:cs="Times New Roman"/>
          <w:snapToGrid/>
          <w:color w:val="auto"/>
          <w:kern w:val="2"/>
          <w:sz w:val="36"/>
          <w:szCs w:val="36"/>
          <w:lang w:eastAsia="zh-CN"/>
        </w:rPr>
      </w:pPr>
      <w:bookmarkStart w:id="113" w:name="_Toc8156"/>
      <w:r>
        <w:rPr>
          <w:rStyle w:val="19"/>
          <w:rFonts w:hint="eastAsia" w:cs="Times New Roman"/>
          <w:snapToGrid/>
          <w:color w:val="auto"/>
          <w:sz w:val="36"/>
          <w:szCs w:val="36"/>
          <w:lang w:val="en-US" w:eastAsia="zh-CN"/>
        </w:rPr>
        <w:t>8</w:t>
      </w:r>
      <w:r>
        <w:rPr>
          <w:rStyle w:val="19"/>
          <w:rFonts w:cs="Times New Roman"/>
          <w:snapToGrid/>
          <w:color w:val="auto"/>
          <w:sz w:val="36"/>
          <w:szCs w:val="36"/>
          <w:lang w:eastAsia="zh-CN"/>
        </w:rPr>
        <w:t xml:space="preserve">  附则</w:t>
      </w:r>
      <w:bookmarkEnd w:id="113"/>
    </w:p>
    <w:p w14:paraId="22332DA8">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14" w:name="_Toc19766"/>
      <w:r>
        <w:rPr>
          <w:rFonts w:hint="eastAsia" w:ascii="Times New Roman" w:hAnsi="Times New Roman" w:eastAsia="黑体" w:cs="Times New Roman"/>
          <w:b/>
          <w:color w:val="auto"/>
          <w:kern w:val="2"/>
          <w:sz w:val="32"/>
          <w:szCs w:val="32"/>
          <w:lang w:val="en-US" w:eastAsia="zh-CN"/>
        </w:rPr>
        <w:t>8</w:t>
      </w:r>
      <w:r>
        <w:rPr>
          <w:rFonts w:ascii="Times New Roman" w:hAnsi="Times New Roman" w:eastAsia="黑体" w:cs="Times New Roman"/>
          <w:b/>
          <w:color w:val="auto"/>
          <w:kern w:val="2"/>
          <w:sz w:val="32"/>
          <w:szCs w:val="32"/>
          <w:lang w:eastAsia="zh-CN"/>
        </w:rPr>
        <w:t>.1 名词术语</w:t>
      </w:r>
      <w:bookmarkEnd w:id="114"/>
    </w:p>
    <w:p w14:paraId="375D01D1">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是指由于污染物排放或者自然灾害、生产安全事故等原因</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导致污染物或者放射性物质等有毒有害物质进入大气、水体、土壤等环境介质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突然造成或者可能造成环境质量下降</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危及公众身体健康和财产安全</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或者造成生态环境破坏</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或者造成重大社会影响</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需要采取紧急措施予以应对的事件。</w:t>
      </w:r>
    </w:p>
    <w:p w14:paraId="40293F5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突发环境事件应急预案</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是指针对发生或可能发生的突发环境事件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为确保迅速、有序、高效地开展应急处置</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避免或者最大限度减少污染物或者其他有毒有害物质进入大气、水体、土壤等环境介质而预先制定的工作方案。</w:t>
      </w:r>
    </w:p>
    <w:p w14:paraId="015F0112">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环境风险</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是指发生突发环境事件的可能性及突发环境事件造成的危害程度。</w:t>
      </w:r>
    </w:p>
    <w:p w14:paraId="5185F320">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环境风险受体</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是指突发环境事件中可能受到危害的企业外部人群、具有一定社会价值或生态环境功能的单位或区域等。</w:t>
      </w:r>
    </w:p>
    <w:p w14:paraId="2F37147A">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环境敏感点</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参照《建设项目环境影响评价分类管理名录》中“环境敏感区”的定义。</w:t>
      </w:r>
    </w:p>
    <w:p w14:paraId="3AFD40C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应急演练</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是指为检验应急预案的有效性、应急准备的完善性、应急响应能力的适应性和应急人员的协同性而进行的一种模拟应急响应的实践活动。</w:t>
      </w:r>
    </w:p>
    <w:p w14:paraId="508FAEB4">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1"/>
        <w:rPr>
          <w:rFonts w:hint="default" w:ascii="Times New Roman" w:hAnsi="Times New Roman" w:eastAsia="黑体" w:cs="Times New Roman"/>
          <w:b/>
          <w:color w:val="auto"/>
          <w:kern w:val="2"/>
          <w:sz w:val="32"/>
          <w:szCs w:val="32"/>
          <w:lang w:val="en-US" w:eastAsia="zh-CN"/>
        </w:rPr>
      </w:pPr>
      <w:r>
        <w:rPr>
          <w:rFonts w:hint="eastAsia" w:ascii="Times New Roman" w:hAnsi="Times New Roman" w:eastAsia="黑体" w:cs="Times New Roman"/>
          <w:b/>
          <w:color w:val="auto"/>
          <w:kern w:val="2"/>
          <w:sz w:val="32"/>
          <w:szCs w:val="32"/>
          <w:lang w:val="en-US" w:eastAsia="zh-CN"/>
        </w:rPr>
        <w:t>8</w:t>
      </w:r>
      <w:r>
        <w:rPr>
          <w:rFonts w:ascii="Times New Roman" w:hAnsi="Times New Roman" w:eastAsia="黑体" w:cs="Times New Roman"/>
          <w:b/>
          <w:color w:val="auto"/>
          <w:kern w:val="2"/>
          <w:sz w:val="32"/>
          <w:szCs w:val="32"/>
          <w:lang w:eastAsia="zh-CN"/>
        </w:rPr>
        <w:t>.2 预案管理</w:t>
      </w:r>
    </w:p>
    <w:p w14:paraId="1FA7B1A7">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随着相关法律法规的制定、修改和完善，机构调整或应急资源发生变化，以及应急处置过程中和各类应急演练中发现的问题和出现的新情况</w:t>
      </w:r>
      <w:r>
        <w:rPr>
          <w:rFonts w:ascii="Times New Roman" w:hAnsi="Times New Roman" w:eastAsia="仿宋_GB2312" w:cs="Times New Roman"/>
          <w:snapToGrid/>
          <w:color w:val="auto"/>
          <w:kern w:val="2"/>
          <w:sz w:val="32"/>
          <w:szCs w:val="32"/>
          <w:lang w:eastAsia="zh-CN"/>
        </w:rPr>
        <w:t>时</w:t>
      </w:r>
      <w:r>
        <w:rPr>
          <w:rFonts w:hint="eastAsia" w:ascii="Times New Roman" w:hAnsi="Times New Roman" w:eastAsia="仿宋_GB2312" w:cs="Times New Roman"/>
          <w:snapToGrid/>
          <w:color w:val="auto"/>
          <w:kern w:val="2"/>
          <w:sz w:val="32"/>
          <w:szCs w:val="32"/>
          <w:lang w:eastAsia="zh-CN"/>
        </w:rPr>
        <w:t>，</w:t>
      </w:r>
      <w:r>
        <w:rPr>
          <w:rFonts w:ascii="Times New Roman" w:hAnsi="Times New Roman" w:eastAsia="仿宋_GB2312" w:cs="Times New Roman"/>
          <w:snapToGrid/>
          <w:color w:val="auto"/>
          <w:kern w:val="2"/>
          <w:sz w:val="32"/>
          <w:szCs w:val="32"/>
          <w:lang w:eastAsia="zh-CN"/>
        </w:rPr>
        <w:t>应及时修订本预案。</w:t>
      </w:r>
    </w:p>
    <w:p w14:paraId="7515C0B3">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本预案由</w:t>
      </w:r>
      <w:r>
        <w:rPr>
          <w:rFonts w:hint="eastAsia" w:ascii="Times New Roman" w:hAnsi="Times New Roman" w:eastAsia="仿宋_GB2312" w:cs="Times New Roman"/>
          <w:snapToGrid/>
          <w:color w:val="auto"/>
          <w:kern w:val="2"/>
          <w:sz w:val="32"/>
          <w:szCs w:val="32"/>
          <w:lang w:eastAsia="zh-CN"/>
        </w:rPr>
        <w:t>县环境</w:t>
      </w:r>
      <w:r>
        <w:rPr>
          <w:rFonts w:ascii="Times New Roman" w:hAnsi="Times New Roman" w:eastAsia="仿宋_GB2312" w:cs="Times New Roman"/>
          <w:snapToGrid/>
          <w:color w:val="auto"/>
          <w:kern w:val="2"/>
          <w:sz w:val="32"/>
          <w:szCs w:val="32"/>
          <w:lang w:eastAsia="zh-CN"/>
        </w:rPr>
        <w:t>应急指挥部办公室负责管理、修订、完善。</w:t>
      </w:r>
    </w:p>
    <w:p w14:paraId="49EDB136">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15" w:name="_Toc30029"/>
      <w:r>
        <w:rPr>
          <w:rFonts w:hint="eastAsia" w:ascii="Times New Roman" w:hAnsi="Times New Roman" w:eastAsia="黑体" w:cs="Times New Roman"/>
          <w:b/>
          <w:color w:val="auto"/>
          <w:kern w:val="2"/>
          <w:sz w:val="32"/>
          <w:szCs w:val="32"/>
          <w:lang w:val="en-US" w:eastAsia="zh-CN"/>
        </w:rPr>
        <w:t>8</w:t>
      </w:r>
      <w:r>
        <w:rPr>
          <w:rFonts w:ascii="Times New Roman" w:hAnsi="Times New Roman" w:eastAsia="黑体" w:cs="Times New Roman"/>
          <w:b/>
          <w:color w:val="auto"/>
          <w:kern w:val="2"/>
          <w:sz w:val="32"/>
          <w:szCs w:val="32"/>
          <w:lang w:eastAsia="zh-CN"/>
        </w:rPr>
        <w:t>.3 制定与解释</w:t>
      </w:r>
      <w:bookmarkEnd w:id="115"/>
    </w:p>
    <w:p w14:paraId="4D6F370F">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t>本预案由县环境应急指挥部办公室负责组织制定和解释。</w:t>
      </w:r>
    </w:p>
    <w:p w14:paraId="37C00A59">
      <w:pPr>
        <w:keepNext/>
        <w:keepLines/>
        <w:widowControl w:val="0"/>
        <w:spacing w:before="120" w:after="120" w:line="440" w:lineRule="exact"/>
        <w:jc w:val="both"/>
        <w:outlineLvl w:val="1"/>
        <w:rPr>
          <w:rFonts w:ascii="Times New Roman" w:hAnsi="Times New Roman" w:eastAsia="黑体" w:cs="Times New Roman"/>
          <w:b/>
          <w:color w:val="auto"/>
          <w:kern w:val="2"/>
          <w:sz w:val="32"/>
          <w:szCs w:val="32"/>
          <w:lang w:eastAsia="zh-CN"/>
        </w:rPr>
      </w:pPr>
      <w:bookmarkStart w:id="116" w:name="_Toc17865"/>
      <w:r>
        <w:rPr>
          <w:rFonts w:hint="eastAsia" w:ascii="Times New Roman" w:hAnsi="Times New Roman" w:eastAsia="黑体" w:cs="Times New Roman"/>
          <w:b/>
          <w:color w:val="auto"/>
          <w:kern w:val="2"/>
          <w:sz w:val="32"/>
          <w:szCs w:val="32"/>
          <w:lang w:val="en-US" w:eastAsia="zh-CN"/>
        </w:rPr>
        <w:t>8</w:t>
      </w:r>
      <w:r>
        <w:rPr>
          <w:rFonts w:ascii="Times New Roman" w:hAnsi="Times New Roman" w:eastAsia="黑体" w:cs="Times New Roman"/>
          <w:b/>
          <w:color w:val="auto"/>
          <w:kern w:val="2"/>
          <w:sz w:val="32"/>
          <w:szCs w:val="32"/>
          <w:lang w:eastAsia="zh-CN"/>
        </w:rPr>
        <w:t>.</w:t>
      </w:r>
      <w:r>
        <w:rPr>
          <w:rFonts w:hint="eastAsia" w:ascii="Times New Roman" w:hAnsi="Times New Roman" w:eastAsia="黑体" w:cs="Times New Roman"/>
          <w:b/>
          <w:color w:val="auto"/>
          <w:kern w:val="2"/>
          <w:sz w:val="32"/>
          <w:szCs w:val="32"/>
          <w:lang w:val="en-US" w:eastAsia="zh-CN"/>
        </w:rPr>
        <w:t>4</w:t>
      </w:r>
      <w:r>
        <w:rPr>
          <w:rFonts w:ascii="Times New Roman" w:hAnsi="Times New Roman" w:eastAsia="黑体" w:cs="Times New Roman"/>
          <w:b/>
          <w:color w:val="auto"/>
          <w:kern w:val="2"/>
          <w:sz w:val="32"/>
          <w:szCs w:val="32"/>
          <w:lang w:eastAsia="zh-CN"/>
        </w:rPr>
        <w:t xml:space="preserve"> </w:t>
      </w:r>
      <w:r>
        <w:rPr>
          <w:rFonts w:hint="eastAsia" w:ascii="Times New Roman" w:hAnsi="Times New Roman" w:eastAsia="黑体" w:cs="Times New Roman"/>
          <w:b/>
          <w:color w:val="auto"/>
          <w:kern w:val="2"/>
          <w:sz w:val="32"/>
          <w:szCs w:val="32"/>
          <w:lang w:eastAsia="zh-CN"/>
        </w:rPr>
        <w:t>预案实施</w:t>
      </w:r>
      <w:bookmarkEnd w:id="116"/>
    </w:p>
    <w:p w14:paraId="1009049E">
      <w:pPr>
        <w:widowControl w:val="0"/>
        <w:kinsoku/>
        <w:autoSpaceDE/>
        <w:autoSpaceDN/>
        <w:adjustRightInd/>
        <w:snapToGrid/>
        <w:spacing w:line="580" w:lineRule="exact"/>
        <w:ind w:firstLine="640" w:firstLineChars="200"/>
        <w:jc w:val="both"/>
        <w:textAlignment w:val="auto"/>
        <w:rPr>
          <w:rFonts w:ascii="Times New Roman" w:hAnsi="Times New Roman" w:eastAsia="仿宋_GB2312" w:cs="Times New Roman"/>
          <w:snapToGrid/>
          <w:color w:val="auto"/>
          <w:kern w:val="2"/>
          <w:sz w:val="32"/>
          <w:szCs w:val="32"/>
          <w:lang w:eastAsia="zh-CN"/>
        </w:rPr>
      </w:pPr>
      <w:r>
        <w:rPr>
          <w:rFonts w:hint="eastAsia" w:ascii="Times New Roman" w:hAnsi="Times New Roman" w:eastAsia="仿宋_GB2312" w:cs="Times New Roman"/>
          <w:snapToGrid/>
          <w:color w:val="auto"/>
          <w:kern w:val="2"/>
          <w:sz w:val="32"/>
          <w:szCs w:val="32"/>
          <w:lang w:eastAsia="zh-CN"/>
        </w:rPr>
        <w:t>本预案自印发之日起施行。</w:t>
      </w:r>
    </w:p>
    <w:p w14:paraId="004BAC88">
      <w:pPr>
        <w:widowControl w:val="0"/>
        <w:kinsoku/>
        <w:autoSpaceDE/>
        <w:autoSpaceDN/>
        <w:adjustRightInd/>
        <w:snapToGrid/>
        <w:spacing w:line="580" w:lineRule="exact"/>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br w:type="page"/>
      </w:r>
      <w:r>
        <w:rPr>
          <w:rFonts w:ascii="Times New Roman" w:hAnsi="Times New Roman" w:eastAsia="仿宋_GB2312" w:cs="Times New Roman"/>
          <w:b/>
          <w:bCs/>
          <w:snapToGrid/>
          <w:color w:val="auto"/>
          <w:kern w:val="2"/>
          <w:sz w:val="32"/>
          <w:szCs w:val="32"/>
          <w:lang w:eastAsia="zh-CN"/>
        </w:rPr>
        <w:t>附件1</w:t>
      </w:r>
    </w:p>
    <w:p w14:paraId="58E9B83A">
      <w:pPr>
        <w:widowControl w:val="0"/>
        <w:kinsoku/>
        <w:autoSpaceDE/>
        <w:autoSpaceDN/>
        <w:adjustRightInd/>
        <w:snapToGrid/>
        <w:spacing w:line="440" w:lineRule="exact"/>
        <w:jc w:val="both"/>
        <w:textAlignment w:val="auto"/>
        <w:rPr>
          <w:rFonts w:ascii="Times New Roman" w:hAnsi="Times New Roman" w:eastAsia="宋体" w:cs="Times New Roman"/>
          <w:snapToGrid/>
          <w:color w:val="auto"/>
          <w:kern w:val="2"/>
          <w:sz w:val="48"/>
          <w:szCs w:val="48"/>
          <w:lang w:eastAsia="zh-CN"/>
        </w:rPr>
      </w:pPr>
    </w:p>
    <w:p w14:paraId="607DF83A">
      <w:pPr>
        <w:widowControl w:val="0"/>
        <w:kinsoku/>
        <w:autoSpaceDE/>
        <w:autoSpaceDN/>
        <w:adjustRightInd/>
        <w:snapToGrid/>
        <w:spacing w:line="440" w:lineRule="exact"/>
        <w:jc w:val="both"/>
        <w:textAlignment w:val="auto"/>
        <w:rPr>
          <w:rFonts w:ascii="Times New Roman" w:hAnsi="Times New Roman" w:eastAsia="宋体" w:cs="Times New Roman"/>
          <w:snapToGrid/>
          <w:color w:val="auto"/>
          <w:kern w:val="2"/>
          <w:sz w:val="48"/>
          <w:szCs w:val="48"/>
          <w:lang w:eastAsia="zh-CN"/>
        </w:rPr>
      </w:pPr>
    </w:p>
    <w:p w14:paraId="2C7E52BF">
      <w:pPr>
        <w:widowControl w:val="0"/>
        <w:kinsoku/>
        <w:autoSpaceDE/>
        <w:autoSpaceDN/>
        <w:adjustRightInd/>
        <w:snapToGrid/>
        <w:spacing w:line="440" w:lineRule="exact"/>
        <w:jc w:val="both"/>
        <w:textAlignment w:val="auto"/>
        <w:rPr>
          <w:rFonts w:ascii="Times New Roman" w:hAnsi="Times New Roman" w:eastAsia="宋体" w:cs="Times New Roman"/>
          <w:snapToGrid/>
          <w:color w:val="auto"/>
          <w:kern w:val="2"/>
          <w:sz w:val="48"/>
          <w:szCs w:val="48"/>
          <w:lang w:eastAsia="zh-CN"/>
        </w:rPr>
      </w:pPr>
    </w:p>
    <w:p w14:paraId="380141DB">
      <w:pPr>
        <w:widowControl w:val="0"/>
        <w:kinsoku/>
        <w:autoSpaceDE/>
        <w:autoSpaceDN/>
        <w:adjustRightInd/>
        <w:snapToGrid/>
        <w:spacing w:line="440" w:lineRule="exact"/>
        <w:jc w:val="both"/>
        <w:textAlignment w:val="auto"/>
        <w:rPr>
          <w:rFonts w:ascii="Times New Roman" w:hAnsi="Times New Roman" w:eastAsia="宋体" w:cs="Times New Roman"/>
          <w:snapToGrid/>
          <w:color w:val="auto"/>
          <w:kern w:val="2"/>
          <w:sz w:val="48"/>
          <w:szCs w:val="48"/>
          <w:lang w:eastAsia="zh-CN"/>
        </w:rPr>
      </w:pPr>
    </w:p>
    <w:p w14:paraId="31C2B58E">
      <w:pPr>
        <w:widowControl w:val="0"/>
        <w:kinsoku/>
        <w:autoSpaceDE/>
        <w:autoSpaceDN/>
        <w:adjustRightInd/>
        <w:snapToGrid/>
        <w:spacing w:line="440" w:lineRule="exact"/>
        <w:jc w:val="both"/>
        <w:textAlignment w:val="auto"/>
        <w:rPr>
          <w:rFonts w:ascii="Times New Roman" w:hAnsi="Times New Roman" w:eastAsia="宋体" w:cs="Times New Roman"/>
          <w:snapToGrid/>
          <w:color w:val="auto"/>
          <w:kern w:val="2"/>
          <w:sz w:val="48"/>
          <w:szCs w:val="48"/>
          <w:lang w:eastAsia="zh-CN"/>
        </w:rPr>
      </w:pPr>
    </w:p>
    <w:p w14:paraId="249E4102">
      <w:pPr>
        <w:widowControl w:val="0"/>
        <w:kinsoku/>
        <w:autoSpaceDE/>
        <w:autoSpaceDN/>
        <w:adjustRightInd/>
        <w:snapToGrid/>
        <w:spacing w:line="360" w:lineRule="auto"/>
        <w:jc w:val="center"/>
        <w:textAlignment w:val="auto"/>
        <w:rPr>
          <w:rFonts w:ascii="Times New Roman" w:hAnsi="Times New Roman" w:eastAsia="宋体" w:cs="Times New Roman"/>
          <w:b/>
          <w:bCs/>
          <w:snapToGrid/>
          <w:color w:val="auto"/>
          <w:spacing w:val="-4"/>
          <w:kern w:val="2"/>
          <w:sz w:val="52"/>
          <w:szCs w:val="52"/>
          <w:lang w:eastAsia="zh-CN"/>
        </w:rPr>
      </w:pPr>
      <w:r>
        <w:rPr>
          <w:rFonts w:ascii="Times New Roman" w:hAnsi="Times New Roman" w:eastAsia="宋体" w:cs="Times New Roman"/>
          <w:b/>
          <w:bCs/>
          <w:snapToGrid/>
          <w:color w:val="auto"/>
          <w:spacing w:val="-4"/>
          <w:kern w:val="2"/>
          <w:sz w:val="52"/>
          <w:szCs w:val="52"/>
          <w:lang w:eastAsia="zh-CN"/>
        </w:rPr>
        <w:t>炎陵县行政区域突发环境事件</w:t>
      </w:r>
    </w:p>
    <w:p w14:paraId="4C4B06C0">
      <w:pPr>
        <w:widowControl w:val="0"/>
        <w:kinsoku/>
        <w:autoSpaceDE/>
        <w:autoSpaceDN/>
        <w:adjustRightInd/>
        <w:snapToGrid/>
        <w:spacing w:line="360" w:lineRule="auto"/>
        <w:jc w:val="center"/>
        <w:textAlignment w:val="auto"/>
        <w:rPr>
          <w:rFonts w:ascii="Times New Roman" w:hAnsi="Times New Roman" w:eastAsia="宋体" w:cs="Times New Roman"/>
          <w:b/>
          <w:bCs/>
          <w:snapToGrid/>
          <w:color w:val="auto"/>
          <w:spacing w:val="-4"/>
          <w:kern w:val="2"/>
          <w:sz w:val="52"/>
          <w:szCs w:val="52"/>
          <w:lang w:eastAsia="zh-CN"/>
        </w:rPr>
      </w:pPr>
      <w:r>
        <w:rPr>
          <w:rFonts w:ascii="Times New Roman" w:hAnsi="Times New Roman" w:eastAsia="宋体" w:cs="Times New Roman"/>
          <w:b/>
          <w:bCs/>
          <w:snapToGrid/>
          <w:color w:val="auto"/>
          <w:spacing w:val="-4"/>
          <w:kern w:val="2"/>
          <w:sz w:val="52"/>
          <w:szCs w:val="52"/>
          <w:lang w:eastAsia="zh-CN"/>
        </w:rPr>
        <w:t>风险评估报告</w:t>
      </w:r>
    </w:p>
    <w:p w14:paraId="1FEDA1AF">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1EB38205">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704819CF">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39F3FCBE">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394F4703">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46CC3509">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00E47E19">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45972049">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244260FE">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6"/>
          <w:szCs w:val="36"/>
          <w:lang w:eastAsia="zh-CN"/>
        </w:rPr>
      </w:pPr>
    </w:p>
    <w:p w14:paraId="7D858671">
      <w:pPr>
        <w:widowControl w:val="0"/>
        <w:kinsoku/>
        <w:autoSpaceDE/>
        <w:autoSpaceDN/>
        <w:adjustRightInd/>
        <w:snapToGrid/>
        <w:spacing w:line="360" w:lineRule="auto"/>
        <w:jc w:val="center"/>
        <w:textAlignment w:val="auto"/>
        <w:rPr>
          <w:rFonts w:ascii="Times New Roman" w:hAnsi="Times New Roman" w:eastAsia="宋体" w:cs="Times New Roman"/>
          <w:b/>
          <w:snapToGrid/>
          <w:color w:val="auto"/>
          <w:spacing w:val="-4"/>
          <w:kern w:val="2"/>
          <w:sz w:val="32"/>
          <w:szCs w:val="32"/>
          <w:lang w:eastAsia="zh-CN"/>
        </w:rPr>
      </w:pPr>
      <w:r>
        <w:rPr>
          <w:rFonts w:ascii="Times New Roman" w:hAnsi="Times New Roman" w:eastAsia="宋体" w:cs="Times New Roman"/>
          <w:b/>
          <w:snapToGrid/>
          <w:color w:val="auto"/>
          <w:spacing w:val="-4"/>
          <w:kern w:val="2"/>
          <w:sz w:val="36"/>
          <w:szCs w:val="36"/>
          <w:lang w:eastAsia="zh-CN"/>
        </w:rPr>
        <w:t xml:space="preserve"> </w:t>
      </w:r>
    </w:p>
    <w:p w14:paraId="2EE643AD">
      <w:pPr>
        <w:widowControl w:val="0"/>
        <w:kinsoku/>
        <w:autoSpaceDE/>
        <w:autoSpaceDN/>
        <w:adjustRightInd/>
        <w:snapToGrid/>
        <w:spacing w:line="360" w:lineRule="auto"/>
        <w:ind w:firstLine="2349" w:firstLineChars="750"/>
        <w:jc w:val="both"/>
        <w:textAlignment w:val="auto"/>
        <w:rPr>
          <w:rFonts w:ascii="Times New Roman" w:hAnsi="Times New Roman" w:eastAsia="宋体" w:cs="Times New Roman"/>
          <w:b/>
          <w:bCs/>
          <w:snapToGrid/>
          <w:color w:val="auto"/>
          <w:spacing w:val="-4"/>
          <w:kern w:val="2"/>
          <w:sz w:val="32"/>
          <w:szCs w:val="32"/>
          <w:lang w:eastAsia="zh-CN"/>
        </w:rPr>
      </w:pPr>
      <w:r>
        <w:rPr>
          <w:rFonts w:ascii="Times New Roman" w:hAnsi="Times New Roman" w:eastAsia="宋体" w:cs="Times New Roman"/>
          <w:b/>
          <w:bCs/>
          <w:snapToGrid/>
          <w:color w:val="auto"/>
          <w:spacing w:val="-4"/>
          <w:kern w:val="2"/>
          <w:sz w:val="32"/>
          <w:szCs w:val="32"/>
          <w:lang w:eastAsia="zh-CN"/>
        </w:rPr>
        <w:t>编制日期：</w:t>
      </w:r>
      <w:r>
        <w:rPr>
          <w:rFonts w:hint="eastAsia" w:ascii="Times New Roman" w:hAnsi="Times New Roman" w:eastAsia="宋体" w:cs="Times New Roman"/>
          <w:b/>
          <w:bCs/>
          <w:snapToGrid/>
          <w:color w:val="auto"/>
          <w:spacing w:val="-4"/>
          <w:kern w:val="2"/>
          <w:sz w:val="32"/>
          <w:szCs w:val="32"/>
          <w:lang w:eastAsia="zh-CN"/>
        </w:rPr>
        <w:t>2024</w:t>
      </w:r>
      <w:r>
        <w:rPr>
          <w:rFonts w:ascii="Times New Roman" w:hAnsi="Times New Roman" w:eastAsia="宋体" w:cs="Times New Roman"/>
          <w:b/>
          <w:bCs/>
          <w:snapToGrid/>
          <w:color w:val="auto"/>
          <w:spacing w:val="-4"/>
          <w:kern w:val="2"/>
          <w:sz w:val="32"/>
          <w:szCs w:val="32"/>
          <w:lang w:eastAsia="zh-CN"/>
        </w:rPr>
        <w:t>年</w:t>
      </w:r>
      <w:r>
        <w:rPr>
          <w:rFonts w:hint="eastAsia" w:ascii="Times New Roman" w:hAnsi="Times New Roman" w:eastAsia="宋体" w:cs="Times New Roman"/>
          <w:b/>
          <w:bCs/>
          <w:snapToGrid/>
          <w:color w:val="auto"/>
          <w:spacing w:val="-4"/>
          <w:kern w:val="2"/>
          <w:sz w:val="32"/>
          <w:szCs w:val="32"/>
          <w:lang w:val="en-US" w:eastAsia="zh-CN"/>
        </w:rPr>
        <w:t>1</w:t>
      </w:r>
      <w:r>
        <w:rPr>
          <w:rFonts w:hint="eastAsia" w:ascii="Times New Roman" w:hAnsi="Times New Roman" w:eastAsia="宋体" w:cs="Times New Roman"/>
          <w:b/>
          <w:bCs/>
          <w:snapToGrid/>
          <w:color w:val="auto"/>
          <w:spacing w:val="-4"/>
          <w:kern w:val="2"/>
          <w:sz w:val="32"/>
          <w:szCs w:val="32"/>
          <w:lang w:val="en-US" w:eastAsia="zh-CN"/>
        </w:rPr>
        <w:t>0</w:t>
      </w:r>
      <w:r>
        <w:rPr>
          <w:rFonts w:ascii="Times New Roman" w:hAnsi="Times New Roman" w:eastAsia="宋体" w:cs="Times New Roman"/>
          <w:b/>
          <w:bCs/>
          <w:snapToGrid/>
          <w:color w:val="auto"/>
          <w:spacing w:val="-4"/>
          <w:kern w:val="2"/>
          <w:sz w:val="32"/>
          <w:szCs w:val="32"/>
          <w:lang w:eastAsia="zh-CN"/>
        </w:rPr>
        <w:t>月</w:t>
      </w:r>
    </w:p>
    <w:p w14:paraId="086124D5">
      <w:pPr>
        <w:rPr>
          <w:rFonts w:ascii="Times New Roman" w:hAnsi="Times New Roman" w:eastAsia="宋体" w:cs="Times New Roman"/>
          <w:color w:val="auto"/>
          <w:lang w:eastAsia="zh-CN"/>
        </w:rPr>
        <w:sectPr>
          <w:pgSz w:w="11906" w:h="16838"/>
          <w:pgMar w:top="1984" w:right="1474" w:bottom="1871" w:left="1587" w:header="851" w:footer="1587" w:gutter="0"/>
          <w:cols w:space="720" w:num="1"/>
          <w:titlePg/>
          <w:docGrid w:linePitch="312" w:charSpace="0"/>
        </w:sectPr>
      </w:pPr>
    </w:p>
    <w:p w14:paraId="246F7919">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117" w:name="_Toc31857"/>
      <w:bookmarkStart w:id="118" w:name="_Toc12969"/>
      <w:bookmarkStart w:id="119" w:name="_Toc11900"/>
      <w:bookmarkStart w:id="120" w:name="_Toc5125"/>
      <w:bookmarkStart w:id="121" w:name="_Toc29073"/>
      <w:r>
        <w:rPr>
          <w:rFonts w:ascii="Times New Roman" w:hAnsi="Times New Roman" w:eastAsia="宋体" w:cs="Times New Roman"/>
          <w:b/>
          <w:bCs/>
          <w:snapToGrid/>
          <w:color w:val="auto"/>
          <w:kern w:val="44"/>
          <w:sz w:val="32"/>
          <w:szCs w:val="44"/>
          <w:lang w:eastAsia="zh-CN"/>
        </w:rPr>
        <w:t>1 总则</w:t>
      </w:r>
      <w:bookmarkEnd w:id="117"/>
      <w:bookmarkEnd w:id="118"/>
      <w:bookmarkEnd w:id="119"/>
      <w:bookmarkEnd w:id="120"/>
      <w:bookmarkEnd w:id="121"/>
    </w:p>
    <w:p w14:paraId="0F722617">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122" w:name="_Toc24224"/>
      <w:bookmarkStart w:id="123" w:name="_Toc10366"/>
      <w:bookmarkStart w:id="124" w:name="_Toc11711"/>
      <w:bookmarkStart w:id="125" w:name="_Toc2201"/>
      <w:bookmarkStart w:id="126" w:name="_Toc28320"/>
      <w:r>
        <w:rPr>
          <w:rFonts w:ascii="Times New Roman" w:hAnsi="Times New Roman" w:eastAsia="宋体" w:cs="Times New Roman"/>
          <w:b/>
          <w:bCs/>
          <w:snapToGrid/>
          <w:color w:val="auto"/>
          <w:kern w:val="2"/>
          <w:sz w:val="30"/>
          <w:szCs w:val="32"/>
          <w:lang w:eastAsia="zh-CN"/>
        </w:rPr>
        <w:t>1.1 编制原则</w:t>
      </w:r>
      <w:bookmarkEnd w:id="122"/>
      <w:bookmarkEnd w:id="123"/>
      <w:bookmarkEnd w:id="124"/>
      <w:bookmarkEnd w:id="125"/>
      <w:bookmarkEnd w:id="126"/>
    </w:p>
    <w:p w14:paraId="27B73304">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本报告的编制基于炎陵县现有各类环境风险源、风险受体分布、炎陵县现有环境应急资源和应急队伍的现状、炎陵县内企业自身配备的环境应急资源等实际情况。针对炎陵县内可能发生的突发环境事件对环境的影响进行评估</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提出合理可行的防范、应急与减缓措施。遵循以下原则：</w:t>
      </w:r>
    </w:p>
    <w:p w14:paraId="11E84CC9">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（1）科学性原则。坚持以人为本、合理保障人民群众的人身安全和区域环境安全</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科学开展突发环境事件风险评估</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合理提出区域环境风险管理措施建议</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准确高效应对突发环境事件。</w:t>
      </w:r>
    </w:p>
    <w:p w14:paraId="743D2355">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（2）规范性原则。严格执行环境保护、突发环境事件等相关法律法规、标准、政策</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统筹兼顾管理要求。</w:t>
      </w:r>
    </w:p>
    <w:p w14:paraId="2CB20D53">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（3）真实性原则。坚持理论与实际情况相结合</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基于实际客观分析评估区域环境风险情况以及风险管控水平。</w:t>
      </w:r>
    </w:p>
    <w:p w14:paraId="3F000F88">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127" w:name="_Toc8012"/>
      <w:bookmarkStart w:id="128" w:name="_Toc31127"/>
      <w:bookmarkStart w:id="129" w:name="_Toc32072"/>
      <w:bookmarkStart w:id="130" w:name="_Toc5959"/>
      <w:bookmarkStart w:id="131" w:name="_Toc5522"/>
      <w:r>
        <w:rPr>
          <w:rFonts w:ascii="Times New Roman" w:hAnsi="Times New Roman" w:eastAsia="宋体" w:cs="Times New Roman"/>
          <w:b/>
          <w:bCs/>
          <w:snapToGrid/>
          <w:color w:val="auto"/>
          <w:kern w:val="2"/>
          <w:sz w:val="30"/>
          <w:szCs w:val="32"/>
          <w:lang w:eastAsia="zh-CN"/>
        </w:rPr>
        <w:t>1.2 编制依据</w:t>
      </w:r>
      <w:bookmarkEnd w:id="127"/>
      <w:bookmarkEnd w:id="128"/>
      <w:bookmarkEnd w:id="129"/>
      <w:bookmarkEnd w:id="130"/>
      <w:bookmarkEnd w:id="131"/>
    </w:p>
    <w:p w14:paraId="3DB000C2">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本次评估适用的主要政策法规、技术指南、标准规范以及其他文件等如表下所示：</w:t>
      </w:r>
    </w:p>
    <w:p w14:paraId="026E14AE">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Cs/>
          <w:snapToGrid/>
          <w:color w:val="auto"/>
          <w:kern w:val="2"/>
          <w:sz w:val="24"/>
          <w:szCs w:val="32"/>
          <w:lang w:eastAsia="zh-CN"/>
        </w:rPr>
      </w:pPr>
      <w:bookmarkStart w:id="132" w:name="_Toc15038"/>
      <w:bookmarkStart w:id="133" w:name="_Toc5053"/>
      <w:bookmarkStart w:id="134" w:name="_Toc15709"/>
      <w:bookmarkStart w:id="135" w:name="_Toc10094"/>
      <w:bookmarkStart w:id="136" w:name="_Toc21735"/>
      <w:r>
        <w:rPr>
          <w:rFonts w:ascii="Times New Roman" w:hAnsi="Times New Roman" w:eastAsia="宋体" w:cs="Times New Roman"/>
          <w:b/>
          <w:bCs/>
          <w:snapToGrid/>
          <w:color w:val="auto"/>
          <w:kern w:val="2"/>
          <w:sz w:val="24"/>
          <w:szCs w:val="32"/>
          <w:lang w:eastAsia="zh-CN"/>
        </w:rPr>
        <w:t>1.2.1 法律法规、规章、规范性文件</w:t>
      </w:r>
      <w:bookmarkEnd w:id="132"/>
      <w:bookmarkEnd w:id="133"/>
      <w:bookmarkEnd w:id="134"/>
      <w:bookmarkEnd w:id="135"/>
      <w:bookmarkEnd w:id="136"/>
    </w:p>
    <w:p w14:paraId="4DC4346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(1)《中华人民共和国环境保护法》（2015年1月1日施行）；</w:t>
      </w:r>
    </w:p>
    <w:p w14:paraId="7DA9E5AB">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(2)《中华人民共和国突发事件应对法》（</w:t>
      </w:r>
      <w:r>
        <w:rPr>
          <w:rFonts w:hint="eastAsia" w:ascii="Times New Roman" w:hAnsi="Times New Roman" w:eastAsia="宋体" w:cs="Times New Roman"/>
          <w:snapToGrid/>
          <w:color w:val="auto"/>
          <w:kern w:val="2"/>
          <w:sz w:val="24"/>
          <w:szCs w:val="28"/>
          <w:lang w:eastAsia="zh-CN"/>
        </w:rPr>
        <w:t>2024年11月1日起施行</w:t>
      </w:r>
      <w:r>
        <w:rPr>
          <w:rFonts w:ascii="Times New Roman" w:hAnsi="Times New Roman" w:eastAsia="宋体" w:cs="Times New Roman"/>
          <w:snapToGrid/>
          <w:color w:val="auto"/>
          <w:kern w:val="2"/>
          <w:sz w:val="24"/>
          <w:szCs w:val="28"/>
          <w:lang w:eastAsia="zh-CN"/>
        </w:rPr>
        <w:t>）；</w:t>
      </w:r>
    </w:p>
    <w:p w14:paraId="6AC489C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(3)《中华人民共和国环境影响评价法》（2016年9月1日施行）；</w:t>
      </w:r>
    </w:p>
    <w:p w14:paraId="62346D2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(4)《中华人民共和国大气污染防治法》（</w:t>
      </w:r>
      <w:r>
        <w:rPr>
          <w:rFonts w:hint="eastAsia" w:ascii="Times New Roman" w:hAnsi="Times New Roman" w:eastAsia="宋体" w:cs="Times New Roman"/>
          <w:snapToGrid/>
          <w:color w:val="auto"/>
          <w:kern w:val="2"/>
          <w:sz w:val="24"/>
          <w:szCs w:val="28"/>
          <w:lang w:eastAsia="zh-CN"/>
        </w:rPr>
        <w:t>2</w:t>
      </w:r>
      <w:r>
        <w:rPr>
          <w:rFonts w:ascii="Times New Roman" w:hAnsi="Times New Roman" w:eastAsia="宋体" w:cs="Times New Roman"/>
          <w:snapToGrid/>
          <w:color w:val="auto"/>
          <w:kern w:val="2"/>
          <w:sz w:val="24"/>
          <w:szCs w:val="28"/>
          <w:lang w:eastAsia="zh-CN"/>
        </w:rPr>
        <w:t>016年1月1日施行）；</w:t>
      </w:r>
    </w:p>
    <w:p w14:paraId="3971DB5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(5)《中华人民共和国水污染防治法》（2018年1月1日施行）；</w:t>
      </w:r>
    </w:p>
    <w:p w14:paraId="36CF947A">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(6)《中华人民共和国固体废物污染环境防治法》（2020年4月29日修订</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2020年9月1日施行）；</w:t>
      </w:r>
    </w:p>
    <w:p w14:paraId="03B3D40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(7)《建设项目环境保护管理条例》2017年7月16日修订 ；</w:t>
      </w:r>
    </w:p>
    <w:p w14:paraId="1BB99ED2">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(8)《危险化学品安全管理条例》（国务院令</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2013</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591号） ；</w:t>
      </w:r>
    </w:p>
    <w:p w14:paraId="4276F26A">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(9)《国务院关于加强环境保护重点工作的意见》（国发</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2011</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35号）；</w:t>
      </w:r>
    </w:p>
    <w:p w14:paraId="569AFC8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(10)《突发事件应急预案管理办法》（国办发</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2013</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101号）；</w:t>
      </w:r>
    </w:p>
    <w:p w14:paraId="190AFDB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(11)《突发环境事件信息报告办法》（</w:t>
      </w:r>
      <w:r>
        <w:rPr>
          <w:rFonts w:hint="eastAsia" w:ascii="Times New Roman" w:hAnsi="Times New Roman" w:eastAsia="宋体" w:cs="Times New Roman"/>
          <w:snapToGrid/>
          <w:color w:val="auto"/>
          <w:kern w:val="2"/>
          <w:sz w:val="24"/>
          <w:szCs w:val="28"/>
          <w:lang w:eastAsia="zh-CN"/>
        </w:rPr>
        <w:t>生态环境部</w:t>
      </w:r>
      <w:r>
        <w:rPr>
          <w:rFonts w:ascii="Times New Roman" w:hAnsi="Times New Roman" w:eastAsia="宋体" w:cs="Times New Roman"/>
          <w:snapToGrid/>
          <w:color w:val="auto"/>
          <w:kern w:val="2"/>
          <w:sz w:val="24"/>
          <w:szCs w:val="28"/>
          <w:lang w:eastAsia="zh-CN"/>
        </w:rPr>
        <w:t>令第17号）；</w:t>
      </w:r>
    </w:p>
    <w:p w14:paraId="6C9ACEF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(12)《突发环境事件应急预案管理暂行办法》（环发</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2010</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113号）；</w:t>
      </w:r>
    </w:p>
    <w:p w14:paraId="64CCD10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(13)《危险化学品环境管理登记办法（试行）》（</w:t>
      </w:r>
      <w:r>
        <w:rPr>
          <w:rFonts w:hint="eastAsia" w:ascii="Times New Roman" w:hAnsi="Times New Roman" w:eastAsia="宋体" w:cs="Times New Roman"/>
          <w:snapToGrid/>
          <w:color w:val="auto"/>
          <w:kern w:val="2"/>
          <w:sz w:val="24"/>
          <w:szCs w:val="28"/>
          <w:lang w:eastAsia="zh-CN"/>
        </w:rPr>
        <w:t>生态环境部</w:t>
      </w:r>
      <w:r>
        <w:rPr>
          <w:rFonts w:ascii="Times New Roman" w:hAnsi="Times New Roman" w:eastAsia="宋体" w:cs="Times New Roman"/>
          <w:snapToGrid/>
          <w:color w:val="auto"/>
          <w:kern w:val="2"/>
          <w:sz w:val="24"/>
          <w:szCs w:val="28"/>
          <w:lang w:eastAsia="zh-CN"/>
        </w:rPr>
        <w:t>令</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2012</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22号）；</w:t>
      </w:r>
    </w:p>
    <w:p w14:paraId="7863DEB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(14)《关于加强资源环境生态红线管控的指导意见》（发改环资〔2016〕1162号）。</w:t>
      </w:r>
    </w:p>
    <w:p w14:paraId="38F64849">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37" w:name="_Toc32098"/>
      <w:bookmarkStart w:id="138" w:name="_Toc19334"/>
      <w:bookmarkStart w:id="139" w:name="_Toc20142"/>
      <w:bookmarkStart w:id="140" w:name="_Toc10979"/>
      <w:bookmarkStart w:id="141" w:name="_Toc31644"/>
      <w:r>
        <w:rPr>
          <w:rFonts w:ascii="Times New Roman" w:hAnsi="Times New Roman" w:eastAsia="宋体" w:cs="Times New Roman"/>
          <w:b/>
          <w:bCs/>
          <w:snapToGrid/>
          <w:color w:val="auto"/>
          <w:kern w:val="2"/>
          <w:sz w:val="24"/>
          <w:szCs w:val="32"/>
          <w:lang w:eastAsia="zh-CN"/>
        </w:rPr>
        <w:t>1.2.2 标准、技术规范</w:t>
      </w:r>
      <w:bookmarkEnd w:id="137"/>
      <w:bookmarkEnd w:id="138"/>
      <w:bookmarkEnd w:id="139"/>
      <w:bookmarkEnd w:id="140"/>
      <w:bookmarkEnd w:id="141"/>
    </w:p>
    <w:p w14:paraId="2950C595">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(1)《行政区域突发环境事件风险评估推荐方法》（环办</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2018</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54号）；</w:t>
      </w:r>
    </w:p>
    <w:p w14:paraId="4A103B51">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(4)《企业突发环境事件隐患排查与治理工作指南（试行）》（环公告</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2016</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74号）；</w:t>
      </w:r>
    </w:p>
    <w:p w14:paraId="2A4FDC62">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(5)《建设项目环境风险评价技术导则》(HJ 169-2018)；</w:t>
      </w:r>
    </w:p>
    <w:p w14:paraId="1D2A9376">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(6)《危险化学品重大危险源辨识》(GB 18218-2018)。</w:t>
      </w:r>
    </w:p>
    <w:p w14:paraId="77F53865">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42" w:name="_Toc30939"/>
      <w:bookmarkStart w:id="143" w:name="_Toc21267"/>
      <w:bookmarkStart w:id="144" w:name="_Toc29934"/>
      <w:bookmarkStart w:id="145" w:name="_Toc22739"/>
      <w:bookmarkStart w:id="146" w:name="_Toc18676"/>
      <w:r>
        <w:rPr>
          <w:rFonts w:ascii="Times New Roman" w:hAnsi="Times New Roman" w:eastAsia="宋体" w:cs="Times New Roman"/>
          <w:b/>
          <w:bCs/>
          <w:snapToGrid/>
          <w:color w:val="auto"/>
          <w:kern w:val="2"/>
          <w:sz w:val="24"/>
          <w:szCs w:val="32"/>
          <w:lang w:eastAsia="zh-CN"/>
        </w:rPr>
        <w:t>1.2.3 其他参考资料</w:t>
      </w:r>
      <w:bookmarkEnd w:id="142"/>
      <w:bookmarkEnd w:id="143"/>
      <w:bookmarkEnd w:id="144"/>
      <w:bookmarkEnd w:id="145"/>
      <w:bookmarkEnd w:id="146"/>
    </w:p>
    <w:p w14:paraId="0D87E99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（1）炎陵县各企业环评、突发环境事件风险评估报告和应急预案等；</w:t>
      </w:r>
    </w:p>
    <w:p w14:paraId="2020CFF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（2）炎陵县其他基础资料；</w:t>
      </w:r>
    </w:p>
    <w:p w14:paraId="35C3B1A4">
      <w:pPr>
        <w:keepNext/>
        <w:keepLines/>
        <w:widowControl w:val="0"/>
        <w:kinsoku/>
        <w:autoSpaceDE/>
        <w:autoSpaceDN/>
        <w:spacing w:line="360" w:lineRule="auto"/>
        <w:jc w:val="both"/>
        <w:textAlignment w:val="auto"/>
        <w:outlineLvl w:val="1"/>
        <w:rPr>
          <w:rFonts w:ascii="Times New Roman" w:hAnsi="Times New Roman" w:eastAsia="宋体" w:cs="Times New Roman"/>
          <w:b/>
          <w:bCs/>
          <w:snapToGrid/>
          <w:color w:val="auto"/>
          <w:kern w:val="2"/>
          <w:sz w:val="28"/>
          <w:szCs w:val="28"/>
          <w:lang w:eastAsia="zh-CN"/>
        </w:rPr>
      </w:pPr>
      <w:bookmarkStart w:id="147" w:name="_Toc15574"/>
      <w:bookmarkStart w:id="148" w:name="_Toc11270"/>
      <w:bookmarkStart w:id="149" w:name="_Toc31542"/>
      <w:bookmarkStart w:id="150" w:name="_Toc1223"/>
      <w:bookmarkStart w:id="151" w:name="_Toc30200"/>
      <w:r>
        <w:rPr>
          <w:rFonts w:ascii="Times New Roman" w:hAnsi="Times New Roman" w:eastAsia="宋体" w:cs="Times New Roman"/>
          <w:b/>
          <w:bCs/>
          <w:snapToGrid/>
          <w:color w:val="auto"/>
          <w:kern w:val="2"/>
          <w:sz w:val="28"/>
          <w:szCs w:val="28"/>
          <w:lang w:eastAsia="zh-CN"/>
        </w:rPr>
        <w:t>1.3 评估范围</w:t>
      </w:r>
      <w:bookmarkEnd w:id="147"/>
      <w:bookmarkEnd w:id="148"/>
      <w:bookmarkEnd w:id="149"/>
      <w:bookmarkEnd w:id="150"/>
      <w:bookmarkEnd w:id="151"/>
    </w:p>
    <w:p w14:paraId="26122CF3">
      <w:pPr>
        <w:widowControl w:val="0"/>
        <w:kinsoku/>
        <w:spacing w:line="360" w:lineRule="auto"/>
        <w:ind w:firstLine="480" w:firstLineChars="200"/>
        <w:jc w:val="both"/>
        <w:textAlignment w:val="auto"/>
        <w:rPr>
          <w:rFonts w:ascii="Times New Roman" w:hAnsi="Times New Roman" w:eastAsia="宋体" w:cs="Times New Roman"/>
          <w:bCs/>
          <w:snapToGrid/>
          <w:color w:val="auto"/>
          <w:kern w:val="2"/>
          <w:sz w:val="24"/>
          <w:szCs w:val="28"/>
          <w:lang w:eastAsia="zh-CN"/>
        </w:rPr>
      </w:pPr>
      <w:r>
        <w:rPr>
          <w:rFonts w:ascii="Times New Roman" w:hAnsi="Times New Roman" w:eastAsia="宋体" w:cs="Times New Roman"/>
          <w:bCs/>
          <w:snapToGrid/>
          <w:color w:val="auto"/>
          <w:kern w:val="2"/>
          <w:sz w:val="24"/>
          <w:szCs w:val="28"/>
          <w:lang w:eastAsia="zh-CN"/>
        </w:rPr>
        <w:t>（1）涉水环境风险受体的调查评估范围；</w:t>
      </w:r>
    </w:p>
    <w:p w14:paraId="6EFD182E">
      <w:pPr>
        <w:widowControl w:val="0"/>
        <w:kinsoku/>
        <w:spacing w:line="360" w:lineRule="auto"/>
        <w:ind w:firstLine="480" w:firstLineChars="200"/>
        <w:jc w:val="both"/>
        <w:textAlignment w:val="auto"/>
        <w:rPr>
          <w:rFonts w:ascii="Times New Roman" w:hAnsi="Times New Roman" w:eastAsia="宋体" w:cs="Times New Roman"/>
          <w:bCs/>
          <w:snapToGrid/>
          <w:color w:val="auto"/>
          <w:kern w:val="2"/>
          <w:sz w:val="24"/>
          <w:szCs w:val="28"/>
          <w:lang w:eastAsia="zh-CN"/>
        </w:rPr>
      </w:pPr>
      <w:r>
        <w:rPr>
          <w:rFonts w:ascii="Times New Roman" w:hAnsi="Times New Roman" w:eastAsia="宋体" w:cs="Times New Roman"/>
          <w:bCs/>
          <w:snapToGrid/>
          <w:color w:val="auto"/>
          <w:kern w:val="2"/>
          <w:sz w:val="24"/>
          <w:szCs w:val="28"/>
          <w:lang w:eastAsia="zh-CN"/>
        </w:rPr>
        <w:t>（2）涉气环境风险受体的调查评估范围；</w:t>
      </w:r>
    </w:p>
    <w:p w14:paraId="313906F9">
      <w:pPr>
        <w:widowControl w:val="0"/>
        <w:kinsoku/>
        <w:spacing w:line="360" w:lineRule="auto"/>
        <w:ind w:firstLine="480" w:firstLineChars="200"/>
        <w:jc w:val="both"/>
        <w:textAlignment w:val="auto"/>
        <w:rPr>
          <w:rFonts w:ascii="Times New Roman" w:hAnsi="Times New Roman" w:eastAsia="宋体" w:cs="Times New Roman"/>
          <w:bCs/>
          <w:snapToGrid/>
          <w:color w:val="auto"/>
          <w:kern w:val="2"/>
          <w:sz w:val="24"/>
          <w:szCs w:val="28"/>
          <w:lang w:eastAsia="zh-CN"/>
        </w:rPr>
      </w:pPr>
      <w:r>
        <w:rPr>
          <w:rFonts w:ascii="Times New Roman" w:hAnsi="Times New Roman" w:eastAsia="宋体" w:cs="Times New Roman"/>
          <w:bCs/>
          <w:snapToGrid/>
          <w:color w:val="auto"/>
          <w:kern w:val="2"/>
          <w:sz w:val="24"/>
          <w:szCs w:val="28"/>
          <w:lang w:eastAsia="zh-CN"/>
        </w:rPr>
        <w:t>炎陵县环境风险源范围向外扩展5公里区域内环境风险受体</w:t>
      </w:r>
      <w:r>
        <w:rPr>
          <w:rFonts w:hint="eastAsia" w:ascii="Times New Roman" w:hAnsi="Times New Roman" w:eastAsia="宋体" w:cs="Times New Roman"/>
          <w:bCs/>
          <w:snapToGrid/>
          <w:color w:val="auto"/>
          <w:kern w:val="2"/>
          <w:sz w:val="24"/>
          <w:szCs w:val="28"/>
          <w:lang w:eastAsia="zh-CN"/>
        </w:rPr>
        <w:t>，</w:t>
      </w:r>
      <w:r>
        <w:rPr>
          <w:rFonts w:ascii="Times New Roman" w:hAnsi="Times New Roman" w:eastAsia="宋体" w:cs="Times New Roman"/>
          <w:bCs/>
          <w:snapToGrid/>
          <w:color w:val="auto"/>
          <w:kern w:val="2"/>
          <w:sz w:val="24"/>
          <w:szCs w:val="28"/>
          <w:lang w:eastAsia="zh-CN"/>
        </w:rPr>
        <w:t>以及生态保护红线。</w:t>
      </w:r>
    </w:p>
    <w:p w14:paraId="24D304DF">
      <w:pPr>
        <w:widowControl w:val="0"/>
        <w:kinsoku/>
        <w:spacing w:line="360" w:lineRule="auto"/>
        <w:ind w:firstLine="480" w:firstLineChars="200"/>
        <w:jc w:val="both"/>
        <w:textAlignment w:val="auto"/>
        <w:rPr>
          <w:rFonts w:ascii="Times New Roman" w:hAnsi="Times New Roman" w:eastAsia="宋体" w:cs="Times New Roman"/>
          <w:bCs/>
          <w:snapToGrid/>
          <w:color w:val="auto"/>
          <w:kern w:val="2"/>
          <w:sz w:val="24"/>
          <w:szCs w:val="28"/>
          <w:lang w:eastAsia="zh-CN"/>
        </w:rPr>
      </w:pPr>
    </w:p>
    <w:p w14:paraId="6192D98A">
      <w:pPr>
        <w:spacing w:line="360" w:lineRule="auto"/>
        <w:ind w:firstLine="420" w:firstLineChars="200"/>
        <w:rPr>
          <w:rFonts w:ascii="Times New Roman" w:hAnsi="Times New Roman" w:eastAsia="宋体" w:cs="Times New Roman"/>
          <w:bCs/>
          <w:color w:val="auto"/>
          <w:szCs w:val="28"/>
          <w:lang w:eastAsia="zh-CN"/>
        </w:rPr>
        <w:sectPr>
          <w:footerReference r:id="rId10" w:type="default"/>
          <w:pgSz w:w="11906" w:h="16838"/>
          <w:pgMar w:top="1984" w:right="1474" w:bottom="1871" w:left="1587" w:header="851" w:footer="1587" w:gutter="0"/>
          <w:cols w:space="720" w:num="1"/>
          <w:titlePg/>
          <w:docGrid w:linePitch="381" w:charSpace="0"/>
        </w:sectPr>
      </w:pPr>
    </w:p>
    <w:p w14:paraId="2842823F">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152" w:name="_Toc13778"/>
      <w:bookmarkStart w:id="153" w:name="_Toc23010"/>
      <w:bookmarkStart w:id="154" w:name="_Toc6401"/>
      <w:bookmarkStart w:id="155" w:name="_Toc30277"/>
      <w:bookmarkStart w:id="156" w:name="_Toc6066"/>
      <w:r>
        <w:rPr>
          <w:rFonts w:ascii="Times New Roman" w:hAnsi="Times New Roman" w:eastAsia="宋体" w:cs="Times New Roman"/>
          <w:b/>
          <w:bCs/>
          <w:snapToGrid/>
          <w:color w:val="auto"/>
          <w:kern w:val="44"/>
          <w:sz w:val="32"/>
          <w:szCs w:val="44"/>
          <w:lang w:eastAsia="zh-CN"/>
        </w:rPr>
        <w:t>2资料准备</w:t>
      </w:r>
      <w:bookmarkEnd w:id="152"/>
      <w:bookmarkEnd w:id="153"/>
      <w:bookmarkEnd w:id="154"/>
      <w:bookmarkEnd w:id="155"/>
      <w:bookmarkEnd w:id="156"/>
    </w:p>
    <w:p w14:paraId="346557AC">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157" w:name="_Toc11814"/>
      <w:bookmarkStart w:id="158" w:name="_Toc32497"/>
      <w:bookmarkStart w:id="159" w:name="_Toc20546"/>
      <w:bookmarkStart w:id="160" w:name="_Toc26444"/>
      <w:bookmarkStart w:id="161" w:name="_Toc1918"/>
      <w:r>
        <w:rPr>
          <w:rFonts w:ascii="Times New Roman" w:hAnsi="Times New Roman" w:eastAsia="宋体" w:cs="Times New Roman"/>
          <w:b/>
          <w:bCs/>
          <w:snapToGrid/>
          <w:color w:val="auto"/>
          <w:kern w:val="2"/>
          <w:sz w:val="30"/>
          <w:szCs w:val="32"/>
          <w:lang w:eastAsia="zh-CN"/>
        </w:rPr>
        <w:t>2.2 行政区域环境风险受体信息</w:t>
      </w:r>
      <w:bookmarkEnd w:id="157"/>
      <w:bookmarkEnd w:id="158"/>
      <w:bookmarkEnd w:id="159"/>
      <w:bookmarkEnd w:id="160"/>
      <w:bookmarkEnd w:id="161"/>
    </w:p>
    <w:p w14:paraId="5FF7417A">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62" w:name="_Toc22037"/>
      <w:bookmarkStart w:id="163" w:name="_Toc24060"/>
      <w:bookmarkStart w:id="164" w:name="_Toc2253"/>
      <w:bookmarkStart w:id="165" w:name="_Toc283"/>
      <w:bookmarkStart w:id="166" w:name="_Toc12320"/>
      <w:r>
        <w:rPr>
          <w:rFonts w:ascii="Times New Roman" w:hAnsi="Times New Roman" w:eastAsia="宋体" w:cs="Times New Roman"/>
          <w:b/>
          <w:bCs/>
          <w:snapToGrid/>
          <w:color w:val="auto"/>
          <w:kern w:val="2"/>
          <w:sz w:val="24"/>
          <w:szCs w:val="32"/>
          <w:lang w:eastAsia="zh-CN"/>
        </w:rPr>
        <w:t>2.2.1 水环境风险受体情况</w:t>
      </w:r>
      <w:bookmarkEnd w:id="162"/>
      <w:bookmarkEnd w:id="163"/>
      <w:bookmarkEnd w:id="164"/>
      <w:bookmarkEnd w:id="165"/>
      <w:bookmarkEnd w:id="166"/>
    </w:p>
    <w:p w14:paraId="1A0859C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根据查阅相关资料</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炎陵县行政区域内涉及的《行政区域突发环境事件风险评估推荐方法》（环办</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2018</w:t>
      </w:r>
      <w:r>
        <w:rPr>
          <w:rFonts w:hint="eastAsia" w:ascii="仿宋_GB2312" w:hAnsi="仿宋_GB2312" w:eastAsia="仿宋_GB2312" w:cs="仿宋_GB2312"/>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54号）内要求的水环境风险受体主要有洣水炎陵段全境、集中式地表水、地下水饮用水水源保护区（包括一级保护区、二级保护区及准保护区）、农村及分散式饮用水水源保护区等。</w:t>
      </w:r>
    </w:p>
    <w:p w14:paraId="4333E84F">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67" w:name="_Toc16855"/>
      <w:bookmarkStart w:id="168" w:name="_Toc12030"/>
      <w:bookmarkStart w:id="169" w:name="_Toc1267"/>
      <w:bookmarkStart w:id="170" w:name="_Toc2004"/>
      <w:bookmarkStart w:id="171" w:name="_Toc14144"/>
      <w:r>
        <w:rPr>
          <w:rFonts w:ascii="Times New Roman" w:hAnsi="Times New Roman" w:eastAsia="宋体" w:cs="Times New Roman"/>
          <w:b/>
          <w:bCs/>
          <w:snapToGrid/>
          <w:color w:val="auto"/>
          <w:kern w:val="2"/>
          <w:sz w:val="24"/>
          <w:szCs w:val="32"/>
          <w:lang w:eastAsia="zh-CN"/>
        </w:rPr>
        <w:t>2.2.2 大气环境风险受体情况</w:t>
      </w:r>
      <w:bookmarkEnd w:id="167"/>
      <w:bookmarkEnd w:id="168"/>
      <w:bookmarkEnd w:id="169"/>
      <w:bookmarkEnd w:id="170"/>
      <w:bookmarkEnd w:id="171"/>
    </w:p>
    <w:p w14:paraId="13AEDCB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8"/>
          <w:lang w:eastAsia="zh-CN"/>
        </w:rPr>
        <w:t>根据对炎陵县环境的调查情况分析可知</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周围大气环境风险受体主要为炎陵县各乡镇和高新区的居民生活区、医疗机构、学校等教育机构、行政机关、火车站等。</w:t>
      </w:r>
    </w:p>
    <w:p w14:paraId="6A7313D0">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72" w:name="_Toc12135"/>
      <w:bookmarkStart w:id="173" w:name="_Toc22354"/>
      <w:bookmarkStart w:id="174" w:name="_Toc25207"/>
      <w:bookmarkStart w:id="175" w:name="_Toc4818"/>
      <w:bookmarkStart w:id="176" w:name="_Toc9105"/>
      <w:r>
        <w:rPr>
          <w:rFonts w:ascii="Times New Roman" w:hAnsi="Times New Roman" w:eastAsia="宋体" w:cs="Times New Roman"/>
          <w:b/>
          <w:bCs/>
          <w:snapToGrid/>
          <w:color w:val="auto"/>
          <w:kern w:val="2"/>
          <w:sz w:val="24"/>
          <w:szCs w:val="32"/>
          <w:lang w:eastAsia="zh-CN"/>
        </w:rPr>
        <w:t>2.2.3 生态保护红线情况</w:t>
      </w:r>
      <w:bookmarkEnd w:id="172"/>
      <w:bookmarkEnd w:id="173"/>
      <w:bookmarkEnd w:id="174"/>
      <w:bookmarkEnd w:id="175"/>
      <w:bookmarkEnd w:id="176"/>
    </w:p>
    <w:p w14:paraId="1668E50A">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炎陵县行政区域内的生态保护红线见附图。</w:t>
      </w:r>
    </w:p>
    <w:p w14:paraId="4994652D">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177" w:name="_Toc24661"/>
      <w:bookmarkStart w:id="178" w:name="_Toc11984"/>
      <w:bookmarkStart w:id="179" w:name="_Toc25268"/>
      <w:bookmarkStart w:id="180" w:name="_Toc456"/>
      <w:bookmarkStart w:id="181" w:name="_Toc32759"/>
      <w:r>
        <w:rPr>
          <w:rFonts w:ascii="Times New Roman" w:hAnsi="Times New Roman" w:eastAsia="宋体" w:cs="Times New Roman"/>
          <w:b/>
          <w:bCs/>
          <w:snapToGrid/>
          <w:color w:val="auto"/>
          <w:kern w:val="2"/>
          <w:sz w:val="30"/>
          <w:szCs w:val="32"/>
          <w:lang w:eastAsia="zh-CN"/>
        </w:rPr>
        <w:t>2.3 行政区域环境风险源基本情况</w:t>
      </w:r>
      <w:bookmarkEnd w:id="177"/>
      <w:bookmarkEnd w:id="178"/>
      <w:bookmarkEnd w:id="179"/>
      <w:bookmarkEnd w:id="180"/>
      <w:bookmarkEnd w:id="181"/>
    </w:p>
    <w:p w14:paraId="4C05CBB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2"/>
          <w:lang w:eastAsia="zh-CN"/>
        </w:rPr>
        <w:t>根据炎陵县2019</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2023年企业突发环境事件应急预案备案、炎陵县污染物排放重点监控企业名单等相关资料</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评估区域内统计现有环境风险企业、加油站、集中式污</w:t>
      </w:r>
      <w:r>
        <w:rPr>
          <w:rFonts w:ascii="Times New Roman" w:hAnsi="Times New Roman" w:eastAsia="宋体" w:cs="Times New Roman"/>
          <w:snapToGrid/>
          <w:color w:val="auto"/>
          <w:kern w:val="2"/>
          <w:sz w:val="24"/>
          <w:szCs w:val="28"/>
          <w:lang w:eastAsia="zh-CN"/>
        </w:rPr>
        <w:t>水处理厂、行政区域石油天然气管道情况统计如下。</w:t>
      </w:r>
    </w:p>
    <w:p w14:paraId="7BAB932F">
      <w:pPr>
        <w:keepNext/>
        <w:keepLines/>
        <w:widowControl w:val="0"/>
        <w:tabs>
          <w:tab w:val="left" w:pos="3604"/>
        </w:tabs>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82" w:name="_Toc22304"/>
      <w:bookmarkStart w:id="183" w:name="_Toc20836"/>
      <w:bookmarkStart w:id="184" w:name="_Toc11204"/>
      <w:bookmarkStart w:id="185" w:name="_Toc19131"/>
      <w:bookmarkStart w:id="186" w:name="_Toc26751"/>
      <w:r>
        <w:rPr>
          <w:rFonts w:ascii="Times New Roman" w:hAnsi="Times New Roman" w:eastAsia="宋体" w:cs="Times New Roman"/>
          <w:b/>
          <w:bCs/>
          <w:snapToGrid/>
          <w:color w:val="auto"/>
          <w:kern w:val="2"/>
          <w:sz w:val="24"/>
          <w:szCs w:val="32"/>
          <w:lang w:eastAsia="zh-CN"/>
        </w:rPr>
        <w:t>2.3.1 环境风险企业</w:t>
      </w:r>
      <w:bookmarkEnd w:id="182"/>
      <w:bookmarkEnd w:id="183"/>
      <w:bookmarkEnd w:id="184"/>
      <w:bookmarkEnd w:id="185"/>
      <w:bookmarkEnd w:id="186"/>
    </w:p>
    <w:p w14:paraId="656BB25F">
      <w:pPr>
        <w:spacing w:line="360" w:lineRule="auto"/>
        <w:ind w:firstLine="480" w:firstLineChars="200"/>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根据企业已备案的突发环境事件应急预案统计</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评估区域内现有环境风险企业风险源基本情况统计见</w:t>
      </w:r>
      <w:r>
        <w:rPr>
          <w:rFonts w:hint="eastAsia" w:ascii="Times New Roman" w:hAnsi="Times New Roman" w:eastAsia="宋体" w:cs="Times New Roman"/>
          <w:snapToGrid/>
          <w:color w:val="auto"/>
          <w:kern w:val="2"/>
          <w:sz w:val="24"/>
          <w:szCs w:val="22"/>
          <w:lang w:val="en-US" w:eastAsia="zh-CN"/>
        </w:rPr>
        <w:t>表2.3.1-1</w:t>
      </w:r>
      <w:r>
        <w:rPr>
          <w:rFonts w:ascii="Times New Roman" w:hAnsi="Times New Roman" w:eastAsia="宋体" w:cs="Times New Roman"/>
          <w:snapToGrid/>
          <w:color w:val="auto"/>
          <w:kern w:val="2"/>
          <w:sz w:val="24"/>
          <w:szCs w:val="22"/>
          <w:lang w:eastAsia="zh-CN"/>
        </w:rPr>
        <w:t>。</w:t>
      </w:r>
    </w:p>
    <w:p w14:paraId="5BE50855">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表2.3.3-1  炎陵县内</w:t>
      </w:r>
      <w:r>
        <w:rPr>
          <w:rFonts w:hint="eastAsia" w:ascii="Times New Roman" w:hAnsi="Times New Roman" w:eastAsia="宋体" w:cs="Times New Roman"/>
          <w:b/>
          <w:snapToGrid/>
          <w:color w:val="auto"/>
          <w:kern w:val="2"/>
          <w:sz w:val="24"/>
          <w:szCs w:val="28"/>
          <w:lang w:eastAsia="zh-CN"/>
        </w:rPr>
        <w:t>现有环境风险企业风险源</w:t>
      </w:r>
      <w:r>
        <w:rPr>
          <w:rFonts w:ascii="Times New Roman" w:hAnsi="Times New Roman" w:eastAsia="宋体" w:cs="Times New Roman"/>
          <w:b/>
          <w:snapToGrid/>
          <w:color w:val="auto"/>
          <w:kern w:val="2"/>
          <w:sz w:val="24"/>
          <w:szCs w:val="28"/>
          <w:lang w:eastAsia="zh-CN"/>
        </w:rPr>
        <w:t>一览表</w:t>
      </w:r>
    </w:p>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3144"/>
        <w:gridCol w:w="1368"/>
        <w:gridCol w:w="1020"/>
        <w:gridCol w:w="2855"/>
      </w:tblGrid>
      <w:tr w14:paraId="0D7C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trPr>
        <w:tc>
          <w:tcPr>
            <w:tcW w:w="670" w:type="dxa"/>
            <w:vMerge w:val="restart"/>
            <w:noWrap w:val="0"/>
            <w:vAlign w:val="center"/>
          </w:tcPr>
          <w:p w14:paraId="702E0C2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3144" w:type="dxa"/>
            <w:vMerge w:val="restart"/>
            <w:noWrap w:val="0"/>
            <w:vAlign w:val="center"/>
          </w:tcPr>
          <w:p w14:paraId="6908DE26">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环境风险企业</w:t>
            </w:r>
            <w:r>
              <w:rPr>
                <w:rFonts w:ascii="Times New Roman" w:hAnsi="Times New Roman" w:eastAsia="宋体" w:cs="Times New Roman"/>
                <w:bCs/>
                <w:color w:val="auto"/>
                <w:szCs w:val="24"/>
                <w:lang w:eastAsia="zh-CN"/>
              </w:rPr>
              <w:t>名称</w:t>
            </w:r>
          </w:p>
        </w:tc>
        <w:tc>
          <w:tcPr>
            <w:tcW w:w="1368" w:type="dxa"/>
            <w:vMerge w:val="restart"/>
            <w:noWrap w:val="0"/>
            <w:vAlign w:val="center"/>
          </w:tcPr>
          <w:p w14:paraId="3713A6C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地理位置</w:t>
            </w:r>
          </w:p>
        </w:tc>
        <w:tc>
          <w:tcPr>
            <w:tcW w:w="1020" w:type="dxa"/>
            <w:vMerge w:val="restart"/>
            <w:noWrap w:val="0"/>
            <w:vAlign w:val="center"/>
          </w:tcPr>
          <w:p w14:paraId="47BC9B7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环境风</w:t>
            </w:r>
          </w:p>
          <w:p w14:paraId="2CDC1A1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险等级</w:t>
            </w:r>
          </w:p>
        </w:tc>
        <w:tc>
          <w:tcPr>
            <w:tcW w:w="2855" w:type="dxa"/>
            <w:vMerge w:val="restart"/>
            <w:noWrap w:val="0"/>
            <w:vAlign w:val="center"/>
          </w:tcPr>
          <w:p w14:paraId="53E20DF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可能造成的</w:t>
            </w:r>
          </w:p>
          <w:p w14:paraId="0DAF227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突发环境事件类别</w:t>
            </w:r>
          </w:p>
        </w:tc>
      </w:tr>
      <w:tr w14:paraId="1F798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670" w:type="dxa"/>
            <w:vMerge w:val="continue"/>
            <w:noWrap w:val="0"/>
            <w:vAlign w:val="center"/>
          </w:tcPr>
          <w:p w14:paraId="068F0C65">
            <w:pPr>
              <w:widowControl w:val="0"/>
              <w:overflowPunct w:val="0"/>
              <w:jc w:val="center"/>
              <w:rPr>
                <w:rFonts w:ascii="Times New Roman" w:hAnsi="Times New Roman" w:eastAsia="宋体" w:cs="Times New Roman"/>
                <w:bCs/>
                <w:color w:val="auto"/>
                <w:szCs w:val="24"/>
                <w:lang w:eastAsia="zh-CN"/>
              </w:rPr>
            </w:pPr>
          </w:p>
        </w:tc>
        <w:tc>
          <w:tcPr>
            <w:tcW w:w="3144" w:type="dxa"/>
            <w:vMerge w:val="continue"/>
            <w:noWrap w:val="0"/>
            <w:vAlign w:val="center"/>
          </w:tcPr>
          <w:p w14:paraId="3D0C3EFD">
            <w:pPr>
              <w:widowControl w:val="0"/>
              <w:overflowPunct w:val="0"/>
              <w:jc w:val="center"/>
              <w:rPr>
                <w:rFonts w:ascii="Times New Roman" w:hAnsi="Times New Roman" w:eastAsia="宋体" w:cs="Times New Roman"/>
                <w:bCs/>
                <w:color w:val="auto"/>
                <w:szCs w:val="24"/>
                <w:lang w:eastAsia="zh-CN"/>
              </w:rPr>
            </w:pPr>
          </w:p>
        </w:tc>
        <w:tc>
          <w:tcPr>
            <w:tcW w:w="1368" w:type="dxa"/>
            <w:vMerge w:val="continue"/>
            <w:noWrap w:val="0"/>
            <w:vAlign w:val="center"/>
          </w:tcPr>
          <w:p w14:paraId="2655EB49">
            <w:pPr>
              <w:widowControl w:val="0"/>
              <w:overflowPunct w:val="0"/>
              <w:jc w:val="center"/>
              <w:rPr>
                <w:rFonts w:ascii="Times New Roman" w:hAnsi="Times New Roman" w:eastAsia="宋体" w:cs="Times New Roman"/>
                <w:bCs/>
                <w:color w:val="auto"/>
                <w:szCs w:val="24"/>
                <w:lang w:eastAsia="zh-CN"/>
              </w:rPr>
            </w:pPr>
          </w:p>
        </w:tc>
        <w:tc>
          <w:tcPr>
            <w:tcW w:w="1020" w:type="dxa"/>
            <w:vMerge w:val="continue"/>
            <w:noWrap w:val="0"/>
            <w:vAlign w:val="center"/>
          </w:tcPr>
          <w:p w14:paraId="0339A818">
            <w:pPr>
              <w:widowControl w:val="0"/>
              <w:overflowPunct w:val="0"/>
              <w:jc w:val="center"/>
              <w:rPr>
                <w:rFonts w:ascii="Times New Roman" w:hAnsi="Times New Roman" w:eastAsia="宋体" w:cs="Times New Roman"/>
                <w:bCs/>
                <w:color w:val="auto"/>
                <w:szCs w:val="24"/>
                <w:lang w:eastAsia="zh-CN"/>
              </w:rPr>
            </w:pPr>
          </w:p>
        </w:tc>
        <w:tc>
          <w:tcPr>
            <w:tcW w:w="2855" w:type="dxa"/>
            <w:vMerge w:val="continue"/>
            <w:noWrap w:val="0"/>
            <w:vAlign w:val="center"/>
          </w:tcPr>
          <w:p w14:paraId="55168467">
            <w:pPr>
              <w:widowControl w:val="0"/>
              <w:overflowPunct w:val="0"/>
              <w:jc w:val="center"/>
              <w:rPr>
                <w:rFonts w:ascii="Times New Roman" w:hAnsi="Times New Roman" w:eastAsia="宋体" w:cs="Times New Roman"/>
                <w:bCs/>
                <w:color w:val="auto"/>
                <w:szCs w:val="24"/>
                <w:lang w:eastAsia="zh-CN"/>
              </w:rPr>
            </w:pPr>
          </w:p>
        </w:tc>
      </w:tr>
      <w:tr w14:paraId="296FE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0FCA406F">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w:t>
            </w:r>
          </w:p>
        </w:tc>
        <w:tc>
          <w:tcPr>
            <w:tcW w:w="3144" w:type="dxa"/>
            <w:noWrap w:val="0"/>
            <w:vAlign w:val="center"/>
          </w:tcPr>
          <w:p w14:paraId="405021D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炎陵县鑫光化工厂</w:t>
            </w:r>
          </w:p>
        </w:tc>
        <w:tc>
          <w:tcPr>
            <w:tcW w:w="1368" w:type="dxa"/>
            <w:noWrap w:val="0"/>
            <w:vAlign w:val="center"/>
          </w:tcPr>
          <w:p w14:paraId="48DCADD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策源乡</w:t>
            </w:r>
          </w:p>
        </w:tc>
        <w:tc>
          <w:tcPr>
            <w:tcW w:w="1020" w:type="dxa"/>
            <w:noWrap w:val="0"/>
            <w:vAlign w:val="center"/>
          </w:tcPr>
          <w:p w14:paraId="240222A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15CE42F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47461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3532284B">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w:t>
            </w:r>
          </w:p>
        </w:tc>
        <w:tc>
          <w:tcPr>
            <w:tcW w:w="3144" w:type="dxa"/>
            <w:noWrap w:val="0"/>
            <w:vAlign w:val="center"/>
          </w:tcPr>
          <w:p w14:paraId="6DFD762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炎陵县三鑫化工厂</w:t>
            </w:r>
          </w:p>
        </w:tc>
        <w:tc>
          <w:tcPr>
            <w:tcW w:w="1368" w:type="dxa"/>
            <w:noWrap w:val="0"/>
            <w:vAlign w:val="center"/>
          </w:tcPr>
          <w:p w14:paraId="6BB4DB5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船形乡</w:t>
            </w:r>
          </w:p>
        </w:tc>
        <w:tc>
          <w:tcPr>
            <w:tcW w:w="1020" w:type="dxa"/>
            <w:noWrap w:val="0"/>
            <w:vAlign w:val="center"/>
          </w:tcPr>
          <w:p w14:paraId="7409B26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37DEA72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1375B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3474E7A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3</w:t>
            </w:r>
          </w:p>
        </w:tc>
        <w:tc>
          <w:tcPr>
            <w:tcW w:w="3144" w:type="dxa"/>
            <w:noWrap w:val="0"/>
            <w:vAlign w:val="center"/>
          </w:tcPr>
          <w:p w14:paraId="394BABF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炎陵鸿鑫竹木制品有限公司</w:t>
            </w:r>
          </w:p>
        </w:tc>
        <w:tc>
          <w:tcPr>
            <w:tcW w:w="1368" w:type="dxa"/>
            <w:noWrap w:val="0"/>
            <w:vAlign w:val="center"/>
          </w:tcPr>
          <w:p w14:paraId="187F74F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船形乡</w:t>
            </w:r>
          </w:p>
        </w:tc>
        <w:tc>
          <w:tcPr>
            <w:tcW w:w="1020" w:type="dxa"/>
            <w:noWrap w:val="0"/>
            <w:vAlign w:val="center"/>
          </w:tcPr>
          <w:p w14:paraId="16C7499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10A2270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554F0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395F869">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4</w:t>
            </w:r>
          </w:p>
        </w:tc>
        <w:tc>
          <w:tcPr>
            <w:tcW w:w="3144" w:type="dxa"/>
            <w:noWrap w:val="0"/>
            <w:vAlign w:val="center"/>
          </w:tcPr>
          <w:p w14:paraId="6BD24B6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炎陵县船形化工厂</w:t>
            </w:r>
          </w:p>
        </w:tc>
        <w:tc>
          <w:tcPr>
            <w:tcW w:w="1368" w:type="dxa"/>
            <w:noWrap w:val="0"/>
            <w:vAlign w:val="center"/>
          </w:tcPr>
          <w:p w14:paraId="60E0A90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船形乡</w:t>
            </w:r>
          </w:p>
        </w:tc>
        <w:tc>
          <w:tcPr>
            <w:tcW w:w="1020" w:type="dxa"/>
            <w:noWrap w:val="0"/>
            <w:vAlign w:val="center"/>
          </w:tcPr>
          <w:p w14:paraId="3519861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3D093F2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7489A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7A82081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5</w:t>
            </w:r>
          </w:p>
        </w:tc>
        <w:tc>
          <w:tcPr>
            <w:tcW w:w="3144" w:type="dxa"/>
            <w:noWrap w:val="0"/>
            <w:vAlign w:val="center"/>
          </w:tcPr>
          <w:p w14:paraId="70835CA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炎陵县青林活性炭</w:t>
            </w:r>
          </w:p>
        </w:tc>
        <w:tc>
          <w:tcPr>
            <w:tcW w:w="1368" w:type="dxa"/>
            <w:noWrap w:val="0"/>
            <w:vAlign w:val="center"/>
          </w:tcPr>
          <w:p w14:paraId="7D6E0CF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垄溪乡</w:t>
            </w:r>
          </w:p>
        </w:tc>
        <w:tc>
          <w:tcPr>
            <w:tcW w:w="1020" w:type="dxa"/>
            <w:noWrap w:val="0"/>
            <w:vAlign w:val="center"/>
          </w:tcPr>
          <w:p w14:paraId="67C2997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4ECFC0F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1FE65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02BBD55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6</w:t>
            </w:r>
          </w:p>
        </w:tc>
        <w:tc>
          <w:tcPr>
            <w:tcW w:w="3144" w:type="dxa"/>
            <w:noWrap w:val="0"/>
            <w:vAlign w:val="center"/>
          </w:tcPr>
          <w:p w14:paraId="1C0AD28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湖南焱林老炭翁竹业发展有限公司</w:t>
            </w:r>
          </w:p>
        </w:tc>
        <w:tc>
          <w:tcPr>
            <w:tcW w:w="1368" w:type="dxa"/>
            <w:noWrap w:val="0"/>
            <w:vAlign w:val="center"/>
          </w:tcPr>
          <w:p w14:paraId="2DD64AB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垄溪乡</w:t>
            </w:r>
          </w:p>
        </w:tc>
        <w:tc>
          <w:tcPr>
            <w:tcW w:w="1020" w:type="dxa"/>
            <w:noWrap w:val="0"/>
            <w:vAlign w:val="center"/>
          </w:tcPr>
          <w:p w14:paraId="343759D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67C9E8C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674EA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7E6F82D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7</w:t>
            </w:r>
          </w:p>
        </w:tc>
        <w:tc>
          <w:tcPr>
            <w:tcW w:w="3144" w:type="dxa"/>
            <w:noWrap w:val="0"/>
            <w:vAlign w:val="center"/>
          </w:tcPr>
          <w:p w14:paraId="4FDDCBF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炎陵县鹿原化工厂</w:t>
            </w:r>
          </w:p>
        </w:tc>
        <w:tc>
          <w:tcPr>
            <w:tcW w:w="1368" w:type="dxa"/>
            <w:noWrap w:val="0"/>
            <w:vAlign w:val="center"/>
          </w:tcPr>
          <w:p w14:paraId="5914CE8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鹿原镇</w:t>
            </w:r>
          </w:p>
        </w:tc>
        <w:tc>
          <w:tcPr>
            <w:tcW w:w="1020" w:type="dxa"/>
            <w:noWrap w:val="0"/>
            <w:vAlign w:val="center"/>
          </w:tcPr>
          <w:p w14:paraId="091B5FC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5AEBC39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7CD11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A4FA0E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8</w:t>
            </w:r>
          </w:p>
        </w:tc>
        <w:tc>
          <w:tcPr>
            <w:tcW w:w="3144" w:type="dxa"/>
            <w:noWrap w:val="0"/>
            <w:vAlign w:val="center"/>
          </w:tcPr>
          <w:p w14:paraId="489375C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湖南华盛化工有限公司</w:t>
            </w:r>
          </w:p>
        </w:tc>
        <w:tc>
          <w:tcPr>
            <w:tcW w:w="1368" w:type="dxa"/>
            <w:noWrap w:val="0"/>
            <w:vAlign w:val="center"/>
          </w:tcPr>
          <w:p w14:paraId="4CE49A9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沔渡镇</w:t>
            </w:r>
          </w:p>
        </w:tc>
        <w:tc>
          <w:tcPr>
            <w:tcW w:w="1020" w:type="dxa"/>
            <w:noWrap w:val="0"/>
            <w:vAlign w:val="center"/>
          </w:tcPr>
          <w:p w14:paraId="4BE8381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2AE2958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34194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5ABA35A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9</w:t>
            </w:r>
          </w:p>
        </w:tc>
        <w:tc>
          <w:tcPr>
            <w:tcW w:w="3144" w:type="dxa"/>
            <w:noWrap w:val="0"/>
            <w:vAlign w:val="center"/>
          </w:tcPr>
          <w:p w14:paraId="46B3F1F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炎陵县沔渡镇新鑫炭制品有限公司</w:t>
            </w:r>
          </w:p>
        </w:tc>
        <w:tc>
          <w:tcPr>
            <w:tcW w:w="1368" w:type="dxa"/>
            <w:noWrap w:val="0"/>
            <w:vAlign w:val="center"/>
          </w:tcPr>
          <w:p w14:paraId="08518EC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沔渡镇</w:t>
            </w:r>
          </w:p>
        </w:tc>
        <w:tc>
          <w:tcPr>
            <w:tcW w:w="1020" w:type="dxa"/>
            <w:noWrap w:val="0"/>
            <w:vAlign w:val="center"/>
          </w:tcPr>
          <w:p w14:paraId="23C0666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12D962E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15C43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30CB51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10</w:t>
            </w:r>
          </w:p>
        </w:tc>
        <w:tc>
          <w:tcPr>
            <w:tcW w:w="3144" w:type="dxa"/>
            <w:noWrap w:val="0"/>
            <w:vAlign w:val="center"/>
          </w:tcPr>
          <w:p w14:paraId="17F9722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邵洪新能源科技有限责任公司</w:t>
            </w:r>
          </w:p>
        </w:tc>
        <w:tc>
          <w:tcPr>
            <w:tcW w:w="1368" w:type="dxa"/>
            <w:noWrap w:val="0"/>
            <w:vAlign w:val="center"/>
          </w:tcPr>
          <w:p w14:paraId="03CA56D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沔渡镇</w:t>
            </w:r>
          </w:p>
        </w:tc>
        <w:tc>
          <w:tcPr>
            <w:tcW w:w="1020" w:type="dxa"/>
            <w:noWrap w:val="0"/>
            <w:vAlign w:val="center"/>
          </w:tcPr>
          <w:p w14:paraId="7DAADD7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AAF86B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33A34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0E92C7C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11</w:t>
            </w:r>
          </w:p>
        </w:tc>
        <w:tc>
          <w:tcPr>
            <w:tcW w:w="3144" w:type="dxa"/>
            <w:noWrap w:val="0"/>
            <w:vAlign w:val="center"/>
          </w:tcPr>
          <w:p w14:paraId="08999D9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炎陵县鑫冠竹业有限公司</w:t>
            </w:r>
          </w:p>
        </w:tc>
        <w:tc>
          <w:tcPr>
            <w:tcW w:w="1368" w:type="dxa"/>
            <w:noWrap w:val="0"/>
            <w:vAlign w:val="center"/>
          </w:tcPr>
          <w:p w14:paraId="424E891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沔渡镇</w:t>
            </w:r>
          </w:p>
        </w:tc>
        <w:tc>
          <w:tcPr>
            <w:tcW w:w="1020" w:type="dxa"/>
            <w:noWrap w:val="0"/>
            <w:vAlign w:val="center"/>
          </w:tcPr>
          <w:p w14:paraId="37FB447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460D06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181D1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039C2EF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12</w:t>
            </w:r>
          </w:p>
        </w:tc>
        <w:tc>
          <w:tcPr>
            <w:tcW w:w="3144" w:type="dxa"/>
            <w:noWrap w:val="0"/>
            <w:vAlign w:val="center"/>
          </w:tcPr>
          <w:p w14:paraId="79ABE2D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湘炎再生能源生物燃料厂</w:t>
            </w:r>
          </w:p>
        </w:tc>
        <w:tc>
          <w:tcPr>
            <w:tcW w:w="1368" w:type="dxa"/>
            <w:noWrap w:val="0"/>
            <w:vAlign w:val="center"/>
          </w:tcPr>
          <w:p w14:paraId="773ADD1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沔渡镇</w:t>
            </w:r>
          </w:p>
        </w:tc>
        <w:tc>
          <w:tcPr>
            <w:tcW w:w="1020" w:type="dxa"/>
            <w:noWrap w:val="0"/>
            <w:vAlign w:val="center"/>
          </w:tcPr>
          <w:p w14:paraId="2D716E4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7F6B2C3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46AB0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51B1B30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13</w:t>
            </w:r>
          </w:p>
        </w:tc>
        <w:tc>
          <w:tcPr>
            <w:tcW w:w="3144" w:type="dxa"/>
            <w:noWrap w:val="0"/>
            <w:vAlign w:val="center"/>
          </w:tcPr>
          <w:p w14:paraId="26A6E85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鸿都环保机制碳厂</w:t>
            </w:r>
          </w:p>
        </w:tc>
        <w:tc>
          <w:tcPr>
            <w:tcW w:w="1368" w:type="dxa"/>
            <w:noWrap w:val="0"/>
            <w:vAlign w:val="center"/>
          </w:tcPr>
          <w:p w14:paraId="7267E61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十都镇</w:t>
            </w:r>
          </w:p>
        </w:tc>
        <w:tc>
          <w:tcPr>
            <w:tcW w:w="1020" w:type="dxa"/>
            <w:noWrap w:val="0"/>
            <w:vAlign w:val="center"/>
          </w:tcPr>
          <w:p w14:paraId="3A9C88F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7CECAE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5C399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6EB5135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14</w:t>
            </w:r>
          </w:p>
        </w:tc>
        <w:tc>
          <w:tcPr>
            <w:tcW w:w="3144" w:type="dxa"/>
            <w:noWrap w:val="0"/>
            <w:vAlign w:val="center"/>
          </w:tcPr>
          <w:p w14:paraId="64961CD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炎陵县天源化工厂</w:t>
            </w:r>
          </w:p>
        </w:tc>
        <w:tc>
          <w:tcPr>
            <w:tcW w:w="1368" w:type="dxa"/>
            <w:noWrap w:val="0"/>
            <w:vAlign w:val="center"/>
          </w:tcPr>
          <w:p w14:paraId="1F504A7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水口镇</w:t>
            </w:r>
          </w:p>
        </w:tc>
        <w:tc>
          <w:tcPr>
            <w:tcW w:w="1020" w:type="dxa"/>
            <w:noWrap w:val="0"/>
            <w:vAlign w:val="center"/>
          </w:tcPr>
          <w:p w14:paraId="1C4201B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7B2F8FA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7CE5D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5B3A9D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15</w:t>
            </w:r>
          </w:p>
        </w:tc>
        <w:tc>
          <w:tcPr>
            <w:tcW w:w="3144" w:type="dxa"/>
            <w:noWrap w:val="0"/>
            <w:vAlign w:val="center"/>
          </w:tcPr>
          <w:p w14:paraId="555D138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益林再生生物能源科技开发有限公司</w:t>
            </w:r>
          </w:p>
        </w:tc>
        <w:tc>
          <w:tcPr>
            <w:tcW w:w="1368" w:type="dxa"/>
            <w:noWrap w:val="0"/>
            <w:vAlign w:val="center"/>
          </w:tcPr>
          <w:p w14:paraId="5117E7F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水口镇</w:t>
            </w:r>
          </w:p>
        </w:tc>
        <w:tc>
          <w:tcPr>
            <w:tcW w:w="1020" w:type="dxa"/>
            <w:noWrap w:val="0"/>
            <w:vAlign w:val="center"/>
          </w:tcPr>
          <w:p w14:paraId="56BCE5C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FF0540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水、土壤污染事件</w:t>
            </w:r>
          </w:p>
        </w:tc>
      </w:tr>
      <w:tr w14:paraId="0B990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91B398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16</w:t>
            </w:r>
          </w:p>
        </w:tc>
        <w:tc>
          <w:tcPr>
            <w:tcW w:w="3144" w:type="dxa"/>
            <w:noWrap w:val="0"/>
            <w:vAlign w:val="center"/>
          </w:tcPr>
          <w:p w14:paraId="5CE890D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炎陵县圣旺环保机制炭厂</w:t>
            </w:r>
          </w:p>
        </w:tc>
        <w:tc>
          <w:tcPr>
            <w:tcW w:w="1368" w:type="dxa"/>
            <w:noWrap w:val="0"/>
            <w:vAlign w:val="center"/>
          </w:tcPr>
          <w:p w14:paraId="34BB84B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水口镇</w:t>
            </w:r>
          </w:p>
        </w:tc>
        <w:tc>
          <w:tcPr>
            <w:tcW w:w="1020" w:type="dxa"/>
            <w:noWrap w:val="0"/>
            <w:vAlign w:val="center"/>
          </w:tcPr>
          <w:p w14:paraId="2ED2FB7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5C45288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水污染事件</w:t>
            </w:r>
          </w:p>
        </w:tc>
      </w:tr>
      <w:tr w14:paraId="3919F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70CD1B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17</w:t>
            </w:r>
          </w:p>
        </w:tc>
        <w:tc>
          <w:tcPr>
            <w:tcW w:w="3144" w:type="dxa"/>
            <w:noWrap w:val="0"/>
            <w:vAlign w:val="center"/>
          </w:tcPr>
          <w:p w14:paraId="21219E6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炎陵日东钨钼制品有限责任公司</w:t>
            </w:r>
          </w:p>
        </w:tc>
        <w:tc>
          <w:tcPr>
            <w:tcW w:w="1368" w:type="dxa"/>
            <w:noWrap w:val="0"/>
            <w:vAlign w:val="center"/>
          </w:tcPr>
          <w:p w14:paraId="514EBBC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霞阳镇</w:t>
            </w:r>
          </w:p>
        </w:tc>
        <w:tc>
          <w:tcPr>
            <w:tcW w:w="1020" w:type="dxa"/>
            <w:noWrap w:val="0"/>
            <w:vAlign w:val="center"/>
          </w:tcPr>
          <w:p w14:paraId="636D31F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6323DA5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7478B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4F87FBE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18</w:t>
            </w:r>
          </w:p>
        </w:tc>
        <w:tc>
          <w:tcPr>
            <w:tcW w:w="3144" w:type="dxa"/>
            <w:noWrap w:val="0"/>
            <w:vAlign w:val="center"/>
          </w:tcPr>
          <w:p w14:paraId="6C83CBA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湖南现代环境科技股份有限公司炎陵分公司</w:t>
            </w:r>
          </w:p>
        </w:tc>
        <w:tc>
          <w:tcPr>
            <w:tcW w:w="1368" w:type="dxa"/>
            <w:noWrap w:val="0"/>
            <w:vAlign w:val="center"/>
          </w:tcPr>
          <w:p w14:paraId="171CCF2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霞阳镇</w:t>
            </w:r>
          </w:p>
        </w:tc>
        <w:tc>
          <w:tcPr>
            <w:tcW w:w="1020" w:type="dxa"/>
            <w:noWrap w:val="0"/>
            <w:vAlign w:val="center"/>
          </w:tcPr>
          <w:p w14:paraId="22589E7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15377DE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水、土壤污染事件</w:t>
            </w:r>
          </w:p>
        </w:tc>
      </w:tr>
      <w:tr w14:paraId="22559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70E5A85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19</w:t>
            </w:r>
          </w:p>
        </w:tc>
        <w:tc>
          <w:tcPr>
            <w:tcW w:w="3144" w:type="dxa"/>
            <w:noWrap w:val="0"/>
            <w:vAlign w:val="center"/>
          </w:tcPr>
          <w:p w14:paraId="598952B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炎陵新奥天然气门站</w:t>
            </w:r>
          </w:p>
        </w:tc>
        <w:tc>
          <w:tcPr>
            <w:tcW w:w="1368" w:type="dxa"/>
            <w:noWrap w:val="0"/>
            <w:vAlign w:val="center"/>
          </w:tcPr>
          <w:p w14:paraId="2A1C21A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霞阳镇</w:t>
            </w:r>
          </w:p>
        </w:tc>
        <w:tc>
          <w:tcPr>
            <w:tcW w:w="1020" w:type="dxa"/>
            <w:noWrap w:val="0"/>
            <w:vAlign w:val="center"/>
          </w:tcPr>
          <w:p w14:paraId="2D14E49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2A3C55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大气、水污染事件</w:t>
            </w:r>
          </w:p>
        </w:tc>
      </w:tr>
      <w:tr w14:paraId="3DA4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52E0DC9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20</w:t>
            </w:r>
          </w:p>
        </w:tc>
        <w:tc>
          <w:tcPr>
            <w:tcW w:w="3144" w:type="dxa"/>
            <w:noWrap w:val="0"/>
            <w:vAlign w:val="center"/>
          </w:tcPr>
          <w:p w14:paraId="2828281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湖南顺华锂业有限公司</w:t>
            </w:r>
          </w:p>
        </w:tc>
        <w:tc>
          <w:tcPr>
            <w:tcW w:w="1368" w:type="dxa"/>
            <w:noWrap w:val="0"/>
            <w:vAlign w:val="center"/>
          </w:tcPr>
          <w:p w14:paraId="747427D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63A6CFD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4374AE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4C33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5681805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21</w:t>
            </w:r>
          </w:p>
        </w:tc>
        <w:tc>
          <w:tcPr>
            <w:tcW w:w="3144" w:type="dxa"/>
            <w:noWrap w:val="0"/>
            <w:vAlign w:val="center"/>
          </w:tcPr>
          <w:p w14:paraId="17EF3EF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株洲春华新材料科技有限责任公司</w:t>
            </w:r>
          </w:p>
        </w:tc>
        <w:tc>
          <w:tcPr>
            <w:tcW w:w="1368" w:type="dxa"/>
            <w:noWrap w:val="0"/>
            <w:vAlign w:val="center"/>
          </w:tcPr>
          <w:p w14:paraId="0FDFB84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61156EA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较大</w:t>
            </w:r>
          </w:p>
        </w:tc>
        <w:tc>
          <w:tcPr>
            <w:tcW w:w="2855" w:type="dxa"/>
            <w:noWrap w:val="0"/>
            <w:vAlign w:val="center"/>
          </w:tcPr>
          <w:p w14:paraId="3632B8E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5D627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263FCA0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22</w:t>
            </w:r>
          </w:p>
        </w:tc>
        <w:tc>
          <w:tcPr>
            <w:tcW w:w="3144" w:type="dxa"/>
            <w:noWrap w:val="0"/>
            <w:vAlign w:val="center"/>
          </w:tcPr>
          <w:p w14:paraId="35D5F84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株洲鑫盛源环保科技有限公司</w:t>
            </w:r>
          </w:p>
        </w:tc>
        <w:tc>
          <w:tcPr>
            <w:tcW w:w="1368" w:type="dxa"/>
            <w:noWrap w:val="0"/>
            <w:vAlign w:val="center"/>
          </w:tcPr>
          <w:p w14:paraId="09C642E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0676F3D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6CBAF1F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6485C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5B0BDAF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23</w:t>
            </w:r>
          </w:p>
        </w:tc>
        <w:tc>
          <w:tcPr>
            <w:tcW w:w="3144" w:type="dxa"/>
            <w:noWrap w:val="0"/>
            <w:vAlign w:val="center"/>
          </w:tcPr>
          <w:p w14:paraId="17B2AF7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株洲高力新材料有限公司</w:t>
            </w:r>
          </w:p>
        </w:tc>
        <w:tc>
          <w:tcPr>
            <w:tcW w:w="1368" w:type="dxa"/>
            <w:noWrap w:val="0"/>
            <w:vAlign w:val="center"/>
          </w:tcPr>
          <w:p w14:paraId="36E37B0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7B21EBC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24FF84D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03E90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7380506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24</w:t>
            </w:r>
          </w:p>
        </w:tc>
        <w:tc>
          <w:tcPr>
            <w:tcW w:w="3144" w:type="dxa"/>
            <w:noWrap w:val="0"/>
            <w:vAlign w:val="center"/>
          </w:tcPr>
          <w:p w14:paraId="6F46E67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株洲容昌新材料有限公司</w:t>
            </w:r>
          </w:p>
        </w:tc>
        <w:tc>
          <w:tcPr>
            <w:tcW w:w="1368" w:type="dxa"/>
            <w:noWrap w:val="0"/>
            <w:vAlign w:val="center"/>
          </w:tcPr>
          <w:p w14:paraId="2B3FE62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03B62F84">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1BB4F71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5491A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EA549D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25</w:t>
            </w:r>
          </w:p>
        </w:tc>
        <w:tc>
          <w:tcPr>
            <w:tcW w:w="3144" w:type="dxa"/>
            <w:noWrap w:val="0"/>
            <w:vAlign w:val="center"/>
          </w:tcPr>
          <w:p w14:paraId="3E8C9E9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株洲星驰新材料有限公司</w:t>
            </w:r>
          </w:p>
        </w:tc>
        <w:tc>
          <w:tcPr>
            <w:tcW w:w="1368" w:type="dxa"/>
            <w:noWrap w:val="0"/>
            <w:vAlign w:val="center"/>
          </w:tcPr>
          <w:p w14:paraId="6AD5194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7C9B2D9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DF6954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09716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2CE6C82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26</w:t>
            </w:r>
          </w:p>
        </w:tc>
        <w:tc>
          <w:tcPr>
            <w:tcW w:w="3144" w:type="dxa"/>
            <w:noWrap w:val="0"/>
            <w:vAlign w:val="center"/>
          </w:tcPr>
          <w:p w14:paraId="57AD079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株洲潭龙益友新材料有限公司</w:t>
            </w:r>
          </w:p>
        </w:tc>
        <w:tc>
          <w:tcPr>
            <w:tcW w:w="1368" w:type="dxa"/>
            <w:noWrap w:val="0"/>
            <w:vAlign w:val="center"/>
          </w:tcPr>
          <w:p w14:paraId="20B5DFB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319B01C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4647768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05B69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4735FE07">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27</w:t>
            </w:r>
          </w:p>
        </w:tc>
        <w:tc>
          <w:tcPr>
            <w:tcW w:w="3144" w:type="dxa"/>
            <w:noWrap w:val="0"/>
            <w:vAlign w:val="center"/>
          </w:tcPr>
          <w:p w14:paraId="000B28C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株洲长宇炭素有限公司</w:t>
            </w:r>
          </w:p>
        </w:tc>
        <w:tc>
          <w:tcPr>
            <w:tcW w:w="1368" w:type="dxa"/>
            <w:noWrap w:val="0"/>
            <w:vAlign w:val="center"/>
          </w:tcPr>
          <w:p w14:paraId="3881702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1F591BBF">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5705120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7DA52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55D9EDA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28</w:t>
            </w:r>
          </w:p>
        </w:tc>
        <w:tc>
          <w:tcPr>
            <w:tcW w:w="3144" w:type="dxa"/>
            <w:noWrap w:val="0"/>
            <w:vAlign w:val="center"/>
          </w:tcPr>
          <w:p w14:paraId="21203D1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湖南金石新材料有限公司</w:t>
            </w:r>
          </w:p>
        </w:tc>
        <w:tc>
          <w:tcPr>
            <w:tcW w:w="1368" w:type="dxa"/>
            <w:noWrap w:val="0"/>
            <w:vAlign w:val="center"/>
          </w:tcPr>
          <w:p w14:paraId="327B30B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52D43EB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494CCD7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1DB9B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3A75E58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29</w:t>
            </w:r>
          </w:p>
        </w:tc>
        <w:tc>
          <w:tcPr>
            <w:tcW w:w="3144" w:type="dxa"/>
            <w:noWrap w:val="0"/>
            <w:vAlign w:val="center"/>
          </w:tcPr>
          <w:p w14:paraId="3B33528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炎陵华宇稀有金属制造有限公司</w:t>
            </w:r>
          </w:p>
        </w:tc>
        <w:tc>
          <w:tcPr>
            <w:tcW w:w="1368" w:type="dxa"/>
            <w:noWrap w:val="0"/>
            <w:vAlign w:val="center"/>
          </w:tcPr>
          <w:p w14:paraId="7D3F2E2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044E047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70995BC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60D47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0FF08C6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30</w:t>
            </w:r>
          </w:p>
        </w:tc>
        <w:tc>
          <w:tcPr>
            <w:tcW w:w="3144" w:type="dxa"/>
            <w:noWrap w:val="0"/>
            <w:vAlign w:val="center"/>
          </w:tcPr>
          <w:p w14:paraId="58655F29">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炎陵龙翔钽铌新材料有限责任公司</w:t>
            </w:r>
          </w:p>
        </w:tc>
        <w:tc>
          <w:tcPr>
            <w:tcW w:w="1368" w:type="dxa"/>
            <w:noWrap w:val="0"/>
            <w:vAlign w:val="center"/>
          </w:tcPr>
          <w:p w14:paraId="397BE1A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32F54E0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765F473C">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039D5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21D5DCD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31</w:t>
            </w:r>
          </w:p>
        </w:tc>
        <w:tc>
          <w:tcPr>
            <w:tcW w:w="3144" w:type="dxa"/>
            <w:noWrap w:val="0"/>
            <w:vAlign w:val="center"/>
          </w:tcPr>
          <w:p w14:paraId="1FD1118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株洲和昌稀有金属有限公司</w:t>
            </w:r>
          </w:p>
        </w:tc>
        <w:tc>
          <w:tcPr>
            <w:tcW w:w="1368" w:type="dxa"/>
            <w:noWrap w:val="0"/>
            <w:vAlign w:val="center"/>
          </w:tcPr>
          <w:p w14:paraId="14FA9576">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385ABE8A">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144FFA5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3C7E7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1CB490B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32</w:t>
            </w:r>
          </w:p>
        </w:tc>
        <w:tc>
          <w:tcPr>
            <w:tcW w:w="3144" w:type="dxa"/>
            <w:noWrap w:val="0"/>
            <w:vAlign w:val="center"/>
          </w:tcPr>
          <w:p w14:paraId="2A6D653B">
            <w:pPr>
              <w:pStyle w:val="4"/>
              <w:jc w:val="center"/>
              <w:rPr>
                <w:rFonts w:hint="eastAsia"/>
                <w:lang w:eastAsia="zh-CN"/>
              </w:rPr>
            </w:pPr>
            <w:bookmarkStart w:id="187" w:name="_Toc4346"/>
            <w:r>
              <w:rPr>
                <w:rFonts w:hint="eastAsia" w:ascii="Times New Roman" w:hAnsi="Times New Roman" w:eastAsia="宋体" w:cs="Times New Roman"/>
                <w:b w:val="0"/>
                <w:bCs/>
                <w:snapToGrid w:val="0"/>
                <w:color w:val="auto"/>
                <w:sz w:val="21"/>
                <w:szCs w:val="24"/>
                <w:lang w:val="en-US" w:eastAsia="zh-CN" w:bidi="ar-SA"/>
              </w:rPr>
              <w:t>炎陵县今成钽铌有限公司</w:t>
            </w:r>
            <w:bookmarkEnd w:id="187"/>
          </w:p>
        </w:tc>
        <w:tc>
          <w:tcPr>
            <w:tcW w:w="1368" w:type="dxa"/>
            <w:noWrap w:val="0"/>
            <w:vAlign w:val="center"/>
          </w:tcPr>
          <w:p w14:paraId="5DD4324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3E49F1F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02087C88">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0BC1C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41120DC1">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33</w:t>
            </w:r>
          </w:p>
        </w:tc>
        <w:tc>
          <w:tcPr>
            <w:tcW w:w="3144" w:type="dxa"/>
            <w:noWrap w:val="0"/>
            <w:vAlign w:val="center"/>
          </w:tcPr>
          <w:p w14:paraId="48ABB59E">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株洲金瑞锌材有限责任公司</w:t>
            </w:r>
          </w:p>
        </w:tc>
        <w:tc>
          <w:tcPr>
            <w:tcW w:w="1368" w:type="dxa"/>
            <w:noWrap w:val="0"/>
            <w:vAlign w:val="center"/>
          </w:tcPr>
          <w:p w14:paraId="7A7731D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高新区</w:t>
            </w:r>
          </w:p>
        </w:tc>
        <w:tc>
          <w:tcPr>
            <w:tcW w:w="1020" w:type="dxa"/>
            <w:noWrap w:val="0"/>
            <w:vAlign w:val="center"/>
          </w:tcPr>
          <w:p w14:paraId="04CC9DED">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较大</w:t>
            </w:r>
          </w:p>
        </w:tc>
        <w:tc>
          <w:tcPr>
            <w:tcW w:w="2855" w:type="dxa"/>
            <w:noWrap w:val="0"/>
            <w:vAlign w:val="center"/>
          </w:tcPr>
          <w:p w14:paraId="07F78EE2">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r w14:paraId="62B03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70" w:type="dxa"/>
            <w:noWrap w:val="0"/>
            <w:vAlign w:val="center"/>
          </w:tcPr>
          <w:p w14:paraId="7E3D3CA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34</w:t>
            </w:r>
          </w:p>
        </w:tc>
        <w:tc>
          <w:tcPr>
            <w:tcW w:w="3144" w:type="dxa"/>
            <w:noWrap w:val="0"/>
            <w:vAlign w:val="center"/>
          </w:tcPr>
          <w:p w14:paraId="3571A85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炎陵县新开化工厂</w:t>
            </w:r>
          </w:p>
        </w:tc>
        <w:tc>
          <w:tcPr>
            <w:tcW w:w="1368" w:type="dxa"/>
            <w:noWrap w:val="0"/>
            <w:vAlign w:val="center"/>
          </w:tcPr>
          <w:p w14:paraId="30C7CE9B">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中村瑶族乡</w:t>
            </w:r>
          </w:p>
        </w:tc>
        <w:tc>
          <w:tcPr>
            <w:tcW w:w="1020" w:type="dxa"/>
            <w:noWrap w:val="0"/>
            <w:vAlign w:val="center"/>
          </w:tcPr>
          <w:p w14:paraId="207D6463">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一般</w:t>
            </w:r>
          </w:p>
        </w:tc>
        <w:tc>
          <w:tcPr>
            <w:tcW w:w="2855" w:type="dxa"/>
            <w:noWrap w:val="0"/>
            <w:vAlign w:val="center"/>
          </w:tcPr>
          <w:p w14:paraId="5F7215F0">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大气、水、土壤污染事件</w:t>
            </w:r>
          </w:p>
        </w:tc>
      </w:tr>
    </w:tbl>
    <w:p w14:paraId="5C7DBC9A">
      <w:pPr>
        <w:bidi w:val="0"/>
        <w:rPr>
          <w:lang w:eastAsia="zh-CN"/>
        </w:rPr>
      </w:pPr>
      <w:bookmarkStart w:id="188" w:name="_Toc13993"/>
      <w:bookmarkStart w:id="189" w:name="_Toc23310"/>
      <w:bookmarkStart w:id="190" w:name="_Toc24724"/>
    </w:p>
    <w:p w14:paraId="337C9C2C">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91" w:name="_Toc24358"/>
      <w:bookmarkStart w:id="192" w:name="_Toc29510"/>
      <w:r>
        <w:rPr>
          <w:rFonts w:ascii="Times New Roman" w:hAnsi="Times New Roman" w:eastAsia="宋体" w:cs="Times New Roman"/>
          <w:b/>
          <w:bCs/>
          <w:snapToGrid/>
          <w:color w:val="auto"/>
          <w:kern w:val="2"/>
          <w:sz w:val="24"/>
          <w:szCs w:val="32"/>
          <w:lang w:eastAsia="zh-CN"/>
        </w:rPr>
        <w:t>2.3.2 加油站及加气站</w:t>
      </w:r>
      <w:bookmarkEnd w:id="188"/>
      <w:bookmarkEnd w:id="189"/>
      <w:bookmarkEnd w:id="190"/>
      <w:bookmarkEnd w:id="191"/>
      <w:bookmarkEnd w:id="192"/>
    </w:p>
    <w:p w14:paraId="18349AD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评估区域内现有加油站风险源基本情况统计如2.3.2-1所示。</w:t>
      </w:r>
    </w:p>
    <w:p w14:paraId="7506AC94">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表2.3.2-1  炎陵县内现有主要加油站风险源一览表</w:t>
      </w:r>
    </w:p>
    <w:tbl>
      <w:tblPr>
        <w:tblStyle w:val="14"/>
        <w:tblW w:w="0" w:type="auto"/>
        <w:tblInd w:w="0" w:type="dxa"/>
        <w:tblLayout w:type="fixed"/>
        <w:tblCellMar>
          <w:top w:w="0" w:type="dxa"/>
          <w:left w:w="0" w:type="dxa"/>
          <w:bottom w:w="0" w:type="dxa"/>
          <w:right w:w="0" w:type="dxa"/>
        </w:tblCellMar>
      </w:tblPr>
      <w:tblGrid>
        <w:gridCol w:w="565"/>
        <w:gridCol w:w="1848"/>
        <w:gridCol w:w="1320"/>
        <w:gridCol w:w="1092"/>
        <w:gridCol w:w="912"/>
        <w:gridCol w:w="1836"/>
        <w:gridCol w:w="1300"/>
      </w:tblGrid>
      <w:tr w14:paraId="3A5A9AF3">
        <w:tblPrEx>
          <w:tblCellMar>
            <w:top w:w="0" w:type="dxa"/>
            <w:left w:w="0" w:type="dxa"/>
            <w:bottom w:w="0" w:type="dxa"/>
            <w:right w:w="0" w:type="dxa"/>
          </w:tblCellMar>
        </w:tblPrEx>
        <w:trPr>
          <w:trHeight w:val="312" w:hRule="atLeast"/>
        </w:trPr>
        <w:tc>
          <w:tcPr>
            <w:tcW w:w="56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46D6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184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B950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加油站名称</w:t>
            </w:r>
          </w:p>
        </w:tc>
        <w:tc>
          <w:tcPr>
            <w:tcW w:w="132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1E07E">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val="en-US" w:eastAsia="zh-CN"/>
              </w:rPr>
              <w:t>地理位置</w:t>
            </w:r>
          </w:p>
        </w:tc>
        <w:tc>
          <w:tcPr>
            <w:tcW w:w="109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6086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埋地油罐数量（个数）</w:t>
            </w:r>
          </w:p>
        </w:tc>
        <w:tc>
          <w:tcPr>
            <w:tcW w:w="9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B7AC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环境风险等级</w:t>
            </w:r>
          </w:p>
        </w:tc>
        <w:tc>
          <w:tcPr>
            <w:tcW w:w="1836"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5017857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可能造成的突发环境事件类别</w:t>
            </w:r>
          </w:p>
        </w:tc>
        <w:tc>
          <w:tcPr>
            <w:tcW w:w="1300"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39077B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近五年突发环境事件发生数量</w:t>
            </w:r>
          </w:p>
        </w:tc>
      </w:tr>
      <w:tr w14:paraId="363903FD">
        <w:tblPrEx>
          <w:tblCellMar>
            <w:top w:w="0" w:type="dxa"/>
            <w:left w:w="0" w:type="dxa"/>
            <w:bottom w:w="0" w:type="dxa"/>
            <w:right w:w="0" w:type="dxa"/>
          </w:tblCellMar>
        </w:tblPrEx>
        <w:trPr>
          <w:trHeight w:val="312" w:hRule="atLeast"/>
        </w:trPr>
        <w:tc>
          <w:tcPr>
            <w:tcW w:w="565"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11C3B119">
            <w:pPr>
              <w:widowControl w:val="0"/>
              <w:overflowPunct w:val="0"/>
              <w:jc w:val="center"/>
              <w:rPr>
                <w:rFonts w:ascii="Times New Roman" w:hAnsi="Times New Roman" w:eastAsia="宋体" w:cs="Times New Roman"/>
                <w:bCs/>
                <w:color w:val="auto"/>
                <w:szCs w:val="24"/>
                <w:lang w:eastAsia="zh-CN"/>
              </w:rPr>
            </w:pPr>
          </w:p>
        </w:tc>
        <w:tc>
          <w:tcPr>
            <w:tcW w:w="1848"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ACC0514">
            <w:pPr>
              <w:widowControl w:val="0"/>
              <w:overflowPunct w:val="0"/>
              <w:jc w:val="center"/>
              <w:rPr>
                <w:rFonts w:ascii="Times New Roman" w:hAnsi="Times New Roman" w:eastAsia="宋体" w:cs="Times New Roman"/>
                <w:bCs/>
                <w:color w:val="auto"/>
                <w:szCs w:val="24"/>
                <w:lang w:eastAsia="zh-CN"/>
              </w:rPr>
            </w:pPr>
          </w:p>
        </w:tc>
        <w:tc>
          <w:tcPr>
            <w:tcW w:w="1320"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4511425">
            <w:pPr>
              <w:widowControl w:val="0"/>
              <w:overflowPunct w:val="0"/>
              <w:jc w:val="center"/>
              <w:rPr>
                <w:rFonts w:ascii="Times New Roman" w:hAnsi="Times New Roman" w:eastAsia="宋体" w:cs="Times New Roman"/>
                <w:bCs/>
                <w:color w:val="auto"/>
                <w:szCs w:val="24"/>
                <w:lang w:eastAsia="zh-CN"/>
              </w:rPr>
            </w:pPr>
          </w:p>
        </w:tc>
        <w:tc>
          <w:tcPr>
            <w:tcW w:w="1092"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F92AFBB">
            <w:pPr>
              <w:widowControl w:val="0"/>
              <w:overflowPunct w:val="0"/>
              <w:jc w:val="center"/>
              <w:rPr>
                <w:rFonts w:ascii="Times New Roman" w:hAnsi="Times New Roman" w:eastAsia="宋体" w:cs="Times New Roman"/>
                <w:bCs/>
                <w:color w:val="auto"/>
                <w:szCs w:val="24"/>
                <w:lang w:eastAsia="zh-CN"/>
              </w:rPr>
            </w:pPr>
          </w:p>
        </w:tc>
        <w:tc>
          <w:tcPr>
            <w:tcW w:w="912"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D5DD891">
            <w:pPr>
              <w:widowControl w:val="0"/>
              <w:overflowPunct w:val="0"/>
              <w:jc w:val="center"/>
              <w:rPr>
                <w:rFonts w:ascii="Times New Roman" w:hAnsi="Times New Roman" w:eastAsia="宋体" w:cs="Times New Roman"/>
                <w:bCs/>
                <w:color w:val="auto"/>
                <w:szCs w:val="24"/>
                <w:lang w:eastAsia="zh-CN"/>
              </w:rPr>
            </w:pPr>
          </w:p>
        </w:tc>
        <w:tc>
          <w:tcPr>
            <w:tcW w:w="1836" w:type="dxa"/>
            <w:vMerge w:val="continue"/>
            <w:tcBorders>
              <w:top w:val="single" w:color="000000" w:sz="8" w:space="0"/>
              <w:left w:val="single" w:color="000000" w:sz="8" w:space="0"/>
              <w:bottom w:val="single" w:color="auto" w:sz="4" w:space="0"/>
              <w:right w:val="single" w:color="000000" w:sz="8" w:space="0"/>
            </w:tcBorders>
            <w:noWrap w:val="0"/>
            <w:tcMar>
              <w:top w:w="15" w:type="dxa"/>
              <w:left w:w="15" w:type="dxa"/>
              <w:right w:w="15" w:type="dxa"/>
            </w:tcMar>
            <w:vAlign w:val="center"/>
          </w:tcPr>
          <w:p w14:paraId="2506FF22">
            <w:pPr>
              <w:widowControl w:val="0"/>
              <w:overflowPunct w:val="0"/>
              <w:jc w:val="center"/>
              <w:rPr>
                <w:rFonts w:ascii="Times New Roman" w:hAnsi="Times New Roman" w:eastAsia="宋体" w:cs="Times New Roman"/>
                <w:bCs/>
                <w:color w:val="auto"/>
                <w:szCs w:val="24"/>
                <w:lang w:eastAsia="zh-CN"/>
              </w:rPr>
            </w:pPr>
          </w:p>
        </w:tc>
        <w:tc>
          <w:tcPr>
            <w:tcW w:w="1300" w:type="dxa"/>
            <w:vMerge w:val="continue"/>
            <w:tcBorders>
              <w:top w:val="single" w:color="000000" w:sz="8" w:space="0"/>
              <w:left w:val="nil"/>
              <w:bottom w:val="single" w:color="auto" w:sz="4" w:space="0"/>
              <w:right w:val="single" w:color="000000" w:sz="8" w:space="0"/>
            </w:tcBorders>
            <w:noWrap w:val="0"/>
            <w:tcMar>
              <w:top w:w="15" w:type="dxa"/>
              <w:left w:w="15" w:type="dxa"/>
              <w:right w:w="15" w:type="dxa"/>
            </w:tcMar>
            <w:vAlign w:val="center"/>
          </w:tcPr>
          <w:p w14:paraId="70985FC1">
            <w:pPr>
              <w:widowControl w:val="0"/>
              <w:overflowPunct w:val="0"/>
              <w:jc w:val="center"/>
              <w:rPr>
                <w:rFonts w:ascii="Times New Roman" w:hAnsi="Times New Roman" w:eastAsia="宋体" w:cs="Times New Roman"/>
                <w:bCs/>
                <w:color w:val="auto"/>
                <w:szCs w:val="24"/>
                <w:lang w:eastAsia="zh-CN"/>
              </w:rPr>
            </w:pPr>
          </w:p>
        </w:tc>
      </w:tr>
      <w:tr w14:paraId="03124683">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071158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09C164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坎坪加油站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964333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E57C4F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F50F0B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F22099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048C39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4AF30C82">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9928CE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C5D73A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双江口加油站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8FCBA5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B73915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2AD2A5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E398163">
            <w:pPr>
              <w:widowControl w:val="0"/>
              <w:overflowPunct w:val="0"/>
              <w:jc w:val="center"/>
              <w:rPr>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C990D4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0909BB1B">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DF193D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A5BA47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6510DA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F2115E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7524FB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F14D1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EAD512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19791F83">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097D3C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1F6D12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炎陵广场加油站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404614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44E1E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41889F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E3BE9B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0DC9F2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2C92BC39">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F7EC1E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A333E8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三河加油站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20DE74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2066EB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521A53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402294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BC7F43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7866D183">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3F2739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24BD8D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炎西加油站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A52F91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A1137D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E62850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931549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2D850D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7CB54D4B">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5FD7B8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EB79FB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炎睦高速炎陵一加油站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76EFF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864C0D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D633F6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8DD0A5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A47B0F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7025A166">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542C09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8</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1FD59C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炎睦高速炎陵二加油站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EFA982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FAC69A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9ED9D5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B90A05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A36C83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57A200D8">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7F7419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9</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5E0BBB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物流中心加油加气站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547A95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44FA25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F65ECB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97B25A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003DFF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548F2A5D">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690150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10</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822192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沔渡加油站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0F720A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沔渡镇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CA25C9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026FF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D72B4B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FFA47E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21E66BA4">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802836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AD7EA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炎帝陵加油站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EEF318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鹿原镇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ABCD32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9643F3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59AAF1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FEEAC2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0D1C58A7">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04B3A2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12</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523A2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十都加油站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3746D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十都镇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4693E8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AA8324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8E6A48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66926D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2FAAF7F7">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3AB46A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13</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6C7A0D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水口加油站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70A07B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水口镇</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8D342A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CBCD90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120960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92745B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1BBDDE98">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B67A72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14</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F87256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红星加油站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69B5DB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中村瑶族乡</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E1F47F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1D9B9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B26C1D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4C86DE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380C4455">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F00816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15</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012D16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炎陵服务区东站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720C25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中村瑶族乡</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256A86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0C915D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08D072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94C447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7685C0E0">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EF5A0C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16</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E00DF1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炎陵服务区西站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E9F307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中村瑶族乡</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41C10A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54082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B3EFA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70001B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r w14:paraId="2CFA94E7">
        <w:tblPrEx>
          <w:tblCellMar>
            <w:top w:w="0" w:type="dxa"/>
            <w:left w:w="0" w:type="dxa"/>
            <w:bottom w:w="0" w:type="dxa"/>
            <w:right w:w="0" w:type="dxa"/>
          </w:tblCellMar>
        </w:tblPrEx>
        <w:trPr>
          <w:trHeight w:val="90" w:hRule="atLeast"/>
        </w:trPr>
        <w:tc>
          <w:tcPr>
            <w:tcW w:w="5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D29FD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17</w:t>
            </w:r>
          </w:p>
        </w:tc>
        <w:tc>
          <w:tcPr>
            <w:tcW w:w="18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D35C81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下村加油站</w:t>
            </w:r>
          </w:p>
        </w:tc>
        <w:tc>
          <w:tcPr>
            <w:tcW w:w="132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2CC707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下村乡</w:t>
            </w:r>
          </w:p>
        </w:tc>
        <w:tc>
          <w:tcPr>
            <w:tcW w:w="10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90E626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501CB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一般</w:t>
            </w:r>
          </w:p>
        </w:tc>
        <w:tc>
          <w:tcPr>
            <w:tcW w:w="18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07BE86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大气、水</w:t>
            </w:r>
            <w:r>
              <w:rPr>
                <w:rFonts w:hint="eastAsia" w:ascii="Times New Roman" w:hAnsi="Times New Roman" w:eastAsia="宋体" w:cs="Times New Roman"/>
                <w:bCs/>
                <w:color w:val="auto"/>
                <w:szCs w:val="24"/>
                <w:lang w:eastAsia="zh-CN"/>
              </w:rPr>
              <w:t>污染事件</w:t>
            </w:r>
          </w:p>
        </w:tc>
        <w:tc>
          <w:tcPr>
            <w:tcW w:w="13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A43F81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无</w:t>
            </w:r>
          </w:p>
        </w:tc>
      </w:tr>
    </w:tbl>
    <w:p w14:paraId="100A5637">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4"/>
          <w:szCs w:val="28"/>
          <w:lang w:eastAsia="zh-CN"/>
        </w:rPr>
      </w:pPr>
    </w:p>
    <w:p w14:paraId="3294E462">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193" w:name="_Toc17272"/>
      <w:bookmarkStart w:id="194" w:name="_Toc17050"/>
      <w:bookmarkStart w:id="195" w:name="_Toc11418"/>
      <w:bookmarkStart w:id="196" w:name="_Toc32314"/>
      <w:bookmarkStart w:id="197" w:name="_Toc18220"/>
      <w:r>
        <w:rPr>
          <w:rFonts w:ascii="Times New Roman" w:hAnsi="Times New Roman" w:eastAsia="宋体" w:cs="Times New Roman"/>
          <w:b/>
          <w:bCs/>
          <w:snapToGrid/>
          <w:color w:val="auto"/>
          <w:kern w:val="2"/>
          <w:sz w:val="24"/>
          <w:szCs w:val="32"/>
          <w:lang w:eastAsia="zh-CN"/>
        </w:rPr>
        <w:t>2.3.3 集中式污水处理厂</w:t>
      </w:r>
      <w:bookmarkEnd w:id="193"/>
      <w:bookmarkEnd w:id="194"/>
      <w:bookmarkEnd w:id="195"/>
      <w:bookmarkEnd w:id="196"/>
      <w:bookmarkEnd w:id="197"/>
    </w:p>
    <w:p w14:paraId="63079FF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评估区域内现有集中式污水处理厂风险源基本情况统计如2.3.3-1所示。</w:t>
      </w:r>
    </w:p>
    <w:p w14:paraId="3F541FBA">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表2.3.3-1  炎陵县内现有主要集中式污水处理厂风险源一览表</w:t>
      </w:r>
    </w:p>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2699"/>
        <w:gridCol w:w="1832"/>
        <w:gridCol w:w="1164"/>
        <w:gridCol w:w="2557"/>
      </w:tblGrid>
      <w:tr w14:paraId="3E198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05" w:type="dxa"/>
            <w:vMerge w:val="restart"/>
            <w:noWrap w:val="0"/>
            <w:vAlign w:val="center"/>
          </w:tcPr>
          <w:p w14:paraId="1DB6B35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2699" w:type="dxa"/>
            <w:vMerge w:val="restart"/>
            <w:noWrap w:val="0"/>
            <w:vAlign w:val="center"/>
          </w:tcPr>
          <w:p w14:paraId="7663E79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集中式污水处理厂名称</w:t>
            </w:r>
          </w:p>
        </w:tc>
        <w:tc>
          <w:tcPr>
            <w:tcW w:w="1832" w:type="dxa"/>
            <w:vMerge w:val="restart"/>
            <w:noWrap w:val="0"/>
            <w:vAlign w:val="center"/>
          </w:tcPr>
          <w:p w14:paraId="0FF0BAE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地理位置</w:t>
            </w:r>
          </w:p>
        </w:tc>
        <w:tc>
          <w:tcPr>
            <w:tcW w:w="1164" w:type="dxa"/>
            <w:vMerge w:val="restart"/>
            <w:noWrap w:val="0"/>
            <w:vAlign w:val="center"/>
          </w:tcPr>
          <w:p w14:paraId="5076E42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环境风</w:t>
            </w:r>
          </w:p>
          <w:p w14:paraId="5DC4BFB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险等级</w:t>
            </w:r>
          </w:p>
        </w:tc>
        <w:tc>
          <w:tcPr>
            <w:tcW w:w="2557" w:type="dxa"/>
            <w:vMerge w:val="restart"/>
            <w:noWrap w:val="0"/>
            <w:vAlign w:val="center"/>
          </w:tcPr>
          <w:p w14:paraId="78DD6B9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可能造成的突发环境事件类别</w:t>
            </w:r>
          </w:p>
        </w:tc>
      </w:tr>
      <w:tr w14:paraId="30E3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05" w:type="dxa"/>
            <w:vMerge w:val="continue"/>
            <w:noWrap w:val="0"/>
            <w:vAlign w:val="center"/>
          </w:tcPr>
          <w:p w14:paraId="273F8124">
            <w:pPr>
              <w:widowControl w:val="0"/>
              <w:overflowPunct w:val="0"/>
              <w:jc w:val="center"/>
              <w:rPr>
                <w:rFonts w:ascii="Times New Roman" w:hAnsi="Times New Roman" w:eastAsia="宋体" w:cs="Times New Roman"/>
                <w:bCs/>
                <w:color w:val="auto"/>
                <w:szCs w:val="24"/>
                <w:lang w:eastAsia="zh-CN"/>
              </w:rPr>
            </w:pPr>
          </w:p>
        </w:tc>
        <w:tc>
          <w:tcPr>
            <w:tcW w:w="2699" w:type="dxa"/>
            <w:vMerge w:val="continue"/>
            <w:noWrap w:val="0"/>
            <w:vAlign w:val="center"/>
          </w:tcPr>
          <w:p w14:paraId="0DA23737">
            <w:pPr>
              <w:widowControl w:val="0"/>
              <w:overflowPunct w:val="0"/>
              <w:jc w:val="center"/>
              <w:rPr>
                <w:rFonts w:ascii="Times New Roman" w:hAnsi="Times New Roman" w:eastAsia="宋体" w:cs="Times New Roman"/>
                <w:bCs/>
                <w:color w:val="auto"/>
                <w:szCs w:val="24"/>
                <w:lang w:eastAsia="zh-CN"/>
              </w:rPr>
            </w:pPr>
          </w:p>
        </w:tc>
        <w:tc>
          <w:tcPr>
            <w:tcW w:w="1832" w:type="dxa"/>
            <w:vMerge w:val="continue"/>
            <w:noWrap w:val="0"/>
            <w:vAlign w:val="center"/>
          </w:tcPr>
          <w:p w14:paraId="62BCCED7">
            <w:pPr>
              <w:widowControl w:val="0"/>
              <w:overflowPunct w:val="0"/>
              <w:jc w:val="center"/>
              <w:rPr>
                <w:rFonts w:ascii="Times New Roman" w:hAnsi="Times New Roman" w:eastAsia="宋体" w:cs="Times New Roman"/>
                <w:bCs/>
                <w:color w:val="auto"/>
                <w:szCs w:val="24"/>
                <w:lang w:eastAsia="zh-CN"/>
              </w:rPr>
            </w:pPr>
          </w:p>
        </w:tc>
        <w:tc>
          <w:tcPr>
            <w:tcW w:w="1164" w:type="dxa"/>
            <w:vMerge w:val="continue"/>
            <w:noWrap w:val="0"/>
            <w:vAlign w:val="center"/>
          </w:tcPr>
          <w:p w14:paraId="0BB07D2F">
            <w:pPr>
              <w:widowControl w:val="0"/>
              <w:overflowPunct w:val="0"/>
              <w:jc w:val="center"/>
              <w:rPr>
                <w:rFonts w:ascii="Times New Roman" w:hAnsi="Times New Roman" w:eastAsia="宋体" w:cs="Times New Roman"/>
                <w:bCs/>
                <w:color w:val="auto"/>
                <w:szCs w:val="24"/>
                <w:lang w:eastAsia="zh-CN"/>
              </w:rPr>
            </w:pPr>
          </w:p>
        </w:tc>
        <w:tc>
          <w:tcPr>
            <w:tcW w:w="2557" w:type="dxa"/>
            <w:vMerge w:val="continue"/>
            <w:noWrap w:val="0"/>
            <w:vAlign w:val="center"/>
          </w:tcPr>
          <w:p w14:paraId="15C6FA06">
            <w:pPr>
              <w:widowControl w:val="0"/>
              <w:overflowPunct w:val="0"/>
              <w:jc w:val="center"/>
              <w:rPr>
                <w:rFonts w:ascii="Times New Roman" w:hAnsi="Times New Roman" w:eastAsia="宋体" w:cs="Times New Roman"/>
                <w:bCs/>
                <w:color w:val="auto"/>
                <w:szCs w:val="24"/>
                <w:lang w:eastAsia="zh-CN"/>
              </w:rPr>
            </w:pPr>
          </w:p>
        </w:tc>
      </w:tr>
      <w:tr w14:paraId="341C1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05" w:type="dxa"/>
            <w:noWrap w:val="0"/>
            <w:vAlign w:val="center"/>
          </w:tcPr>
          <w:p w14:paraId="4DE2F0E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2699" w:type="dxa"/>
            <w:noWrap w:val="0"/>
            <w:vAlign w:val="center"/>
          </w:tcPr>
          <w:p w14:paraId="63942FEB">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炎陵县城污水处理厂</w:t>
            </w:r>
          </w:p>
        </w:tc>
        <w:tc>
          <w:tcPr>
            <w:tcW w:w="1832" w:type="dxa"/>
            <w:noWrap w:val="0"/>
            <w:vAlign w:val="center"/>
          </w:tcPr>
          <w:p w14:paraId="222DDA4D">
            <w:pPr>
              <w:kinsoku/>
              <w:autoSpaceDE/>
              <w:autoSpaceDN/>
              <w:adjustRightInd/>
              <w:snapToGrid/>
              <w:jc w:val="center"/>
              <w:textAlignment w:val="center"/>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霞阳镇</w:t>
            </w:r>
          </w:p>
        </w:tc>
        <w:tc>
          <w:tcPr>
            <w:tcW w:w="1164" w:type="dxa"/>
            <w:noWrap w:val="0"/>
            <w:vAlign w:val="center"/>
          </w:tcPr>
          <w:p w14:paraId="6EFBB7F0">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一般</w:t>
            </w:r>
          </w:p>
        </w:tc>
        <w:tc>
          <w:tcPr>
            <w:tcW w:w="2557" w:type="dxa"/>
            <w:noWrap w:val="0"/>
            <w:vAlign w:val="center"/>
          </w:tcPr>
          <w:p w14:paraId="6647DDAE">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水污染事件</w:t>
            </w:r>
          </w:p>
        </w:tc>
      </w:tr>
      <w:tr w14:paraId="2778A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05" w:type="dxa"/>
            <w:noWrap w:val="0"/>
            <w:vAlign w:val="center"/>
          </w:tcPr>
          <w:p w14:paraId="2A2157D7">
            <w:pPr>
              <w:widowControl w:val="0"/>
              <w:overflowPunct w:val="0"/>
              <w:jc w:val="center"/>
              <w:rPr>
                <w:rFonts w:hint="eastAsia" w:ascii="Times New Roman" w:hAnsi="Times New Roman" w:eastAsia="宋体" w:cs="Times New Roman"/>
                <w:bCs/>
                <w:color w:val="auto"/>
                <w:szCs w:val="24"/>
                <w:lang w:eastAsia="zh-CN"/>
              </w:rPr>
            </w:pPr>
            <w:bookmarkStart w:id="198" w:name="_Toc2486"/>
            <w:bookmarkStart w:id="199" w:name="_Toc13142"/>
            <w:bookmarkStart w:id="200" w:name="_Toc15437"/>
            <w:r>
              <w:rPr>
                <w:rFonts w:hint="eastAsia" w:ascii="Times New Roman" w:hAnsi="Times New Roman" w:eastAsia="宋体" w:cs="Times New Roman"/>
                <w:bCs/>
                <w:color w:val="auto"/>
                <w:szCs w:val="24"/>
                <w:lang w:eastAsia="zh-CN"/>
              </w:rPr>
              <w:t>2</w:t>
            </w:r>
          </w:p>
        </w:tc>
        <w:tc>
          <w:tcPr>
            <w:tcW w:w="2699" w:type="dxa"/>
            <w:noWrap w:val="0"/>
            <w:vAlign w:val="center"/>
          </w:tcPr>
          <w:p w14:paraId="467E4945">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炎陵工业集中区东园区污水处理厂</w:t>
            </w:r>
          </w:p>
        </w:tc>
        <w:tc>
          <w:tcPr>
            <w:tcW w:w="1832" w:type="dxa"/>
            <w:noWrap w:val="0"/>
            <w:vAlign w:val="center"/>
          </w:tcPr>
          <w:p w14:paraId="1D22C393">
            <w:pPr>
              <w:kinsoku/>
              <w:autoSpaceDE/>
              <w:autoSpaceDN/>
              <w:adjustRightInd/>
              <w:snapToGrid/>
              <w:jc w:val="center"/>
              <w:textAlignment w:val="center"/>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高新区</w:t>
            </w:r>
          </w:p>
        </w:tc>
        <w:tc>
          <w:tcPr>
            <w:tcW w:w="1164" w:type="dxa"/>
            <w:noWrap w:val="0"/>
            <w:vAlign w:val="center"/>
          </w:tcPr>
          <w:p w14:paraId="2077C4CB">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一般</w:t>
            </w:r>
          </w:p>
        </w:tc>
        <w:tc>
          <w:tcPr>
            <w:tcW w:w="2557" w:type="dxa"/>
            <w:noWrap w:val="0"/>
            <w:vAlign w:val="center"/>
          </w:tcPr>
          <w:p w14:paraId="0B08CEB8">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水污染事件</w:t>
            </w:r>
          </w:p>
        </w:tc>
      </w:tr>
      <w:tr w14:paraId="7CABA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05" w:type="dxa"/>
            <w:noWrap w:val="0"/>
            <w:vAlign w:val="center"/>
          </w:tcPr>
          <w:p w14:paraId="30FAC4BA">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3</w:t>
            </w:r>
          </w:p>
        </w:tc>
        <w:tc>
          <w:tcPr>
            <w:tcW w:w="2699" w:type="dxa"/>
            <w:noWrap w:val="0"/>
            <w:vAlign w:val="center"/>
          </w:tcPr>
          <w:p w14:paraId="28C8EEAE">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炎陵工业集中区西园区污水处理厂</w:t>
            </w:r>
          </w:p>
        </w:tc>
        <w:tc>
          <w:tcPr>
            <w:tcW w:w="1832" w:type="dxa"/>
            <w:noWrap w:val="0"/>
            <w:vAlign w:val="center"/>
          </w:tcPr>
          <w:p w14:paraId="08617390">
            <w:pPr>
              <w:kinsoku/>
              <w:autoSpaceDE/>
              <w:autoSpaceDN/>
              <w:adjustRightInd/>
              <w:snapToGrid/>
              <w:jc w:val="center"/>
              <w:textAlignment w:val="center"/>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高新区</w:t>
            </w:r>
          </w:p>
        </w:tc>
        <w:tc>
          <w:tcPr>
            <w:tcW w:w="1164" w:type="dxa"/>
            <w:noWrap w:val="0"/>
            <w:vAlign w:val="center"/>
          </w:tcPr>
          <w:p w14:paraId="2BF9550F">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一般</w:t>
            </w:r>
          </w:p>
        </w:tc>
        <w:tc>
          <w:tcPr>
            <w:tcW w:w="2557" w:type="dxa"/>
            <w:noWrap w:val="0"/>
            <w:vAlign w:val="center"/>
          </w:tcPr>
          <w:p w14:paraId="69F4F56B">
            <w:pPr>
              <w:widowControl w:val="0"/>
              <w:overflowPunct w:val="0"/>
              <w:jc w:val="center"/>
              <w:rPr>
                <w:rFonts w:hint="eastAsia" w:ascii="宋体" w:hAnsi="宋体" w:eastAsia="宋体" w:cs="宋体"/>
                <w:bCs/>
                <w:color w:val="auto"/>
                <w:lang w:eastAsia="zh-CN"/>
              </w:rPr>
            </w:pPr>
            <w:r>
              <w:rPr>
                <w:rFonts w:hint="eastAsia" w:ascii="宋体" w:hAnsi="宋体" w:eastAsia="宋体" w:cs="宋体"/>
                <w:bCs/>
                <w:color w:val="auto"/>
                <w:lang w:eastAsia="zh-CN"/>
              </w:rPr>
              <w:t>水污染事件</w:t>
            </w:r>
          </w:p>
        </w:tc>
      </w:tr>
    </w:tbl>
    <w:p w14:paraId="31FD6CCD">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01" w:name="_Toc8933"/>
      <w:bookmarkStart w:id="202" w:name="_Toc23448"/>
      <w:r>
        <w:rPr>
          <w:rFonts w:ascii="Times New Roman" w:hAnsi="Times New Roman" w:eastAsia="宋体" w:cs="Times New Roman"/>
          <w:b/>
          <w:bCs/>
          <w:snapToGrid/>
          <w:color w:val="auto"/>
          <w:kern w:val="2"/>
          <w:sz w:val="24"/>
          <w:szCs w:val="32"/>
          <w:lang w:eastAsia="zh-CN"/>
        </w:rPr>
        <w:t>2.3.4涉及环境风险物质运输的道路</w:t>
      </w:r>
      <w:bookmarkEnd w:id="198"/>
      <w:bookmarkEnd w:id="199"/>
      <w:bookmarkEnd w:id="200"/>
      <w:bookmarkEnd w:id="201"/>
      <w:bookmarkEnd w:id="202"/>
    </w:p>
    <w:p w14:paraId="7ABB364A">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评估区域内现有涉及环境风险物质运输道路风险源基本情况统计如2.3.4-1所示。</w:t>
      </w:r>
    </w:p>
    <w:p w14:paraId="550563B4">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表2.3.4-1  炎陵县内现有涉及环境风险物质运输道路风险源一览表</w:t>
      </w:r>
    </w:p>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2117"/>
        <w:gridCol w:w="1347"/>
        <w:gridCol w:w="2526"/>
        <w:gridCol w:w="2337"/>
      </w:tblGrid>
      <w:tr w14:paraId="10CAE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671" w:type="dxa"/>
            <w:noWrap w:val="0"/>
            <w:vAlign w:val="center"/>
          </w:tcPr>
          <w:p w14:paraId="3095E2B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2117" w:type="dxa"/>
            <w:noWrap w:val="0"/>
            <w:vAlign w:val="center"/>
          </w:tcPr>
          <w:p w14:paraId="36624CF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道路名称</w:t>
            </w:r>
          </w:p>
        </w:tc>
        <w:tc>
          <w:tcPr>
            <w:tcW w:w="1347" w:type="dxa"/>
            <w:noWrap w:val="0"/>
            <w:vAlign w:val="center"/>
          </w:tcPr>
          <w:p w14:paraId="138DA50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道路级别</w:t>
            </w:r>
          </w:p>
        </w:tc>
        <w:tc>
          <w:tcPr>
            <w:tcW w:w="2526" w:type="dxa"/>
            <w:noWrap w:val="0"/>
            <w:vAlign w:val="center"/>
          </w:tcPr>
          <w:p w14:paraId="4E97292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可能造成的突发环境事件级别</w:t>
            </w:r>
          </w:p>
        </w:tc>
        <w:tc>
          <w:tcPr>
            <w:tcW w:w="2337" w:type="dxa"/>
            <w:noWrap w:val="0"/>
            <w:vAlign w:val="center"/>
          </w:tcPr>
          <w:p w14:paraId="42AD529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近五年突发环境事件发生数量</w:t>
            </w:r>
          </w:p>
        </w:tc>
      </w:tr>
      <w:tr w14:paraId="3B35A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671" w:type="dxa"/>
            <w:noWrap w:val="0"/>
            <w:vAlign w:val="center"/>
          </w:tcPr>
          <w:p w14:paraId="4A204EA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2117" w:type="dxa"/>
            <w:noWrap w:val="0"/>
            <w:vAlign w:val="center"/>
          </w:tcPr>
          <w:p w14:paraId="45E61BDC">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武深高速</w:t>
            </w:r>
          </w:p>
        </w:tc>
        <w:tc>
          <w:tcPr>
            <w:tcW w:w="1347" w:type="dxa"/>
            <w:noWrap w:val="0"/>
            <w:vAlign w:val="center"/>
          </w:tcPr>
          <w:p w14:paraId="62391916">
            <w:pPr>
              <w:widowControl w:val="0"/>
              <w:overflowPunct w:val="0"/>
              <w:jc w:val="center"/>
              <w:rPr>
                <w:rFonts w:ascii="Times New Roman" w:hAnsi="Times New Roman" w:eastAsia="宋体" w:cs="Times New Roman"/>
                <w:bCs/>
                <w:szCs w:val="24"/>
                <w:lang w:eastAsia="zh-CN"/>
              </w:rPr>
            </w:pPr>
            <w:r>
              <w:rPr>
                <w:rFonts w:ascii="Times New Roman" w:hAnsi="Times New Roman" w:eastAsia="宋体" w:cs="Times New Roman"/>
                <w:bCs/>
                <w:szCs w:val="24"/>
                <w:lang w:eastAsia="zh-CN"/>
              </w:rPr>
              <w:t>高速公路</w:t>
            </w:r>
          </w:p>
        </w:tc>
        <w:tc>
          <w:tcPr>
            <w:tcW w:w="2526" w:type="dxa"/>
            <w:noWrap w:val="0"/>
            <w:vAlign w:val="center"/>
          </w:tcPr>
          <w:p w14:paraId="18DA8A31">
            <w:pPr>
              <w:widowControl w:val="0"/>
              <w:overflowPunct w:val="0"/>
              <w:jc w:val="center"/>
              <w:rPr>
                <w:rFonts w:ascii="Times New Roman" w:hAnsi="Times New Roman" w:eastAsia="宋体" w:cs="Times New Roman"/>
                <w:bCs/>
                <w:szCs w:val="24"/>
                <w:lang w:eastAsia="zh-CN"/>
              </w:rPr>
            </w:pPr>
            <w:r>
              <w:rPr>
                <w:rFonts w:hint="eastAsia" w:ascii="Times New Roman" w:hAnsi="Times New Roman" w:eastAsia="宋体" w:cs="Times New Roman"/>
                <w:bCs/>
                <w:szCs w:val="24"/>
                <w:lang w:eastAsia="zh-CN"/>
              </w:rPr>
              <w:t>较大</w:t>
            </w:r>
          </w:p>
        </w:tc>
        <w:tc>
          <w:tcPr>
            <w:tcW w:w="2337" w:type="dxa"/>
            <w:noWrap w:val="0"/>
            <w:vAlign w:val="center"/>
          </w:tcPr>
          <w:p w14:paraId="7239270E">
            <w:pPr>
              <w:widowControl w:val="0"/>
              <w:overflowPunct w:val="0"/>
              <w:jc w:val="center"/>
              <w:rPr>
                <w:rFonts w:ascii="Times New Roman" w:hAnsi="Times New Roman" w:eastAsia="宋体" w:cs="Times New Roman"/>
                <w:bCs/>
                <w:szCs w:val="24"/>
                <w:lang w:eastAsia="zh-CN"/>
              </w:rPr>
            </w:pPr>
            <w:r>
              <w:rPr>
                <w:rFonts w:hint="eastAsia" w:ascii="Times New Roman" w:hAnsi="Times New Roman" w:eastAsia="宋体" w:cs="Times New Roman"/>
                <w:bCs/>
                <w:szCs w:val="24"/>
                <w:lang w:eastAsia="zh-CN"/>
              </w:rPr>
              <w:t>无</w:t>
            </w:r>
          </w:p>
        </w:tc>
      </w:tr>
      <w:tr w14:paraId="65587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671" w:type="dxa"/>
            <w:noWrap w:val="0"/>
            <w:vAlign w:val="center"/>
          </w:tcPr>
          <w:p w14:paraId="296FC7C1">
            <w:pPr>
              <w:widowControl w:val="0"/>
              <w:overflowPunct w:val="0"/>
              <w:jc w:val="center"/>
              <w:rPr>
                <w:rFonts w:hint="default" w:ascii="Times New Roman" w:hAnsi="Times New Roman" w:eastAsia="宋体" w:cs="Times New Roman"/>
                <w:bCs/>
                <w:color w:val="auto"/>
                <w:szCs w:val="24"/>
                <w:lang w:val="en-US" w:eastAsia="zh-CN"/>
              </w:rPr>
            </w:pPr>
            <w:bookmarkStart w:id="203" w:name="_Toc20355"/>
            <w:bookmarkStart w:id="204" w:name="_Toc22795"/>
            <w:bookmarkStart w:id="205" w:name="_Toc8230"/>
            <w:r>
              <w:rPr>
                <w:rFonts w:hint="eastAsia" w:ascii="Times New Roman" w:hAnsi="Times New Roman" w:eastAsia="宋体" w:cs="Times New Roman"/>
                <w:bCs/>
                <w:color w:val="auto"/>
                <w:szCs w:val="24"/>
                <w:lang w:val="en-US" w:eastAsia="zh-CN"/>
              </w:rPr>
              <w:t>2</w:t>
            </w:r>
          </w:p>
        </w:tc>
        <w:tc>
          <w:tcPr>
            <w:tcW w:w="2117" w:type="dxa"/>
            <w:noWrap w:val="0"/>
            <w:vAlign w:val="center"/>
          </w:tcPr>
          <w:p w14:paraId="2E900110">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莆炎高速</w:t>
            </w:r>
          </w:p>
        </w:tc>
        <w:tc>
          <w:tcPr>
            <w:tcW w:w="1347" w:type="dxa"/>
            <w:noWrap w:val="0"/>
            <w:vAlign w:val="center"/>
          </w:tcPr>
          <w:p w14:paraId="26FA8947">
            <w:pPr>
              <w:widowControl w:val="0"/>
              <w:overflowPunct w:val="0"/>
              <w:jc w:val="center"/>
              <w:rPr>
                <w:rFonts w:ascii="Times New Roman" w:hAnsi="Times New Roman" w:eastAsia="宋体" w:cs="Times New Roman"/>
                <w:bCs/>
                <w:szCs w:val="24"/>
                <w:lang w:eastAsia="zh-CN"/>
              </w:rPr>
            </w:pPr>
            <w:r>
              <w:rPr>
                <w:rFonts w:ascii="Times New Roman" w:hAnsi="Times New Roman" w:eastAsia="宋体" w:cs="Times New Roman"/>
                <w:bCs/>
                <w:szCs w:val="24"/>
                <w:lang w:eastAsia="zh-CN"/>
              </w:rPr>
              <w:t>高速公路</w:t>
            </w:r>
          </w:p>
        </w:tc>
        <w:tc>
          <w:tcPr>
            <w:tcW w:w="2526" w:type="dxa"/>
            <w:noWrap w:val="0"/>
            <w:vAlign w:val="center"/>
          </w:tcPr>
          <w:p w14:paraId="60257BCF">
            <w:pPr>
              <w:widowControl w:val="0"/>
              <w:overflowPunct w:val="0"/>
              <w:jc w:val="center"/>
              <w:rPr>
                <w:rFonts w:ascii="Times New Roman" w:hAnsi="Times New Roman" w:eastAsia="宋体" w:cs="Times New Roman"/>
                <w:bCs/>
                <w:szCs w:val="24"/>
                <w:lang w:eastAsia="zh-CN"/>
              </w:rPr>
            </w:pPr>
            <w:r>
              <w:rPr>
                <w:rFonts w:hint="eastAsia" w:ascii="Times New Roman" w:hAnsi="Times New Roman" w:eastAsia="宋体" w:cs="Times New Roman"/>
                <w:bCs/>
                <w:szCs w:val="24"/>
                <w:lang w:eastAsia="zh-CN"/>
              </w:rPr>
              <w:t>较大</w:t>
            </w:r>
          </w:p>
        </w:tc>
        <w:tc>
          <w:tcPr>
            <w:tcW w:w="2337" w:type="dxa"/>
            <w:noWrap w:val="0"/>
            <w:vAlign w:val="center"/>
          </w:tcPr>
          <w:p w14:paraId="637C25BB">
            <w:pPr>
              <w:widowControl w:val="0"/>
              <w:overflowPunct w:val="0"/>
              <w:jc w:val="center"/>
              <w:rPr>
                <w:rFonts w:ascii="Times New Roman" w:hAnsi="Times New Roman" w:eastAsia="宋体" w:cs="Times New Roman"/>
                <w:bCs/>
                <w:szCs w:val="24"/>
                <w:lang w:eastAsia="zh-CN"/>
              </w:rPr>
            </w:pPr>
            <w:r>
              <w:rPr>
                <w:rFonts w:hint="eastAsia" w:ascii="Times New Roman" w:hAnsi="Times New Roman" w:eastAsia="宋体" w:cs="Times New Roman"/>
                <w:bCs/>
                <w:szCs w:val="24"/>
                <w:lang w:eastAsia="zh-CN"/>
              </w:rPr>
              <w:t>无</w:t>
            </w:r>
          </w:p>
        </w:tc>
      </w:tr>
    </w:tbl>
    <w:p w14:paraId="75D6864A">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06" w:name="_Toc17389"/>
      <w:bookmarkStart w:id="207" w:name="_Toc4892"/>
      <w:r>
        <w:rPr>
          <w:rFonts w:ascii="Times New Roman" w:hAnsi="Times New Roman" w:eastAsia="宋体" w:cs="Times New Roman"/>
          <w:b/>
          <w:bCs/>
          <w:snapToGrid/>
          <w:color w:val="auto"/>
          <w:kern w:val="2"/>
          <w:sz w:val="30"/>
          <w:szCs w:val="32"/>
          <w:lang w:eastAsia="zh-CN"/>
        </w:rPr>
        <w:t>2.4 行政区域现有环境风险防控与应急救援能力</w:t>
      </w:r>
      <w:bookmarkEnd w:id="203"/>
      <w:bookmarkEnd w:id="204"/>
      <w:bookmarkEnd w:id="205"/>
      <w:bookmarkEnd w:id="206"/>
      <w:bookmarkEnd w:id="207"/>
    </w:p>
    <w:p w14:paraId="7806CC63">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08" w:name="_Toc26267"/>
      <w:bookmarkStart w:id="209" w:name="_Toc8438"/>
      <w:bookmarkStart w:id="210" w:name="_Toc30850"/>
      <w:bookmarkStart w:id="211" w:name="_Toc22608"/>
      <w:bookmarkStart w:id="212" w:name="_Toc15361"/>
      <w:r>
        <w:rPr>
          <w:rFonts w:ascii="Times New Roman" w:hAnsi="Times New Roman" w:eastAsia="宋体" w:cs="Times New Roman"/>
          <w:b/>
          <w:bCs/>
          <w:snapToGrid/>
          <w:color w:val="auto"/>
          <w:kern w:val="2"/>
          <w:sz w:val="24"/>
          <w:szCs w:val="32"/>
          <w:lang w:eastAsia="zh-CN"/>
        </w:rPr>
        <w:t>2.4.1 环境监测情况</w:t>
      </w:r>
      <w:bookmarkEnd w:id="208"/>
      <w:bookmarkEnd w:id="209"/>
      <w:bookmarkEnd w:id="210"/>
      <w:bookmarkEnd w:id="211"/>
      <w:bookmarkEnd w:id="212"/>
    </w:p>
    <w:p w14:paraId="705436C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炎陵县依托株洲市炎陵生态环境监测站及炎陵县企业环境监测部门组建应急监测队伍</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组织、指导、协调应急监测工作</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为应急处置提供决策依据。</w:t>
      </w:r>
    </w:p>
    <w:p w14:paraId="4CD9ECF0">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牵头单位：市生态环境局炎陵分局</w:t>
      </w:r>
    </w:p>
    <w:p w14:paraId="38F1CA70">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主要职责：</w:t>
      </w:r>
    </w:p>
    <w:p w14:paraId="475EE8D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①负责组织区域内突发环境事件应急监测。负责制定应急监测工作计划；建立应急监测技术支持系统；组织业务培训。</w:t>
      </w:r>
    </w:p>
    <w:p w14:paraId="4692FA6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②接到突发性环境污染事故通知后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组织实施应急监测</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协调株洲市炎陵生态环境监测站及其他监测单位对污染现场进行应急监测</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为应急领导小组的决策提供有效的技术支持。</w:t>
      </w:r>
    </w:p>
    <w:p w14:paraId="20BFA47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③配合有关部门对污染状况进行跟踪调查</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指导和监督污染物的收集、清理与处理以及受污染和破坏生态环境的恢复等。</w:t>
      </w:r>
    </w:p>
    <w:p w14:paraId="40C09424">
      <w:pPr>
        <w:widowControl w:val="0"/>
        <w:kinsoku/>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事故发生时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应急监测组应立即开展污染源及其周围水、气、土壤等环境监测工作</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为应急决策提供科学依据。</w:t>
      </w:r>
    </w:p>
    <w:p w14:paraId="5913F60A">
      <w:pPr>
        <w:widowControl w:val="0"/>
        <w:kinsoku/>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①突发环境事件发生时事故责任单位有</w:t>
      </w:r>
      <w:r>
        <w:rPr>
          <w:rFonts w:hint="eastAsia" w:ascii="Times New Roman" w:hAnsi="Times New Roman" w:eastAsia="宋体" w:cs="Times New Roman"/>
          <w:snapToGrid/>
          <w:color w:val="auto"/>
          <w:kern w:val="2"/>
          <w:sz w:val="24"/>
          <w:szCs w:val="22"/>
          <w:lang w:eastAsia="zh-CN"/>
        </w:rPr>
        <w:t>环境监测</w:t>
      </w:r>
      <w:r>
        <w:rPr>
          <w:rFonts w:ascii="Times New Roman" w:hAnsi="Times New Roman" w:eastAsia="宋体" w:cs="Times New Roman"/>
          <w:snapToGrid/>
          <w:color w:val="auto"/>
          <w:kern w:val="2"/>
          <w:sz w:val="24"/>
          <w:szCs w:val="22"/>
          <w:lang w:eastAsia="zh-CN"/>
        </w:rPr>
        <w:t>能力的</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要立即开展先期应急检测工作</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第一时间掌握环境风险物质的环境暴露。事故责任单位应按市生态环境局炎陵分局的要求</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配合开展环境监测工作。</w:t>
      </w:r>
    </w:p>
    <w:p w14:paraId="7C203CE4">
      <w:pPr>
        <w:widowControl w:val="0"/>
        <w:kinsoku/>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②环境监测人员应根据污染物种类、性质、相态、扩散速度、事件发生地的气象和地域特点</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周边地表水、地下水、环境敏感区的分布情况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确定监测点位</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明确监测项目</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制定应急监测方案</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开展应急监测。视污染物扩散情况和监测结果变化趋势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及时对监测方案进行调整。</w:t>
      </w:r>
    </w:p>
    <w:p w14:paraId="7CAC360E">
      <w:pPr>
        <w:widowControl w:val="0"/>
        <w:kinsoku/>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③在应急监测能力无法满足应急需要时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负责请求炎陵生态环境监测站增援</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在炎陵生态环境监测站应急监测部门到达后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配合其对突发环境事件现场的周边进行环境污染应急监测。</w:t>
      </w:r>
    </w:p>
    <w:p w14:paraId="411EEC6D">
      <w:pPr>
        <w:widowControl w:val="0"/>
        <w:kinsoku/>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④在事件发生初期</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要根据突发环境事件的严重程度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适当增加监测点位和频次；随着污染物的扩散情况和监测结果的变化趋势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科学调整监测频次和监测点位。优先选用污染物现场快速监测法</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当不具备快速监测条件和监测技术时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或需对污染程度和污染范围进行精确判断时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应尽快将污染物样品送炎陵生态环境监测站实验室进行分析检测。</w:t>
      </w:r>
    </w:p>
    <w:p w14:paraId="5B23655C">
      <w:pPr>
        <w:widowControl w:val="0"/>
        <w:kinsoku/>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⑤根据监测结果</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综合分析突发环境事件污染物浓度的时空变化趋势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并通过专家咨询和讨论的方式</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预测、报告突发环境事件的发展情况和污染物的变化情况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为炎陵县应急决策提供技术支撑。</w:t>
      </w:r>
    </w:p>
    <w:p w14:paraId="2F0CFA53">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13" w:name="_Toc14449"/>
      <w:bookmarkStart w:id="214" w:name="_Toc22565"/>
      <w:bookmarkStart w:id="215" w:name="_Toc16073"/>
      <w:bookmarkStart w:id="216" w:name="_Toc31930"/>
      <w:bookmarkStart w:id="217" w:name="_Toc16231"/>
      <w:r>
        <w:rPr>
          <w:rFonts w:ascii="Times New Roman" w:hAnsi="Times New Roman" w:eastAsia="宋体" w:cs="Times New Roman"/>
          <w:b/>
          <w:bCs/>
          <w:snapToGrid/>
          <w:color w:val="auto"/>
          <w:kern w:val="2"/>
          <w:sz w:val="24"/>
          <w:szCs w:val="32"/>
          <w:lang w:eastAsia="zh-CN"/>
        </w:rPr>
        <w:t>2.4.2 固定源环境风险管理</w:t>
      </w:r>
      <w:bookmarkEnd w:id="213"/>
      <w:bookmarkEnd w:id="214"/>
      <w:bookmarkEnd w:id="215"/>
      <w:bookmarkEnd w:id="216"/>
      <w:bookmarkEnd w:id="217"/>
    </w:p>
    <w:p w14:paraId="4947AF6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目前</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涉及环境风险的企业已开展了环境风险评估</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大部分涉及危险化学品企业委托编制了环境应急预案并进行了备案。</w:t>
      </w:r>
    </w:p>
    <w:p w14:paraId="082EE579">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18" w:name="_Toc3413"/>
      <w:bookmarkStart w:id="219" w:name="_Toc29938"/>
      <w:bookmarkStart w:id="220" w:name="_Toc21623"/>
      <w:bookmarkStart w:id="221" w:name="_Toc20939"/>
      <w:bookmarkStart w:id="222" w:name="_Toc28646"/>
      <w:r>
        <w:rPr>
          <w:rFonts w:ascii="Times New Roman" w:hAnsi="Times New Roman" w:eastAsia="宋体" w:cs="Times New Roman"/>
          <w:b/>
          <w:bCs/>
          <w:snapToGrid/>
          <w:color w:val="auto"/>
          <w:kern w:val="2"/>
          <w:sz w:val="24"/>
          <w:szCs w:val="32"/>
          <w:lang w:eastAsia="zh-CN"/>
        </w:rPr>
        <w:t>2.4.3 移动源环境风险管理</w:t>
      </w:r>
      <w:bookmarkEnd w:id="218"/>
      <w:bookmarkEnd w:id="219"/>
      <w:bookmarkEnd w:id="220"/>
      <w:bookmarkEnd w:id="221"/>
      <w:bookmarkEnd w:id="222"/>
    </w:p>
    <w:p w14:paraId="53851B68">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按照《危险化学品安全管理条例》《道路危险货物运输管理规定》等有关规定</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炎陵县各危化品运输车辆已安装GPS设备。并且炎陵县交通部门已对县内道路设置危化品禁止通行的道路</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比如居民集中区域、水源保护区外围道路等</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禁止危化品车辆的通行</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在一定程度上</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降低突发事件发生对风险受体的影响。</w:t>
      </w:r>
    </w:p>
    <w:p w14:paraId="01F17268">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23" w:name="_Toc29423"/>
      <w:bookmarkStart w:id="224" w:name="_Toc29770"/>
      <w:bookmarkStart w:id="225" w:name="_Toc5354"/>
      <w:bookmarkStart w:id="226" w:name="_Toc27083"/>
      <w:bookmarkStart w:id="227" w:name="_Toc8337"/>
      <w:r>
        <w:rPr>
          <w:rFonts w:ascii="Times New Roman" w:hAnsi="Times New Roman" w:eastAsia="宋体" w:cs="Times New Roman"/>
          <w:b/>
          <w:bCs/>
          <w:snapToGrid/>
          <w:color w:val="auto"/>
          <w:kern w:val="2"/>
          <w:sz w:val="24"/>
          <w:szCs w:val="32"/>
          <w:lang w:eastAsia="zh-CN"/>
        </w:rPr>
        <w:t>2.4.4 区域环境应急管理</w:t>
      </w:r>
      <w:bookmarkEnd w:id="223"/>
      <w:bookmarkEnd w:id="224"/>
      <w:bookmarkEnd w:id="225"/>
      <w:bookmarkEnd w:id="226"/>
      <w:bookmarkEnd w:id="227"/>
    </w:p>
    <w:p w14:paraId="6E31A765">
      <w:pPr>
        <w:keepNext/>
        <w:keepLines/>
        <w:widowControl w:val="0"/>
        <w:kinsoku/>
        <w:autoSpaceDE/>
        <w:autoSpaceDN/>
        <w:adjustRightInd/>
        <w:snapToGrid/>
        <w:spacing w:line="360" w:lineRule="auto"/>
        <w:jc w:val="both"/>
        <w:textAlignment w:val="auto"/>
        <w:outlineLvl w:val="3"/>
        <w:rPr>
          <w:rFonts w:ascii="Times New Roman" w:hAnsi="Times New Roman" w:eastAsia="宋体" w:cs="Times New Roman"/>
          <w:b/>
          <w:bCs/>
          <w:snapToGrid/>
          <w:color w:val="auto"/>
          <w:kern w:val="2"/>
          <w:sz w:val="24"/>
          <w:szCs w:val="28"/>
          <w:lang w:eastAsia="zh-CN"/>
        </w:rPr>
      </w:pPr>
      <w:r>
        <w:rPr>
          <w:rFonts w:ascii="Times New Roman" w:hAnsi="Times New Roman" w:eastAsia="宋体" w:cs="Times New Roman"/>
          <w:b/>
          <w:bCs/>
          <w:snapToGrid/>
          <w:color w:val="auto"/>
          <w:kern w:val="2"/>
          <w:sz w:val="24"/>
          <w:szCs w:val="28"/>
          <w:lang w:eastAsia="zh-CN"/>
        </w:rPr>
        <w:t>2.4.4.1 突发环境事件监测预警措施</w:t>
      </w:r>
    </w:p>
    <w:p w14:paraId="6A822ABA">
      <w:pPr>
        <w:widowControl w:val="0"/>
        <w:kinsoku/>
        <w:autoSpaceDE/>
        <w:autoSpaceDN/>
        <w:adjustRightInd/>
        <w:snapToGrid/>
        <w:spacing w:line="360" w:lineRule="auto"/>
        <w:ind w:firstLine="561"/>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市生态环境局炎陵分局以各企业监控平台、在线监控中心、大气自动监测区域及地表水常规断面及交界断面监测等污染源、风险源、环境质量监控平台为基础</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建立数字化、信息化的网格化监测预警平台。</w:t>
      </w:r>
    </w:p>
    <w:p w14:paraId="3A627BE7">
      <w:pPr>
        <w:keepNext/>
        <w:keepLines/>
        <w:widowControl w:val="0"/>
        <w:kinsoku/>
        <w:autoSpaceDE/>
        <w:autoSpaceDN/>
        <w:adjustRightInd/>
        <w:snapToGrid/>
        <w:spacing w:line="360" w:lineRule="auto"/>
        <w:jc w:val="both"/>
        <w:textAlignment w:val="auto"/>
        <w:outlineLvl w:val="3"/>
        <w:rPr>
          <w:rFonts w:ascii="Times New Roman" w:hAnsi="Times New Roman" w:eastAsia="宋体" w:cs="Times New Roman"/>
          <w:b/>
          <w:bCs/>
          <w:snapToGrid/>
          <w:color w:val="auto"/>
          <w:kern w:val="2"/>
          <w:sz w:val="24"/>
          <w:szCs w:val="28"/>
          <w:lang w:eastAsia="zh-CN"/>
        </w:rPr>
      </w:pPr>
      <w:r>
        <w:rPr>
          <w:rFonts w:ascii="Times New Roman" w:hAnsi="Times New Roman" w:eastAsia="宋体" w:cs="Times New Roman"/>
          <w:b/>
          <w:bCs/>
          <w:snapToGrid/>
          <w:color w:val="auto"/>
          <w:kern w:val="2"/>
          <w:sz w:val="24"/>
          <w:szCs w:val="28"/>
          <w:lang w:eastAsia="zh-CN"/>
        </w:rPr>
        <w:t>2.4.4.2区域突发环境应急预案编制情况与应急演练频次</w:t>
      </w:r>
    </w:p>
    <w:p w14:paraId="296FD834">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为完善炎陵县应急预案管理</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炎陵县发布了《炎陵县突发环境事件应急预案》。</w:t>
      </w:r>
    </w:p>
    <w:p w14:paraId="598CDA50">
      <w:pPr>
        <w:widowControl w:val="0"/>
        <w:kinsoku/>
        <w:autoSpaceDE/>
        <w:autoSpaceDN/>
        <w:adjustRightInd/>
        <w:snapToGrid/>
        <w:spacing w:line="440" w:lineRule="exact"/>
        <w:ind w:firstLine="561"/>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炎陵县的应急演练频次约1年/次。根据年度应急演练计划</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每年至少分别安排一次桌面演练和综合演练</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强化职工应急意识</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提高应急队伍的反应速度和实战能力。指定专人负责做好演练记录和总结。</w:t>
      </w:r>
    </w:p>
    <w:p w14:paraId="6799236B">
      <w:pPr>
        <w:widowControl w:val="0"/>
        <w:kinsoku/>
        <w:autoSpaceDE/>
        <w:autoSpaceDN/>
        <w:adjustRightInd/>
        <w:snapToGrid/>
        <w:spacing w:line="440" w:lineRule="exact"/>
        <w:ind w:firstLine="561"/>
        <w:textAlignment w:val="auto"/>
        <w:rPr>
          <w:rFonts w:ascii="Times New Roman" w:hAnsi="Times New Roman" w:eastAsia="宋体" w:cs="Times New Roman"/>
          <w:color w:val="auto"/>
          <w:lang w:eastAsia="zh-CN"/>
        </w:rPr>
        <w:sectPr>
          <w:footerReference r:id="rId11" w:type="default"/>
          <w:pgSz w:w="11906" w:h="16838"/>
          <w:pgMar w:top="1984" w:right="1474" w:bottom="1871" w:left="1587" w:header="851" w:footer="1587" w:gutter="0"/>
          <w:cols w:space="720" w:num="1"/>
          <w:titlePg/>
          <w:docGrid w:linePitch="312" w:charSpace="0"/>
        </w:sectPr>
      </w:pPr>
      <w:r>
        <w:rPr>
          <w:rFonts w:ascii="Times New Roman" w:hAnsi="Times New Roman" w:eastAsia="宋体" w:cs="Times New Roman"/>
          <w:snapToGrid/>
          <w:color w:val="auto"/>
          <w:kern w:val="2"/>
          <w:sz w:val="24"/>
          <w:szCs w:val="22"/>
          <w:lang w:eastAsia="zh-CN"/>
        </w:rPr>
        <w:t>建立环境事故隐患定期排查机制。对泄漏、爆炸、运输、非正常排放以及自然灾害引发的突发性事故的隐患进行实时监控和预警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并督促环境风险源企业进行自查。排查对象主要为：环境风险评估为较大以上等级的单位；危险废物集中处置单位；省级以上危险废物重点产生单位；应急管理部门认定的危险化学品重大危险源；近三年曾经发生过突发环境事件的企事业单位。</w:t>
      </w:r>
    </w:p>
    <w:p w14:paraId="1FEB6EDD">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228" w:name="_Toc3252"/>
      <w:bookmarkStart w:id="229" w:name="_Toc12509"/>
      <w:bookmarkStart w:id="230" w:name="_Toc10"/>
      <w:bookmarkStart w:id="231" w:name="_Toc6854"/>
      <w:bookmarkStart w:id="232" w:name="_Toc8782"/>
      <w:r>
        <w:rPr>
          <w:rFonts w:ascii="Times New Roman" w:hAnsi="Times New Roman" w:eastAsia="宋体" w:cs="Times New Roman"/>
          <w:b/>
          <w:bCs/>
          <w:snapToGrid/>
          <w:color w:val="auto"/>
          <w:kern w:val="44"/>
          <w:sz w:val="32"/>
          <w:szCs w:val="44"/>
          <w:lang w:eastAsia="zh-CN"/>
        </w:rPr>
        <w:t>3  环境风险评估子区域划分</w:t>
      </w:r>
      <w:bookmarkEnd w:id="228"/>
      <w:bookmarkEnd w:id="229"/>
      <w:bookmarkEnd w:id="230"/>
      <w:bookmarkEnd w:id="231"/>
      <w:bookmarkEnd w:id="232"/>
    </w:p>
    <w:p w14:paraId="5DBA12EC">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33" w:name="_Toc7889"/>
      <w:bookmarkStart w:id="234" w:name="_Toc13840"/>
      <w:bookmarkStart w:id="235" w:name="_Toc21589"/>
      <w:bookmarkStart w:id="236" w:name="_Toc18648"/>
      <w:bookmarkStart w:id="237" w:name="_Toc14879"/>
      <w:r>
        <w:rPr>
          <w:rFonts w:ascii="Times New Roman" w:hAnsi="Times New Roman" w:eastAsia="宋体" w:cs="Times New Roman"/>
          <w:b/>
          <w:bCs/>
          <w:snapToGrid/>
          <w:color w:val="auto"/>
          <w:kern w:val="2"/>
          <w:sz w:val="30"/>
          <w:szCs w:val="32"/>
          <w:lang w:eastAsia="zh-CN"/>
        </w:rPr>
        <w:t>3.1 按敏感目标类型划分评估子区域</w:t>
      </w:r>
      <w:bookmarkEnd w:id="233"/>
      <w:bookmarkEnd w:id="234"/>
      <w:bookmarkEnd w:id="235"/>
      <w:bookmarkEnd w:id="236"/>
      <w:bookmarkEnd w:id="237"/>
    </w:p>
    <w:p w14:paraId="3B6EB399">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38" w:name="_Toc7255"/>
      <w:bookmarkStart w:id="239" w:name="_Toc25745"/>
      <w:bookmarkStart w:id="240" w:name="_Toc22095"/>
      <w:bookmarkStart w:id="241" w:name="_Toc100"/>
      <w:bookmarkStart w:id="242" w:name="_Toc31326"/>
      <w:r>
        <w:rPr>
          <w:rFonts w:ascii="Times New Roman" w:hAnsi="Times New Roman" w:eastAsia="宋体" w:cs="Times New Roman"/>
          <w:b/>
          <w:bCs/>
          <w:snapToGrid/>
          <w:color w:val="auto"/>
          <w:kern w:val="2"/>
          <w:sz w:val="24"/>
          <w:szCs w:val="32"/>
          <w:lang w:eastAsia="zh-CN"/>
        </w:rPr>
        <w:t>3.1.1 水环境、大气环境风险评估子区域</w:t>
      </w:r>
      <w:bookmarkEnd w:id="238"/>
      <w:bookmarkEnd w:id="239"/>
      <w:bookmarkEnd w:id="240"/>
      <w:bookmarkEnd w:id="241"/>
      <w:bookmarkEnd w:id="242"/>
    </w:p>
    <w:p w14:paraId="4451F6A4">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根据环境风险受体识别结果</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利用GIS系统的缓冲区分析功能</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对每个环境风险受体进行缓冲区分析（缓冲区划分原则见表3.1.1-1）</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对重叠的缓冲区进行叠加合并</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形成水环境、大气环境事件风险评估子区域。</w:t>
      </w:r>
    </w:p>
    <w:p w14:paraId="4343BD44">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表3.1.1-1  缓冲区绘制原则</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106"/>
        <w:gridCol w:w="6266"/>
      </w:tblGrid>
      <w:tr w14:paraId="3F0F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noWrap w:val="0"/>
            <w:vAlign w:val="center"/>
          </w:tcPr>
          <w:p w14:paraId="05C8AD3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2106" w:type="dxa"/>
            <w:noWrap w:val="0"/>
            <w:vAlign w:val="center"/>
          </w:tcPr>
          <w:p w14:paraId="2F05105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环境风险受体类别</w:t>
            </w:r>
          </w:p>
        </w:tc>
        <w:tc>
          <w:tcPr>
            <w:tcW w:w="6266" w:type="dxa"/>
            <w:noWrap w:val="0"/>
            <w:vAlign w:val="center"/>
          </w:tcPr>
          <w:p w14:paraId="039BC99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缓冲区划分</w:t>
            </w:r>
          </w:p>
        </w:tc>
      </w:tr>
      <w:tr w14:paraId="08F2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89" w:type="dxa"/>
            <w:noWrap w:val="0"/>
            <w:vAlign w:val="center"/>
          </w:tcPr>
          <w:p w14:paraId="44AC87D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2106" w:type="dxa"/>
            <w:noWrap w:val="0"/>
            <w:vAlign w:val="center"/>
          </w:tcPr>
          <w:p w14:paraId="1E31941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水环境风险受体</w:t>
            </w:r>
          </w:p>
        </w:tc>
        <w:tc>
          <w:tcPr>
            <w:tcW w:w="6266" w:type="dxa"/>
            <w:noWrap w:val="0"/>
            <w:vAlign w:val="center"/>
          </w:tcPr>
          <w:p w14:paraId="7C3E8617">
            <w:pPr>
              <w:widowControl w:val="0"/>
              <w:overflowPunct w:val="0"/>
              <w:jc w:val="both"/>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①行政区域内上游流域汇水区作为缓冲区；</w:t>
            </w:r>
          </w:p>
          <w:p w14:paraId="44415D5E">
            <w:pPr>
              <w:widowControl w:val="0"/>
              <w:overflowPunct w:val="0"/>
              <w:jc w:val="both"/>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②水环境风险受体上游10公里跨行政区域的</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以上游10公里流域汇水区作为缓冲区；</w:t>
            </w:r>
          </w:p>
          <w:p w14:paraId="42D2CC6C">
            <w:pPr>
              <w:widowControl w:val="0"/>
              <w:overflowPunct w:val="0"/>
              <w:jc w:val="both"/>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③水环境风险受体上游10公里跨国界的</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以出境断面上游24小时流经范围（按最大日均流速计算）的汇水区作为缓冲区</w:t>
            </w:r>
          </w:p>
        </w:tc>
      </w:tr>
      <w:tr w14:paraId="0CE7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noWrap w:val="0"/>
            <w:vAlign w:val="center"/>
          </w:tcPr>
          <w:p w14:paraId="24CFAE8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2106" w:type="dxa"/>
            <w:noWrap w:val="0"/>
            <w:vAlign w:val="center"/>
          </w:tcPr>
          <w:p w14:paraId="2E50A5C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大气环境风险受体</w:t>
            </w:r>
          </w:p>
        </w:tc>
        <w:tc>
          <w:tcPr>
            <w:tcW w:w="6266" w:type="dxa"/>
            <w:noWrap w:val="0"/>
            <w:vAlign w:val="center"/>
          </w:tcPr>
          <w:p w14:paraId="4FE1CE23">
            <w:pPr>
              <w:widowControl w:val="0"/>
              <w:overflowPunct w:val="0"/>
              <w:jc w:val="both"/>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①以5公里为半径的区域作为缓冲区；</w:t>
            </w:r>
          </w:p>
          <w:p w14:paraId="6B78B75B">
            <w:pPr>
              <w:widowControl w:val="0"/>
              <w:overflowPunct w:val="0"/>
              <w:jc w:val="both"/>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②若为山谷、盆地等复杂地形</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则按照实际情况划定。</w:t>
            </w:r>
          </w:p>
        </w:tc>
      </w:tr>
    </w:tbl>
    <w:p w14:paraId="04E9B0C1">
      <w:pPr>
        <w:widowControl w:val="0"/>
        <w:kinsoku/>
        <w:autoSpaceDE/>
        <w:autoSpaceDN/>
        <w:adjustRightInd/>
        <w:snapToGrid/>
        <w:spacing w:before="120" w:beforeLines="5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（1）水环境风险评估子区域</w:t>
      </w:r>
    </w:p>
    <w:p w14:paraId="41838AB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根据资料分析可知</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风险评估区域内水环境风险受体是水源保护区</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按照缓冲区划分原则</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水源保护区上游汇水区应作为区域内水环境风险受体的水体缓冲区。水源保护区上游汇水区重叠的缓冲区作为水环境风险评估的子区域。</w:t>
      </w:r>
    </w:p>
    <w:p w14:paraId="5550706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（2）大气环境风险评估子区域</w:t>
      </w:r>
    </w:p>
    <w:p w14:paraId="2BBEB3A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4"/>
          <w:lang w:eastAsia="zh-CN"/>
        </w:rPr>
        <w:t>根据大气环境事件风险评估子区域的划分依据</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选取评估区域内的大气环境风险受体以5公里为半径划缓冲区</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取缓冲区的重叠区域作为大气环境风险评估子区域。</w:t>
      </w:r>
    </w:p>
    <w:p w14:paraId="004B22C8">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43" w:name="_Toc12716"/>
      <w:bookmarkStart w:id="244" w:name="_Toc9217"/>
      <w:bookmarkStart w:id="245" w:name="_Toc15142"/>
      <w:bookmarkStart w:id="246" w:name="_Toc6172"/>
      <w:bookmarkStart w:id="247" w:name="_Toc7052"/>
      <w:r>
        <w:rPr>
          <w:rFonts w:ascii="Times New Roman" w:hAnsi="Times New Roman" w:eastAsia="宋体" w:cs="Times New Roman"/>
          <w:b/>
          <w:bCs/>
          <w:snapToGrid/>
          <w:color w:val="auto"/>
          <w:kern w:val="2"/>
          <w:sz w:val="24"/>
          <w:szCs w:val="32"/>
          <w:lang w:eastAsia="zh-CN"/>
        </w:rPr>
        <w:t>3.1.2 综合环境风险评估子区域</w:t>
      </w:r>
      <w:bookmarkEnd w:id="243"/>
      <w:bookmarkEnd w:id="244"/>
      <w:bookmarkEnd w:id="245"/>
      <w:bookmarkEnd w:id="246"/>
      <w:bookmarkEnd w:id="247"/>
    </w:p>
    <w:p w14:paraId="72A011F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根据水环境风险评估子区域、大气环境风险评估子区域的划分结果</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结合炎陵县行政边界进行叠加得到综合环境风险评估区域。</w:t>
      </w:r>
    </w:p>
    <w:p w14:paraId="2B20729F">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48" w:name="_Toc16423"/>
      <w:bookmarkStart w:id="249" w:name="_Toc20236"/>
      <w:bookmarkStart w:id="250" w:name="_Toc16211"/>
      <w:bookmarkStart w:id="251" w:name="_Toc22114"/>
      <w:bookmarkStart w:id="252" w:name="_Toc9307"/>
      <w:r>
        <w:rPr>
          <w:rFonts w:ascii="Times New Roman" w:hAnsi="Times New Roman" w:eastAsia="宋体" w:cs="Times New Roman"/>
          <w:b/>
          <w:bCs/>
          <w:snapToGrid/>
          <w:color w:val="auto"/>
          <w:kern w:val="2"/>
          <w:sz w:val="30"/>
          <w:szCs w:val="32"/>
          <w:lang w:eastAsia="zh-CN"/>
        </w:rPr>
        <w:t>3.2 按下级行政区域边界划分评估子区域</w:t>
      </w:r>
      <w:bookmarkEnd w:id="248"/>
      <w:bookmarkEnd w:id="249"/>
      <w:bookmarkEnd w:id="250"/>
      <w:bookmarkEnd w:id="251"/>
      <w:bookmarkEnd w:id="252"/>
    </w:p>
    <w:p w14:paraId="5F8F99C1">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炎陵县下辖10个乡镇</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还有1个高新技术产业开发区</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在不考虑跨界影响的情况下</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按照评估区域的下级行政区域评估子区域</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故按照炎陵县下辖乡镇和高新区划分11个评估子区域</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并分别计算每个下级行政区的风险指数</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各乡镇和高新区风险指数计算见第4章节。</w:t>
      </w:r>
    </w:p>
    <w:p w14:paraId="165223CC">
      <w:pPr>
        <w:rPr>
          <w:rFonts w:ascii="Times New Roman" w:hAnsi="Times New Roman" w:eastAsia="宋体" w:cs="Times New Roman"/>
          <w:color w:val="auto"/>
          <w:lang w:eastAsia="zh-CN"/>
        </w:rPr>
        <w:sectPr>
          <w:footerReference r:id="rId12" w:type="default"/>
          <w:pgSz w:w="11906" w:h="16838"/>
          <w:pgMar w:top="1984" w:right="1474" w:bottom="1871" w:left="1587" w:header="851" w:footer="1587" w:gutter="0"/>
          <w:cols w:space="720" w:num="1"/>
          <w:titlePg/>
          <w:docGrid w:linePitch="312" w:charSpace="0"/>
        </w:sectPr>
      </w:pPr>
    </w:p>
    <w:p w14:paraId="0C0B760F">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253" w:name="_Toc23580"/>
      <w:bookmarkStart w:id="254" w:name="_Toc1431"/>
      <w:bookmarkStart w:id="255" w:name="_Toc7098"/>
      <w:bookmarkStart w:id="256" w:name="_Toc18790"/>
      <w:bookmarkStart w:id="257" w:name="_Toc1888"/>
      <w:r>
        <w:rPr>
          <w:rFonts w:ascii="Times New Roman" w:hAnsi="Times New Roman" w:eastAsia="宋体" w:cs="Times New Roman"/>
          <w:b/>
          <w:bCs/>
          <w:snapToGrid/>
          <w:color w:val="auto"/>
          <w:kern w:val="44"/>
          <w:sz w:val="32"/>
          <w:szCs w:val="44"/>
          <w:lang w:eastAsia="zh-CN"/>
        </w:rPr>
        <w:t>4  环境风险分析</w:t>
      </w:r>
      <w:bookmarkEnd w:id="253"/>
      <w:bookmarkEnd w:id="254"/>
      <w:bookmarkEnd w:id="255"/>
      <w:bookmarkEnd w:id="256"/>
      <w:bookmarkEnd w:id="257"/>
    </w:p>
    <w:p w14:paraId="270B5EEF">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58" w:name="_Toc28811"/>
      <w:bookmarkStart w:id="259" w:name="_Toc23713"/>
      <w:bookmarkStart w:id="260" w:name="_Toc27642"/>
      <w:bookmarkStart w:id="261" w:name="_Toc31008"/>
      <w:bookmarkStart w:id="262" w:name="_Toc6825"/>
      <w:r>
        <w:rPr>
          <w:rFonts w:ascii="Times New Roman" w:hAnsi="Times New Roman" w:eastAsia="宋体" w:cs="Times New Roman"/>
          <w:b/>
          <w:bCs/>
          <w:snapToGrid/>
          <w:color w:val="auto"/>
          <w:kern w:val="2"/>
          <w:sz w:val="30"/>
          <w:szCs w:val="32"/>
          <w:lang w:eastAsia="zh-CN"/>
        </w:rPr>
        <w:t>4.1 环境风险指数计算</w:t>
      </w:r>
      <w:bookmarkEnd w:id="258"/>
      <w:bookmarkEnd w:id="259"/>
      <w:bookmarkEnd w:id="260"/>
      <w:bookmarkEnd w:id="261"/>
      <w:bookmarkEnd w:id="262"/>
    </w:p>
    <w:p w14:paraId="6CD12EB3">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环境风险指数计算法（以下简称指数法）包括水环境风险指数计算、大气环境风险指数计算和综合环境风险指数计算</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在已搜集的资料和环境风险识别的基础上</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参照《行政区域突发环境风险评估推荐方法》附1分别确定水、大气、综合环境风险指标</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对环境风险源强度指数（S）、环境风险受体脆弱性指数（V）、环境风险防控与应急能力（M）的各项指标分别打分并求和</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得出数值。工作程序见下图：</w:t>
      </w:r>
    </w:p>
    <w:p w14:paraId="7BB45232">
      <w:pPr>
        <w:widowControl w:val="0"/>
        <w:kinsoku/>
        <w:autoSpaceDE/>
        <w:autoSpaceDN/>
        <w:adjustRightInd/>
        <w:snapToGrid/>
        <w:spacing w:line="360" w:lineRule="auto"/>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object>
          <v:shape id="_x0000_i1025" o:spt="75" type="#_x0000_t75" style="height:223.55pt;width:417pt;" o:ole="t" filled="f" o:preferrelative="t" stroked="f" coordsize="21600,21600">
            <v:path/>
            <v:fill on="f" focussize="0,0"/>
            <v:stroke on="f"/>
            <v:imagedata r:id="rId20" o:title=""/>
            <o:lock v:ext="edit" aspectratio="t"/>
            <w10:wrap type="none"/>
            <w10:anchorlock/>
          </v:shape>
          <o:OLEObject Type="Embed" ProgID="Visio.Drawing.15" ShapeID="_x0000_i1025" DrawAspect="Content" ObjectID="_1468075725" r:id="rId19">
            <o:LockedField>false</o:LockedField>
          </o:OLEObject>
        </w:object>
      </w:r>
    </w:p>
    <w:p w14:paraId="22D0365C">
      <w:pPr>
        <w:widowControl w:val="0"/>
        <w:kinsoku/>
        <w:autoSpaceDE/>
        <w:autoSpaceDN/>
        <w:adjustRightInd/>
        <w:snapToGrid/>
        <w:spacing w:line="360" w:lineRule="auto"/>
        <w:jc w:val="center"/>
        <w:textAlignment w:val="auto"/>
        <w:rPr>
          <w:rFonts w:ascii="Times New Roman" w:hAnsi="Times New Roman" w:eastAsia="宋体" w:cs="Times New Roman"/>
          <w:b/>
          <w:bCs/>
          <w:snapToGrid/>
          <w:color w:val="auto"/>
          <w:kern w:val="2"/>
          <w:sz w:val="24"/>
          <w:szCs w:val="22"/>
          <w:lang w:eastAsia="zh-CN"/>
        </w:rPr>
      </w:pPr>
      <w:r>
        <w:rPr>
          <w:rFonts w:ascii="Times New Roman" w:hAnsi="Times New Roman" w:eastAsia="宋体" w:cs="Times New Roman"/>
          <w:b/>
          <w:bCs/>
          <w:snapToGrid/>
          <w:color w:val="auto"/>
          <w:kern w:val="2"/>
          <w:sz w:val="24"/>
          <w:szCs w:val="22"/>
          <w:lang w:eastAsia="zh-CN"/>
        </w:rPr>
        <w:t>图4.1-1 行政区域突发环境事件风险等级划分程序</w:t>
      </w:r>
    </w:p>
    <w:p w14:paraId="3904F2A9">
      <w:pPr>
        <w:rPr>
          <w:lang w:eastAsia="zh-CN"/>
        </w:rPr>
      </w:pPr>
      <w:bookmarkStart w:id="263" w:name="_Toc28354"/>
      <w:bookmarkStart w:id="264" w:name="_Toc25576"/>
      <w:bookmarkStart w:id="265" w:name="_Toc24820"/>
    </w:p>
    <w:p w14:paraId="400181ED">
      <w:pPr>
        <w:rPr>
          <w:lang w:eastAsia="zh-CN"/>
        </w:rPr>
      </w:pPr>
    </w:p>
    <w:p w14:paraId="0471F500">
      <w:pPr>
        <w:rPr>
          <w:lang w:eastAsia="zh-CN"/>
        </w:rPr>
      </w:pPr>
    </w:p>
    <w:p w14:paraId="26C312AD">
      <w:pPr>
        <w:rPr>
          <w:lang w:eastAsia="zh-CN"/>
        </w:rPr>
      </w:pPr>
    </w:p>
    <w:p w14:paraId="2307A174">
      <w:pPr>
        <w:rPr>
          <w:lang w:eastAsia="zh-CN"/>
        </w:rPr>
      </w:pPr>
    </w:p>
    <w:p w14:paraId="2D5DAA30">
      <w:pPr>
        <w:rPr>
          <w:lang w:eastAsia="zh-CN"/>
        </w:rPr>
      </w:pPr>
    </w:p>
    <w:p w14:paraId="14C52DA9">
      <w:pPr>
        <w:rPr>
          <w:lang w:eastAsia="zh-CN"/>
        </w:rPr>
      </w:pPr>
    </w:p>
    <w:p w14:paraId="456299C1">
      <w:pPr>
        <w:rPr>
          <w:lang w:eastAsia="zh-CN"/>
        </w:rPr>
      </w:pPr>
    </w:p>
    <w:p w14:paraId="0F502592">
      <w:pPr>
        <w:rPr>
          <w:lang w:eastAsia="zh-CN"/>
        </w:rPr>
      </w:pPr>
    </w:p>
    <w:p w14:paraId="0A66106F">
      <w:pPr>
        <w:rPr>
          <w:lang w:eastAsia="zh-CN"/>
        </w:rPr>
      </w:pPr>
    </w:p>
    <w:p w14:paraId="4E2E0F7A">
      <w:pPr>
        <w:rPr>
          <w:lang w:eastAsia="zh-CN"/>
        </w:rPr>
      </w:pPr>
    </w:p>
    <w:p w14:paraId="304BCEAE">
      <w:pPr>
        <w:rPr>
          <w:lang w:eastAsia="zh-CN"/>
        </w:rPr>
      </w:pPr>
    </w:p>
    <w:p w14:paraId="5615C705">
      <w:pPr>
        <w:rPr>
          <w:lang w:eastAsia="zh-CN"/>
        </w:rPr>
      </w:pPr>
    </w:p>
    <w:p w14:paraId="7DB4E412">
      <w:pPr>
        <w:rPr>
          <w:lang w:eastAsia="zh-CN"/>
        </w:rPr>
      </w:pPr>
    </w:p>
    <w:p w14:paraId="68438574">
      <w:pPr>
        <w:rPr>
          <w:lang w:eastAsia="zh-CN"/>
        </w:rPr>
      </w:pPr>
    </w:p>
    <w:p w14:paraId="18B0429B">
      <w:pPr>
        <w:rPr>
          <w:lang w:eastAsia="zh-CN"/>
        </w:rPr>
      </w:pPr>
    </w:p>
    <w:p w14:paraId="298E7908">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66" w:name="_Toc7536"/>
      <w:bookmarkStart w:id="267" w:name="_Toc19949"/>
      <w:r>
        <w:rPr>
          <w:rFonts w:ascii="Times New Roman" w:hAnsi="Times New Roman" w:eastAsia="宋体" w:cs="Times New Roman"/>
          <w:b/>
          <w:bCs/>
          <w:snapToGrid/>
          <w:color w:val="auto"/>
          <w:kern w:val="2"/>
          <w:sz w:val="30"/>
          <w:szCs w:val="32"/>
          <w:lang w:eastAsia="zh-CN"/>
        </w:rPr>
        <w:t>4.2 环境风险指数计算结果</w:t>
      </w:r>
      <w:bookmarkEnd w:id="263"/>
      <w:bookmarkEnd w:id="264"/>
      <w:bookmarkEnd w:id="265"/>
      <w:bookmarkEnd w:id="266"/>
      <w:bookmarkEnd w:id="267"/>
    </w:p>
    <w:p w14:paraId="31AB73E0">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各乡镇</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高新区环境风险指数计算汇总结果如表4.2-1所示。</w:t>
      </w:r>
    </w:p>
    <w:p w14:paraId="37F033DF">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表4.2-1  炎陵县各乡镇</w:t>
      </w:r>
      <w:r>
        <w:rPr>
          <w:rFonts w:hint="eastAsia" w:ascii="Times New Roman" w:hAnsi="Times New Roman" w:eastAsia="宋体" w:cs="Times New Roman"/>
          <w:b/>
          <w:snapToGrid/>
          <w:color w:val="auto"/>
          <w:kern w:val="2"/>
          <w:sz w:val="24"/>
          <w:szCs w:val="28"/>
          <w:lang w:eastAsia="zh-CN"/>
        </w:rPr>
        <w:t>、</w:t>
      </w:r>
      <w:r>
        <w:rPr>
          <w:rFonts w:ascii="Times New Roman" w:hAnsi="Times New Roman" w:eastAsia="宋体" w:cs="Times New Roman"/>
          <w:b/>
          <w:snapToGrid/>
          <w:color w:val="auto"/>
          <w:kern w:val="2"/>
          <w:sz w:val="24"/>
          <w:szCs w:val="28"/>
          <w:lang w:eastAsia="zh-CN"/>
        </w:rPr>
        <w:t>高新区环境风险指数计算结果汇总</w:t>
      </w: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6"/>
        <w:gridCol w:w="1756"/>
        <w:gridCol w:w="2067"/>
        <w:gridCol w:w="2301"/>
        <w:gridCol w:w="2294"/>
      </w:tblGrid>
      <w:tr w14:paraId="322D7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59A190B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1756" w:type="dxa"/>
            <w:noWrap w:val="0"/>
            <w:tcMar>
              <w:top w:w="0" w:type="dxa"/>
              <w:left w:w="17" w:type="dxa"/>
              <w:bottom w:w="0" w:type="dxa"/>
              <w:right w:w="17" w:type="dxa"/>
            </w:tcMar>
            <w:vAlign w:val="center"/>
          </w:tcPr>
          <w:p w14:paraId="298756C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名称</w:t>
            </w:r>
          </w:p>
        </w:tc>
        <w:tc>
          <w:tcPr>
            <w:tcW w:w="2067" w:type="dxa"/>
            <w:noWrap w:val="0"/>
            <w:tcMar>
              <w:top w:w="0" w:type="dxa"/>
              <w:left w:w="17" w:type="dxa"/>
              <w:bottom w:w="0" w:type="dxa"/>
              <w:right w:w="17" w:type="dxa"/>
            </w:tcMar>
            <w:vAlign w:val="center"/>
          </w:tcPr>
          <w:p w14:paraId="0947076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水环境风险指数R</w:t>
            </w:r>
            <w:r>
              <w:rPr>
                <w:rFonts w:ascii="Times New Roman" w:hAnsi="Times New Roman" w:eastAsia="宋体" w:cs="Times New Roman"/>
                <w:bCs/>
                <w:color w:val="auto"/>
                <w:szCs w:val="24"/>
                <w:vertAlign w:val="subscript"/>
                <w:lang w:eastAsia="zh-CN"/>
              </w:rPr>
              <w:t>水</w:t>
            </w:r>
          </w:p>
        </w:tc>
        <w:tc>
          <w:tcPr>
            <w:tcW w:w="2301" w:type="dxa"/>
            <w:noWrap w:val="0"/>
            <w:tcMar>
              <w:top w:w="0" w:type="dxa"/>
              <w:left w:w="17" w:type="dxa"/>
              <w:bottom w:w="0" w:type="dxa"/>
              <w:right w:w="17" w:type="dxa"/>
            </w:tcMar>
            <w:vAlign w:val="center"/>
          </w:tcPr>
          <w:p w14:paraId="3CB1FD0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大气环境风险指数R</w:t>
            </w:r>
            <w:r>
              <w:rPr>
                <w:rFonts w:ascii="Times New Roman" w:hAnsi="Times New Roman" w:eastAsia="宋体" w:cs="Times New Roman"/>
                <w:bCs/>
                <w:color w:val="auto"/>
                <w:szCs w:val="24"/>
                <w:vertAlign w:val="subscript"/>
                <w:lang w:eastAsia="zh-CN"/>
              </w:rPr>
              <w:t>大气</w:t>
            </w:r>
          </w:p>
        </w:tc>
        <w:tc>
          <w:tcPr>
            <w:tcW w:w="2294" w:type="dxa"/>
            <w:noWrap w:val="0"/>
            <w:tcMar>
              <w:top w:w="0" w:type="dxa"/>
              <w:left w:w="17" w:type="dxa"/>
              <w:bottom w:w="0" w:type="dxa"/>
              <w:right w:w="17" w:type="dxa"/>
            </w:tcMar>
            <w:vAlign w:val="center"/>
          </w:tcPr>
          <w:p w14:paraId="07E51F5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综合环境风险指数R</w:t>
            </w:r>
            <w:r>
              <w:rPr>
                <w:rFonts w:ascii="Times New Roman" w:hAnsi="Times New Roman" w:eastAsia="宋体" w:cs="Times New Roman"/>
                <w:bCs/>
                <w:color w:val="auto"/>
                <w:szCs w:val="24"/>
                <w:vertAlign w:val="subscript"/>
                <w:lang w:eastAsia="zh-CN"/>
              </w:rPr>
              <w:t>综合</w:t>
            </w:r>
          </w:p>
        </w:tc>
      </w:tr>
      <w:tr w14:paraId="50E5A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38C3B96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1756" w:type="dxa"/>
            <w:noWrap w:val="0"/>
            <w:tcMar>
              <w:top w:w="0" w:type="dxa"/>
              <w:left w:w="17" w:type="dxa"/>
              <w:bottom w:w="0" w:type="dxa"/>
              <w:right w:w="17" w:type="dxa"/>
            </w:tcMar>
            <w:vAlign w:val="center"/>
          </w:tcPr>
          <w:p w14:paraId="5998E3F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霞阳镇</w:t>
            </w:r>
          </w:p>
        </w:tc>
        <w:tc>
          <w:tcPr>
            <w:tcW w:w="2067" w:type="dxa"/>
            <w:noWrap w:val="0"/>
            <w:tcMar>
              <w:top w:w="0" w:type="dxa"/>
              <w:left w:w="17" w:type="dxa"/>
              <w:bottom w:w="0" w:type="dxa"/>
              <w:right w:w="17" w:type="dxa"/>
            </w:tcMar>
            <w:vAlign w:val="center"/>
          </w:tcPr>
          <w:p w14:paraId="70B9A041">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25.91</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14</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46</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27</w:t>
            </w:r>
          </w:p>
        </w:tc>
        <w:tc>
          <w:tcPr>
            <w:tcW w:w="2301" w:type="dxa"/>
            <w:noWrap w:val="0"/>
            <w:tcMar>
              <w:top w:w="0" w:type="dxa"/>
              <w:left w:w="17" w:type="dxa"/>
              <w:bottom w:w="0" w:type="dxa"/>
              <w:right w:w="17" w:type="dxa"/>
            </w:tcMar>
            <w:vAlign w:val="center"/>
          </w:tcPr>
          <w:p w14:paraId="6BE970E4">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27.98</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14</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34</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c>
          <w:tcPr>
            <w:tcW w:w="2294" w:type="dxa"/>
            <w:noWrap w:val="0"/>
            <w:tcMar>
              <w:top w:w="0" w:type="dxa"/>
              <w:left w:w="17" w:type="dxa"/>
              <w:bottom w:w="0" w:type="dxa"/>
              <w:right w:w="17" w:type="dxa"/>
            </w:tcMar>
            <w:vAlign w:val="center"/>
          </w:tcPr>
          <w:p w14:paraId="7696B615">
            <w:pPr>
              <w:widowControl w:val="0"/>
              <w:overflowPunct w:val="0"/>
              <w:jc w:val="center"/>
              <w:rPr>
                <w:rFonts w:hint="eastAsia"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25.89</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14</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M3</w:t>
            </w:r>
            <w:r>
              <w:rPr>
                <w:rFonts w:hint="eastAsia" w:ascii="Times New Roman" w:hAnsi="Times New Roman" w:eastAsia="宋体" w:cs="Times New Roman"/>
                <w:bCs/>
                <w:color w:val="auto"/>
                <w:szCs w:val="24"/>
                <w:lang w:eastAsia="zh-CN"/>
              </w:rPr>
              <w:t>1</w:t>
            </w:r>
          </w:p>
        </w:tc>
      </w:tr>
      <w:tr w14:paraId="76308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24F09D5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1756" w:type="dxa"/>
            <w:noWrap w:val="0"/>
            <w:tcMar>
              <w:top w:w="0" w:type="dxa"/>
              <w:left w:w="17" w:type="dxa"/>
              <w:bottom w:w="0" w:type="dxa"/>
              <w:right w:w="17" w:type="dxa"/>
            </w:tcMar>
            <w:vAlign w:val="center"/>
          </w:tcPr>
          <w:p w14:paraId="4E7E300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沔渡镇</w:t>
            </w:r>
          </w:p>
        </w:tc>
        <w:tc>
          <w:tcPr>
            <w:tcW w:w="2067" w:type="dxa"/>
            <w:noWrap w:val="0"/>
            <w:tcMar>
              <w:top w:w="0" w:type="dxa"/>
              <w:left w:w="17" w:type="dxa"/>
              <w:bottom w:w="0" w:type="dxa"/>
              <w:right w:w="17" w:type="dxa"/>
            </w:tcMar>
            <w:vAlign w:val="center"/>
          </w:tcPr>
          <w:p w14:paraId="28C2A192">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27.22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7F48E2A4">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1C65113A">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24.38</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126BE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515F55D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1756" w:type="dxa"/>
            <w:noWrap w:val="0"/>
            <w:tcMar>
              <w:top w:w="0" w:type="dxa"/>
              <w:left w:w="17" w:type="dxa"/>
              <w:bottom w:w="0" w:type="dxa"/>
              <w:right w:w="17" w:type="dxa"/>
            </w:tcMar>
            <w:vAlign w:val="center"/>
          </w:tcPr>
          <w:p w14:paraId="7313364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鹿原镇</w:t>
            </w:r>
          </w:p>
        </w:tc>
        <w:tc>
          <w:tcPr>
            <w:tcW w:w="2067" w:type="dxa"/>
            <w:noWrap w:val="0"/>
            <w:tcMar>
              <w:top w:w="0" w:type="dxa"/>
              <w:left w:w="17" w:type="dxa"/>
              <w:bottom w:w="0" w:type="dxa"/>
              <w:right w:w="17" w:type="dxa"/>
            </w:tcMar>
            <w:vAlign w:val="center"/>
          </w:tcPr>
          <w:p w14:paraId="34B7565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r>
              <w:rPr>
                <w:rFonts w:hint="eastAsia" w:ascii="Times New Roman" w:hAnsi="Times New Roman" w:eastAsia="宋体" w:cs="Times New Roman"/>
                <w:bCs/>
                <w:color w:val="auto"/>
                <w:szCs w:val="24"/>
                <w:lang w:eastAsia="zh-CN"/>
              </w:rPr>
              <w:t>6.75</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38</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w:t>
            </w:r>
            <w:r>
              <w:rPr>
                <w:rFonts w:ascii="Times New Roman" w:hAnsi="Times New Roman" w:eastAsia="宋体" w:cs="Times New Roman"/>
                <w:bCs/>
                <w:color w:val="auto"/>
                <w:szCs w:val="24"/>
                <w:lang w:eastAsia="zh-CN"/>
              </w:rPr>
              <w:t>6</w:t>
            </w:r>
          </w:p>
        </w:tc>
        <w:tc>
          <w:tcPr>
            <w:tcW w:w="2301" w:type="dxa"/>
            <w:noWrap w:val="0"/>
            <w:tcMar>
              <w:top w:w="0" w:type="dxa"/>
              <w:left w:w="17" w:type="dxa"/>
              <w:bottom w:w="0" w:type="dxa"/>
              <w:right w:w="17" w:type="dxa"/>
            </w:tcMar>
            <w:vAlign w:val="center"/>
          </w:tcPr>
          <w:p w14:paraId="30D286E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r>
              <w:rPr>
                <w:rFonts w:hint="eastAsia" w:ascii="Times New Roman" w:hAnsi="Times New Roman" w:eastAsia="宋体" w:cs="Times New Roman"/>
                <w:bCs/>
                <w:color w:val="auto"/>
                <w:szCs w:val="24"/>
                <w:lang w:eastAsia="zh-CN"/>
              </w:rPr>
              <w:t>7.50</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34</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4984A27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r>
              <w:rPr>
                <w:rFonts w:hint="eastAsia" w:ascii="Times New Roman" w:hAnsi="Times New Roman" w:eastAsia="宋体" w:cs="Times New Roman"/>
                <w:bCs/>
                <w:color w:val="auto"/>
                <w:szCs w:val="24"/>
                <w:lang w:eastAsia="zh-CN"/>
              </w:rPr>
              <w:t>4.61</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36</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57C73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4A34A37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w:t>
            </w:r>
          </w:p>
        </w:tc>
        <w:tc>
          <w:tcPr>
            <w:tcW w:w="1756" w:type="dxa"/>
            <w:noWrap w:val="0"/>
            <w:tcMar>
              <w:top w:w="0" w:type="dxa"/>
              <w:left w:w="17" w:type="dxa"/>
              <w:bottom w:w="0" w:type="dxa"/>
              <w:right w:w="17" w:type="dxa"/>
            </w:tcMar>
            <w:vAlign w:val="center"/>
          </w:tcPr>
          <w:p w14:paraId="157253A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十都镇</w:t>
            </w:r>
          </w:p>
        </w:tc>
        <w:tc>
          <w:tcPr>
            <w:tcW w:w="2067" w:type="dxa"/>
            <w:noWrap w:val="0"/>
            <w:tcMar>
              <w:top w:w="0" w:type="dxa"/>
              <w:left w:w="17" w:type="dxa"/>
              <w:bottom w:w="0" w:type="dxa"/>
              <w:right w:w="17" w:type="dxa"/>
            </w:tcMar>
            <w:vAlign w:val="center"/>
          </w:tcPr>
          <w:p w14:paraId="22C1A850">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27.22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55AD6E05">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02D3B79B">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24.38</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58323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73AD611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w:t>
            </w:r>
          </w:p>
        </w:tc>
        <w:tc>
          <w:tcPr>
            <w:tcW w:w="1756" w:type="dxa"/>
            <w:noWrap w:val="0"/>
            <w:tcMar>
              <w:top w:w="0" w:type="dxa"/>
              <w:left w:w="17" w:type="dxa"/>
              <w:bottom w:w="0" w:type="dxa"/>
              <w:right w:w="17" w:type="dxa"/>
            </w:tcMar>
            <w:vAlign w:val="center"/>
          </w:tcPr>
          <w:p w14:paraId="707B66B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水口镇</w:t>
            </w:r>
          </w:p>
        </w:tc>
        <w:tc>
          <w:tcPr>
            <w:tcW w:w="2067" w:type="dxa"/>
            <w:noWrap w:val="0"/>
            <w:tcMar>
              <w:top w:w="0" w:type="dxa"/>
              <w:left w:w="17" w:type="dxa"/>
              <w:bottom w:w="0" w:type="dxa"/>
              <w:right w:w="17" w:type="dxa"/>
            </w:tcMar>
            <w:vAlign w:val="center"/>
          </w:tcPr>
          <w:p w14:paraId="37DB338D">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27.22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13814FC2">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5F601834">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24.38</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07C9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456" w:type="dxa"/>
            <w:noWrap w:val="0"/>
            <w:tcMar>
              <w:top w:w="0" w:type="dxa"/>
              <w:left w:w="17" w:type="dxa"/>
              <w:bottom w:w="0" w:type="dxa"/>
              <w:right w:w="17" w:type="dxa"/>
            </w:tcMar>
            <w:vAlign w:val="center"/>
          </w:tcPr>
          <w:p w14:paraId="671B10E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w:t>
            </w:r>
          </w:p>
        </w:tc>
        <w:tc>
          <w:tcPr>
            <w:tcW w:w="1756" w:type="dxa"/>
            <w:noWrap w:val="0"/>
            <w:tcMar>
              <w:top w:w="0" w:type="dxa"/>
              <w:left w:w="17" w:type="dxa"/>
              <w:bottom w:w="0" w:type="dxa"/>
              <w:right w:w="17" w:type="dxa"/>
            </w:tcMar>
            <w:vAlign w:val="center"/>
          </w:tcPr>
          <w:p w14:paraId="281EBE5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中村瑶族乡</w:t>
            </w:r>
          </w:p>
        </w:tc>
        <w:tc>
          <w:tcPr>
            <w:tcW w:w="2067" w:type="dxa"/>
            <w:noWrap w:val="0"/>
            <w:tcMar>
              <w:top w:w="0" w:type="dxa"/>
              <w:left w:w="17" w:type="dxa"/>
              <w:bottom w:w="0" w:type="dxa"/>
              <w:right w:w="17" w:type="dxa"/>
            </w:tcMar>
            <w:vAlign w:val="center"/>
          </w:tcPr>
          <w:p w14:paraId="5FA79402">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25.53</w:t>
            </w:r>
            <w:r>
              <w:rPr>
                <w:rFonts w:ascii="Times New Roman" w:hAnsi="Times New Roman" w:eastAsia="宋体" w:cs="Times New Roman"/>
                <w:bCs/>
                <w:color w:val="auto"/>
                <w:szCs w:val="24"/>
                <w:lang w:eastAsia="zh-CN"/>
              </w:rPr>
              <w:t>-L-S9V</w:t>
            </w:r>
            <w:r>
              <w:rPr>
                <w:rFonts w:hint="eastAsia" w:ascii="Times New Roman" w:hAnsi="Times New Roman" w:eastAsia="宋体" w:cs="Times New Roman"/>
                <w:bCs/>
                <w:color w:val="auto"/>
                <w:szCs w:val="24"/>
                <w:lang w:eastAsia="zh-CN"/>
              </w:rPr>
              <w:t>33</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1E922D7C">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-L-S9V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w:t>
            </w:r>
            <w:r>
              <w:rPr>
                <w:rFonts w:ascii="Times New Roman" w:hAnsi="Times New Roman" w:eastAsia="宋体" w:cs="Times New Roman"/>
                <w:bCs/>
                <w:color w:val="auto"/>
                <w:szCs w:val="24"/>
                <w:lang w:eastAsia="zh-CN"/>
              </w:rPr>
              <w:t>8</w:t>
            </w:r>
          </w:p>
        </w:tc>
        <w:tc>
          <w:tcPr>
            <w:tcW w:w="2294" w:type="dxa"/>
            <w:noWrap w:val="0"/>
            <w:tcMar>
              <w:top w:w="0" w:type="dxa"/>
              <w:left w:w="17" w:type="dxa"/>
              <w:bottom w:w="0" w:type="dxa"/>
              <w:right w:w="17" w:type="dxa"/>
            </w:tcMar>
            <w:vAlign w:val="center"/>
          </w:tcPr>
          <w:p w14:paraId="7E780CBE">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23.16</w:t>
            </w:r>
            <w:r>
              <w:rPr>
                <w:rFonts w:ascii="Times New Roman" w:hAnsi="Times New Roman" w:eastAsia="宋体" w:cs="Times New Roman"/>
                <w:bCs/>
                <w:color w:val="auto"/>
                <w:szCs w:val="24"/>
                <w:lang w:eastAsia="zh-CN"/>
              </w:rPr>
              <w:t>-L-S9V3</w:t>
            </w:r>
            <w:r>
              <w:rPr>
                <w:rFonts w:hint="eastAsia" w:ascii="Times New Roman" w:hAnsi="Times New Roman" w:eastAsia="宋体" w:cs="Times New Roman"/>
                <w:bCs/>
                <w:color w:val="auto"/>
                <w:szCs w:val="24"/>
                <w:lang w:eastAsia="zh-CN"/>
              </w:rPr>
              <w:t>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506CF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6" w:type="dxa"/>
            <w:noWrap w:val="0"/>
            <w:tcMar>
              <w:top w:w="0" w:type="dxa"/>
              <w:left w:w="17" w:type="dxa"/>
              <w:bottom w:w="0" w:type="dxa"/>
              <w:right w:w="17" w:type="dxa"/>
            </w:tcMar>
            <w:vAlign w:val="center"/>
          </w:tcPr>
          <w:p w14:paraId="356AF16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w:t>
            </w:r>
          </w:p>
        </w:tc>
        <w:tc>
          <w:tcPr>
            <w:tcW w:w="1756" w:type="dxa"/>
            <w:noWrap w:val="0"/>
            <w:tcMar>
              <w:top w:w="0" w:type="dxa"/>
              <w:left w:w="17" w:type="dxa"/>
              <w:bottom w:w="0" w:type="dxa"/>
              <w:right w:w="17" w:type="dxa"/>
            </w:tcMar>
            <w:vAlign w:val="center"/>
          </w:tcPr>
          <w:p w14:paraId="01A4571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垄溪乡</w:t>
            </w:r>
          </w:p>
        </w:tc>
        <w:tc>
          <w:tcPr>
            <w:tcW w:w="2067" w:type="dxa"/>
            <w:noWrap w:val="0"/>
            <w:tcMar>
              <w:top w:w="0" w:type="dxa"/>
              <w:left w:w="17" w:type="dxa"/>
              <w:bottom w:w="0" w:type="dxa"/>
              <w:right w:w="17" w:type="dxa"/>
            </w:tcMar>
            <w:vAlign w:val="center"/>
          </w:tcPr>
          <w:p w14:paraId="4786A0BA">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27.22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6D1C630B">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19F0A5AD">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24.38</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0DB1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71560A3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8</w:t>
            </w:r>
          </w:p>
        </w:tc>
        <w:tc>
          <w:tcPr>
            <w:tcW w:w="1756" w:type="dxa"/>
            <w:noWrap w:val="0"/>
            <w:tcMar>
              <w:top w:w="0" w:type="dxa"/>
              <w:left w:w="17" w:type="dxa"/>
              <w:bottom w:w="0" w:type="dxa"/>
              <w:right w:w="17" w:type="dxa"/>
            </w:tcMar>
            <w:vAlign w:val="center"/>
          </w:tcPr>
          <w:p w14:paraId="0432AB2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策源乡</w:t>
            </w:r>
          </w:p>
        </w:tc>
        <w:tc>
          <w:tcPr>
            <w:tcW w:w="2067" w:type="dxa"/>
            <w:noWrap w:val="0"/>
            <w:tcMar>
              <w:top w:w="0" w:type="dxa"/>
              <w:left w:w="17" w:type="dxa"/>
              <w:bottom w:w="0" w:type="dxa"/>
              <w:right w:w="17" w:type="dxa"/>
            </w:tcMar>
            <w:vAlign w:val="center"/>
          </w:tcPr>
          <w:p w14:paraId="6118402D">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27.22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48C4B1A4">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63CF2BFE">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24.38</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3FFB8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6" w:type="dxa"/>
            <w:noWrap w:val="0"/>
            <w:tcMar>
              <w:top w:w="0" w:type="dxa"/>
              <w:left w:w="17" w:type="dxa"/>
              <w:bottom w:w="0" w:type="dxa"/>
              <w:right w:w="17" w:type="dxa"/>
            </w:tcMar>
            <w:vAlign w:val="center"/>
          </w:tcPr>
          <w:p w14:paraId="245114E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9</w:t>
            </w:r>
          </w:p>
        </w:tc>
        <w:tc>
          <w:tcPr>
            <w:tcW w:w="1756" w:type="dxa"/>
            <w:noWrap w:val="0"/>
            <w:tcMar>
              <w:top w:w="0" w:type="dxa"/>
              <w:left w:w="17" w:type="dxa"/>
              <w:bottom w:w="0" w:type="dxa"/>
              <w:right w:w="17" w:type="dxa"/>
            </w:tcMar>
            <w:vAlign w:val="center"/>
          </w:tcPr>
          <w:p w14:paraId="47DE6D0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下村乡</w:t>
            </w:r>
          </w:p>
        </w:tc>
        <w:tc>
          <w:tcPr>
            <w:tcW w:w="2067" w:type="dxa"/>
            <w:noWrap w:val="0"/>
            <w:tcMar>
              <w:top w:w="0" w:type="dxa"/>
              <w:left w:w="17" w:type="dxa"/>
              <w:bottom w:w="0" w:type="dxa"/>
              <w:right w:w="17" w:type="dxa"/>
            </w:tcMar>
            <w:vAlign w:val="center"/>
          </w:tcPr>
          <w:p w14:paraId="6D14132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r>
              <w:rPr>
                <w:rFonts w:hint="eastAsia" w:ascii="Times New Roman" w:hAnsi="Times New Roman" w:eastAsia="宋体" w:cs="Times New Roman"/>
                <w:bCs/>
                <w:color w:val="auto"/>
                <w:szCs w:val="24"/>
                <w:lang w:eastAsia="zh-CN"/>
              </w:rPr>
              <w:t>6.03</w:t>
            </w:r>
            <w:r>
              <w:rPr>
                <w:rFonts w:ascii="Times New Roman" w:hAnsi="Times New Roman" w:eastAsia="宋体" w:cs="Times New Roman"/>
                <w:bCs/>
                <w:color w:val="auto"/>
                <w:szCs w:val="24"/>
                <w:lang w:eastAsia="zh-CN"/>
              </w:rPr>
              <w:t>-L-S9V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2770CC6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23.</w:t>
            </w:r>
            <w:r>
              <w:rPr>
                <w:rFonts w:hint="eastAsia" w:ascii="Times New Roman" w:hAnsi="Times New Roman" w:eastAsia="宋体" w:cs="Times New Roman"/>
                <w:bCs/>
                <w:color w:val="auto"/>
                <w:szCs w:val="24"/>
                <w:lang w:eastAsia="zh-CN"/>
              </w:rPr>
              <w:t>42</w:t>
            </w:r>
            <w:r>
              <w:rPr>
                <w:rFonts w:ascii="Times New Roman" w:hAnsi="Times New Roman" w:eastAsia="宋体" w:cs="Times New Roman"/>
                <w:bCs/>
                <w:color w:val="auto"/>
                <w:szCs w:val="24"/>
                <w:lang w:eastAsia="zh-CN"/>
              </w:rPr>
              <w:t>-L-S9V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w:t>
            </w:r>
            <w:r>
              <w:rPr>
                <w:rFonts w:ascii="Times New Roman" w:hAnsi="Times New Roman" w:eastAsia="宋体" w:cs="Times New Roman"/>
                <w:bCs/>
                <w:color w:val="auto"/>
                <w:szCs w:val="24"/>
                <w:lang w:eastAsia="zh-CN"/>
              </w:rPr>
              <w:t>8</w:t>
            </w:r>
          </w:p>
        </w:tc>
        <w:tc>
          <w:tcPr>
            <w:tcW w:w="2294" w:type="dxa"/>
            <w:noWrap w:val="0"/>
            <w:tcMar>
              <w:top w:w="0" w:type="dxa"/>
              <w:left w:w="17" w:type="dxa"/>
              <w:bottom w:w="0" w:type="dxa"/>
              <w:right w:w="17" w:type="dxa"/>
            </w:tcMar>
            <w:vAlign w:val="center"/>
          </w:tcPr>
          <w:p w14:paraId="0EBA650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r>
              <w:rPr>
                <w:rFonts w:hint="eastAsia" w:ascii="Times New Roman" w:hAnsi="Times New Roman" w:eastAsia="宋体" w:cs="Times New Roman"/>
                <w:bCs/>
                <w:color w:val="auto"/>
                <w:szCs w:val="24"/>
                <w:lang w:eastAsia="zh-CN"/>
              </w:rPr>
              <w:t>3.41</w:t>
            </w:r>
            <w:r>
              <w:rPr>
                <w:rFonts w:ascii="Times New Roman" w:hAnsi="Times New Roman" w:eastAsia="宋体" w:cs="Times New Roman"/>
                <w:bCs/>
                <w:color w:val="auto"/>
                <w:szCs w:val="24"/>
                <w:lang w:eastAsia="zh-CN"/>
              </w:rPr>
              <w:t>-L-S9V</w:t>
            </w:r>
            <w:r>
              <w:rPr>
                <w:rFonts w:hint="eastAsia" w:ascii="Times New Roman" w:hAnsi="Times New Roman" w:eastAsia="宋体" w:cs="Times New Roman"/>
                <w:bCs/>
                <w:color w:val="auto"/>
                <w:szCs w:val="24"/>
                <w:lang w:eastAsia="zh-CN"/>
              </w:rPr>
              <w:t>31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727F9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38826EC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10</w:t>
            </w:r>
          </w:p>
        </w:tc>
        <w:tc>
          <w:tcPr>
            <w:tcW w:w="1756" w:type="dxa"/>
            <w:noWrap w:val="0"/>
            <w:tcMar>
              <w:top w:w="0" w:type="dxa"/>
              <w:left w:w="17" w:type="dxa"/>
              <w:bottom w:w="0" w:type="dxa"/>
              <w:right w:w="17" w:type="dxa"/>
            </w:tcMar>
            <w:vAlign w:val="center"/>
          </w:tcPr>
          <w:p w14:paraId="726B0B2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船形乡</w:t>
            </w:r>
          </w:p>
        </w:tc>
        <w:tc>
          <w:tcPr>
            <w:tcW w:w="2067" w:type="dxa"/>
            <w:noWrap w:val="0"/>
            <w:tcMar>
              <w:top w:w="0" w:type="dxa"/>
              <w:left w:w="17" w:type="dxa"/>
              <w:bottom w:w="0" w:type="dxa"/>
              <w:right w:w="17" w:type="dxa"/>
            </w:tcMar>
            <w:vAlign w:val="center"/>
          </w:tcPr>
          <w:p w14:paraId="7A00C64F">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27.22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40</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56</w:t>
            </w:r>
          </w:p>
        </w:tc>
        <w:tc>
          <w:tcPr>
            <w:tcW w:w="2301" w:type="dxa"/>
            <w:noWrap w:val="0"/>
            <w:tcMar>
              <w:top w:w="0" w:type="dxa"/>
              <w:left w:w="17" w:type="dxa"/>
              <w:bottom w:w="0" w:type="dxa"/>
              <w:right w:w="17" w:type="dxa"/>
            </w:tcMar>
            <w:vAlign w:val="center"/>
          </w:tcPr>
          <w:p w14:paraId="37C87BC8">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23.42</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21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68</w:t>
            </w:r>
          </w:p>
        </w:tc>
        <w:tc>
          <w:tcPr>
            <w:tcW w:w="2294" w:type="dxa"/>
            <w:noWrap w:val="0"/>
            <w:tcMar>
              <w:top w:w="0" w:type="dxa"/>
              <w:left w:w="17" w:type="dxa"/>
              <w:bottom w:w="0" w:type="dxa"/>
              <w:right w:w="17" w:type="dxa"/>
            </w:tcMar>
            <w:vAlign w:val="center"/>
          </w:tcPr>
          <w:p w14:paraId="7BF9341C">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24.38</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L</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9</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35</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r>
      <w:tr w14:paraId="28122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456" w:type="dxa"/>
            <w:noWrap w:val="0"/>
            <w:tcMar>
              <w:top w:w="0" w:type="dxa"/>
              <w:left w:w="17" w:type="dxa"/>
              <w:bottom w:w="0" w:type="dxa"/>
              <w:right w:w="17" w:type="dxa"/>
            </w:tcMar>
            <w:vAlign w:val="center"/>
          </w:tcPr>
          <w:p w14:paraId="6713F1C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w:t>
            </w:r>
          </w:p>
        </w:tc>
        <w:tc>
          <w:tcPr>
            <w:tcW w:w="1756" w:type="dxa"/>
            <w:noWrap w:val="0"/>
            <w:tcMar>
              <w:top w:w="0" w:type="dxa"/>
              <w:left w:w="17" w:type="dxa"/>
              <w:bottom w:w="0" w:type="dxa"/>
              <w:right w:w="17" w:type="dxa"/>
            </w:tcMar>
            <w:vAlign w:val="center"/>
          </w:tcPr>
          <w:p w14:paraId="3862264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高新区</w:t>
            </w:r>
          </w:p>
        </w:tc>
        <w:tc>
          <w:tcPr>
            <w:tcW w:w="2067" w:type="dxa"/>
            <w:noWrap w:val="0"/>
            <w:tcMar>
              <w:top w:w="0" w:type="dxa"/>
              <w:left w:w="17" w:type="dxa"/>
              <w:bottom w:w="0" w:type="dxa"/>
              <w:right w:w="17" w:type="dxa"/>
            </w:tcMar>
            <w:vAlign w:val="center"/>
          </w:tcPr>
          <w:p w14:paraId="6366DF31">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24.35</w:t>
            </w:r>
            <w:r>
              <w:rPr>
                <w:rFonts w:ascii="Times New Roman" w:hAnsi="Times New Roman" w:eastAsia="宋体" w:cs="Times New Roman"/>
                <w:bCs/>
                <w:color w:val="auto"/>
                <w:szCs w:val="24"/>
                <w:lang w:eastAsia="zh-CN"/>
              </w:rPr>
              <w:t>-L-S</w:t>
            </w:r>
            <w:r>
              <w:rPr>
                <w:rFonts w:hint="eastAsia" w:ascii="Times New Roman" w:hAnsi="Times New Roman" w:eastAsia="宋体" w:cs="Times New Roman"/>
                <w:bCs/>
                <w:color w:val="auto"/>
                <w:szCs w:val="24"/>
                <w:lang w:eastAsia="zh-CN"/>
              </w:rPr>
              <w:t>20</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38</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19</w:t>
            </w:r>
          </w:p>
        </w:tc>
        <w:tc>
          <w:tcPr>
            <w:tcW w:w="2301" w:type="dxa"/>
            <w:noWrap w:val="0"/>
            <w:tcMar>
              <w:top w:w="0" w:type="dxa"/>
              <w:left w:w="17" w:type="dxa"/>
              <w:bottom w:w="0" w:type="dxa"/>
              <w:right w:w="17" w:type="dxa"/>
            </w:tcMar>
            <w:vAlign w:val="center"/>
          </w:tcPr>
          <w:p w14:paraId="2792420B">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38.29</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M</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20</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61</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46</w:t>
            </w:r>
          </w:p>
        </w:tc>
        <w:tc>
          <w:tcPr>
            <w:tcW w:w="2294" w:type="dxa"/>
            <w:noWrap w:val="0"/>
            <w:tcMar>
              <w:top w:w="0" w:type="dxa"/>
              <w:left w:w="17" w:type="dxa"/>
              <w:bottom w:w="0" w:type="dxa"/>
              <w:right w:w="17" w:type="dxa"/>
            </w:tcMar>
            <w:vAlign w:val="center"/>
          </w:tcPr>
          <w:p w14:paraId="06B1B9FF">
            <w:pPr>
              <w:widowControl w:val="0"/>
              <w:overflowPunct w:val="0"/>
              <w:jc w:val="center"/>
              <w:rPr>
                <w:rFonts w:ascii="Times New Roman" w:hAnsi="Times New Roman" w:eastAsia="宋体" w:cs="Times New Roman"/>
                <w:bCs/>
                <w:color w:val="auto"/>
                <w:szCs w:val="24"/>
                <w:lang w:eastAsia="zh-CN"/>
              </w:rPr>
            </w:pPr>
            <w:r>
              <w:rPr>
                <w:rFonts w:hint="eastAsia" w:ascii="Times New Roman" w:hAnsi="Times New Roman" w:eastAsia="宋体" w:cs="Times New Roman"/>
                <w:bCs/>
                <w:color w:val="auto"/>
                <w:szCs w:val="24"/>
                <w:lang w:eastAsia="zh-CN"/>
              </w:rPr>
              <w:t>33.45</w:t>
            </w:r>
            <w:r>
              <w:rPr>
                <w:rFonts w:ascii="Times New Roman" w:hAnsi="Times New Roman" w:eastAsia="宋体" w:cs="Times New Roman"/>
                <w:bCs/>
                <w:color w:val="auto"/>
                <w:szCs w:val="24"/>
                <w:lang w:eastAsia="zh-CN"/>
              </w:rPr>
              <w:t>-</w:t>
            </w:r>
            <w:r>
              <w:rPr>
                <w:rFonts w:hint="eastAsia" w:ascii="Times New Roman" w:hAnsi="Times New Roman" w:eastAsia="宋体" w:cs="Times New Roman"/>
                <w:bCs/>
                <w:color w:val="auto"/>
                <w:szCs w:val="24"/>
                <w:lang w:eastAsia="zh-CN"/>
              </w:rPr>
              <w:t>M</w:t>
            </w:r>
            <w:r>
              <w:rPr>
                <w:rFonts w:ascii="Times New Roman" w:hAnsi="Times New Roman" w:eastAsia="宋体" w:cs="Times New Roman"/>
                <w:bCs/>
                <w:color w:val="auto"/>
                <w:szCs w:val="24"/>
                <w:lang w:eastAsia="zh-CN"/>
              </w:rPr>
              <w:t>-S</w:t>
            </w:r>
            <w:r>
              <w:rPr>
                <w:rFonts w:hint="eastAsia" w:ascii="Times New Roman" w:hAnsi="Times New Roman" w:eastAsia="宋体" w:cs="Times New Roman"/>
                <w:bCs/>
                <w:color w:val="auto"/>
                <w:szCs w:val="24"/>
                <w:lang w:eastAsia="zh-CN"/>
              </w:rPr>
              <w:t>20</w:t>
            </w:r>
            <w:r>
              <w:rPr>
                <w:rFonts w:ascii="Times New Roman" w:hAnsi="Times New Roman" w:eastAsia="宋体" w:cs="Times New Roman"/>
                <w:bCs/>
                <w:color w:val="auto"/>
                <w:szCs w:val="24"/>
                <w:lang w:eastAsia="zh-CN"/>
              </w:rPr>
              <w:t>V</w:t>
            </w:r>
            <w:r>
              <w:rPr>
                <w:rFonts w:hint="eastAsia" w:ascii="Times New Roman" w:hAnsi="Times New Roman" w:eastAsia="宋体" w:cs="Times New Roman"/>
                <w:bCs/>
                <w:color w:val="auto"/>
                <w:szCs w:val="24"/>
                <w:lang w:eastAsia="zh-CN"/>
              </w:rPr>
              <w:t>72</w:t>
            </w:r>
            <w:r>
              <w:rPr>
                <w:rFonts w:ascii="Times New Roman" w:hAnsi="Times New Roman" w:eastAsia="宋体" w:cs="Times New Roman"/>
                <w:bCs/>
                <w:color w:val="auto"/>
                <w:szCs w:val="24"/>
                <w:lang w:eastAsia="zh-CN"/>
              </w:rPr>
              <w:t>M</w:t>
            </w:r>
            <w:r>
              <w:rPr>
                <w:rFonts w:hint="eastAsia" w:ascii="Times New Roman" w:hAnsi="Times New Roman" w:eastAsia="宋体" w:cs="Times New Roman"/>
                <w:bCs/>
                <w:color w:val="auto"/>
                <w:szCs w:val="24"/>
                <w:lang w:eastAsia="zh-CN"/>
              </w:rPr>
              <w:t>26</w:t>
            </w:r>
          </w:p>
        </w:tc>
      </w:tr>
    </w:tbl>
    <w:p w14:paraId="4D135C0F">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lang w:eastAsia="zh-CN"/>
        </w:rPr>
        <w:sectPr>
          <w:pgSz w:w="11906" w:h="16838"/>
          <w:pgMar w:top="1984" w:right="1474" w:bottom="1871" w:left="1587" w:header="851" w:footer="1587" w:gutter="0"/>
          <w:cols w:space="720" w:num="1"/>
          <w:titlePg/>
          <w:docGrid w:linePitch="312" w:charSpace="0"/>
        </w:sectPr>
      </w:pPr>
      <w:r>
        <w:rPr>
          <w:rFonts w:ascii="Times New Roman" w:hAnsi="Times New Roman" w:eastAsia="宋体" w:cs="Times New Roman"/>
          <w:snapToGrid/>
          <w:color w:val="auto"/>
          <w:kern w:val="2"/>
          <w:sz w:val="24"/>
          <w:szCs w:val="22"/>
          <w:lang w:eastAsia="zh-CN"/>
        </w:rPr>
        <w:t>根据环境风险指数计算汇总结果可知</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炎陵县11个评估子区域的有</w:t>
      </w:r>
      <w:r>
        <w:rPr>
          <w:rFonts w:hint="eastAsia" w:ascii="Times New Roman" w:hAnsi="Times New Roman" w:eastAsia="宋体" w:cs="Times New Roman"/>
          <w:snapToGrid/>
          <w:color w:val="auto"/>
          <w:kern w:val="2"/>
          <w:sz w:val="24"/>
          <w:szCs w:val="22"/>
          <w:lang w:eastAsia="zh-CN"/>
        </w:rPr>
        <w:t>1</w:t>
      </w:r>
      <w:r>
        <w:rPr>
          <w:rFonts w:ascii="Times New Roman" w:hAnsi="Times New Roman" w:eastAsia="宋体" w:cs="Times New Roman"/>
          <w:snapToGrid/>
          <w:color w:val="auto"/>
          <w:kern w:val="2"/>
          <w:sz w:val="24"/>
          <w:szCs w:val="22"/>
          <w:lang w:eastAsia="zh-CN"/>
        </w:rPr>
        <w:t>个评估子区域综合环境风险指数为中环境风险</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1</w:t>
      </w:r>
      <w:r>
        <w:rPr>
          <w:rFonts w:hint="eastAsia" w:ascii="Times New Roman" w:hAnsi="Times New Roman" w:eastAsia="宋体" w:cs="Times New Roman"/>
          <w:snapToGrid/>
          <w:color w:val="auto"/>
          <w:kern w:val="2"/>
          <w:sz w:val="24"/>
          <w:szCs w:val="22"/>
          <w:lang w:eastAsia="zh-CN"/>
        </w:rPr>
        <w:t>0</w:t>
      </w:r>
      <w:r>
        <w:rPr>
          <w:rFonts w:ascii="Times New Roman" w:hAnsi="Times New Roman" w:eastAsia="宋体" w:cs="Times New Roman"/>
          <w:snapToGrid/>
          <w:color w:val="auto"/>
          <w:kern w:val="2"/>
          <w:sz w:val="24"/>
          <w:szCs w:val="22"/>
          <w:lang w:eastAsia="zh-CN"/>
        </w:rPr>
        <w:t>个评估子区域综合环境风险指数为低环境风险。1</w:t>
      </w:r>
      <w:r>
        <w:rPr>
          <w:rFonts w:hint="eastAsia" w:ascii="Times New Roman" w:hAnsi="Times New Roman" w:eastAsia="宋体" w:cs="Times New Roman"/>
          <w:snapToGrid/>
          <w:color w:val="auto"/>
          <w:kern w:val="2"/>
          <w:sz w:val="24"/>
          <w:szCs w:val="22"/>
          <w:lang w:eastAsia="zh-CN"/>
        </w:rPr>
        <w:t>1</w:t>
      </w:r>
      <w:r>
        <w:rPr>
          <w:rFonts w:ascii="Times New Roman" w:hAnsi="Times New Roman" w:eastAsia="宋体" w:cs="Times New Roman"/>
          <w:snapToGrid/>
          <w:color w:val="auto"/>
          <w:kern w:val="2"/>
          <w:sz w:val="24"/>
          <w:szCs w:val="22"/>
          <w:lang w:eastAsia="zh-CN"/>
        </w:rPr>
        <w:t>个评估子区域水环境风险指数均为低环境风险、有</w:t>
      </w:r>
      <w:r>
        <w:rPr>
          <w:rFonts w:hint="eastAsia" w:ascii="Times New Roman" w:hAnsi="Times New Roman" w:eastAsia="宋体" w:cs="Times New Roman"/>
          <w:snapToGrid/>
          <w:color w:val="auto"/>
          <w:kern w:val="2"/>
          <w:sz w:val="24"/>
          <w:szCs w:val="22"/>
          <w:lang w:eastAsia="zh-CN"/>
        </w:rPr>
        <w:t>1</w:t>
      </w:r>
      <w:r>
        <w:rPr>
          <w:rFonts w:ascii="Times New Roman" w:hAnsi="Times New Roman" w:eastAsia="宋体" w:cs="Times New Roman"/>
          <w:snapToGrid/>
          <w:color w:val="auto"/>
          <w:kern w:val="2"/>
          <w:sz w:val="24"/>
          <w:szCs w:val="22"/>
          <w:lang w:eastAsia="zh-CN"/>
        </w:rPr>
        <w:t>个评估子区域</w:t>
      </w:r>
      <w:r>
        <w:rPr>
          <w:rFonts w:hint="eastAsia" w:ascii="Times New Roman" w:hAnsi="Times New Roman" w:eastAsia="宋体" w:cs="Times New Roman"/>
          <w:snapToGrid/>
          <w:color w:val="auto"/>
          <w:kern w:val="2"/>
          <w:sz w:val="24"/>
          <w:szCs w:val="22"/>
          <w:lang w:eastAsia="zh-CN"/>
        </w:rPr>
        <w:t>大气</w:t>
      </w:r>
      <w:r>
        <w:rPr>
          <w:rFonts w:ascii="Times New Roman" w:hAnsi="Times New Roman" w:eastAsia="宋体" w:cs="Times New Roman"/>
          <w:snapToGrid/>
          <w:color w:val="auto"/>
          <w:kern w:val="2"/>
          <w:sz w:val="24"/>
          <w:szCs w:val="22"/>
          <w:lang w:eastAsia="zh-CN"/>
        </w:rPr>
        <w:t>环境风险指数为中环境风险</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1</w:t>
      </w:r>
      <w:r>
        <w:rPr>
          <w:rFonts w:hint="eastAsia" w:ascii="Times New Roman" w:hAnsi="Times New Roman" w:eastAsia="宋体" w:cs="Times New Roman"/>
          <w:snapToGrid/>
          <w:color w:val="auto"/>
          <w:kern w:val="2"/>
          <w:sz w:val="24"/>
          <w:szCs w:val="22"/>
          <w:lang w:eastAsia="zh-CN"/>
        </w:rPr>
        <w:t>0</w:t>
      </w:r>
      <w:r>
        <w:rPr>
          <w:rFonts w:ascii="Times New Roman" w:hAnsi="Times New Roman" w:eastAsia="宋体" w:cs="Times New Roman"/>
          <w:snapToGrid/>
          <w:color w:val="auto"/>
          <w:kern w:val="2"/>
          <w:sz w:val="24"/>
          <w:szCs w:val="22"/>
          <w:lang w:eastAsia="zh-CN"/>
        </w:rPr>
        <w:t>个评估子区域</w:t>
      </w:r>
      <w:r>
        <w:rPr>
          <w:rFonts w:hint="eastAsia" w:ascii="Times New Roman" w:hAnsi="Times New Roman" w:eastAsia="宋体" w:cs="Times New Roman"/>
          <w:snapToGrid/>
          <w:color w:val="auto"/>
          <w:kern w:val="2"/>
          <w:sz w:val="24"/>
          <w:szCs w:val="22"/>
          <w:lang w:eastAsia="zh-CN"/>
        </w:rPr>
        <w:t>大气</w:t>
      </w:r>
      <w:r>
        <w:rPr>
          <w:rFonts w:ascii="Times New Roman" w:hAnsi="Times New Roman" w:eastAsia="宋体" w:cs="Times New Roman"/>
          <w:snapToGrid/>
          <w:color w:val="auto"/>
          <w:kern w:val="2"/>
          <w:sz w:val="24"/>
          <w:szCs w:val="22"/>
          <w:lang w:eastAsia="zh-CN"/>
        </w:rPr>
        <w:t>环境风险指数为低环境风险。</w:t>
      </w:r>
    </w:p>
    <w:p w14:paraId="7C6919A5">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268" w:name="_Toc27552267"/>
      <w:bookmarkStart w:id="269" w:name="_Toc16633"/>
      <w:bookmarkStart w:id="270" w:name="_Toc99"/>
      <w:bookmarkStart w:id="271" w:name="_Toc3741"/>
      <w:bookmarkStart w:id="272" w:name="_Toc32105"/>
      <w:bookmarkStart w:id="273" w:name="_Toc15621"/>
      <w:r>
        <w:rPr>
          <w:rFonts w:ascii="Times New Roman" w:hAnsi="Times New Roman" w:eastAsia="宋体" w:cs="Times New Roman"/>
          <w:b/>
          <w:bCs/>
          <w:snapToGrid/>
          <w:color w:val="auto"/>
          <w:kern w:val="44"/>
          <w:sz w:val="32"/>
          <w:szCs w:val="44"/>
          <w:lang w:eastAsia="zh-CN"/>
        </w:rPr>
        <w:t>5典型突发环境事件情景分析</w:t>
      </w:r>
      <w:bookmarkEnd w:id="268"/>
      <w:bookmarkEnd w:id="269"/>
      <w:bookmarkEnd w:id="270"/>
      <w:bookmarkEnd w:id="271"/>
      <w:bookmarkEnd w:id="272"/>
      <w:bookmarkEnd w:id="273"/>
    </w:p>
    <w:p w14:paraId="65F58B8D">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74" w:name="_Toc25637"/>
      <w:bookmarkStart w:id="275" w:name="_Toc1648"/>
      <w:bookmarkStart w:id="276" w:name="_Toc21649"/>
      <w:bookmarkStart w:id="277" w:name="_Toc1891"/>
      <w:bookmarkStart w:id="278" w:name="_Toc27552268"/>
      <w:bookmarkStart w:id="279" w:name="_Toc18576"/>
      <w:r>
        <w:rPr>
          <w:rFonts w:ascii="Times New Roman" w:hAnsi="Times New Roman" w:eastAsia="宋体" w:cs="Times New Roman"/>
          <w:b/>
          <w:bCs/>
          <w:snapToGrid/>
          <w:color w:val="auto"/>
          <w:kern w:val="2"/>
          <w:sz w:val="30"/>
          <w:szCs w:val="32"/>
          <w:lang w:eastAsia="zh-CN"/>
        </w:rPr>
        <w:t>5.1 突发环境事件情景设定</w:t>
      </w:r>
      <w:bookmarkEnd w:id="274"/>
      <w:bookmarkEnd w:id="275"/>
      <w:bookmarkEnd w:id="276"/>
      <w:bookmarkEnd w:id="277"/>
      <w:bookmarkEnd w:id="278"/>
      <w:bookmarkEnd w:id="279"/>
    </w:p>
    <w:p w14:paraId="64E9E1DA">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80" w:name="_Toc27552269"/>
      <w:bookmarkStart w:id="281" w:name="_Toc20258"/>
      <w:bookmarkStart w:id="282" w:name="_Toc9591"/>
      <w:bookmarkStart w:id="283" w:name="_Toc6272"/>
      <w:bookmarkStart w:id="284" w:name="_Toc27645"/>
      <w:bookmarkStart w:id="285" w:name="_Toc24898"/>
      <w:r>
        <w:rPr>
          <w:rFonts w:ascii="Times New Roman" w:hAnsi="Times New Roman" w:eastAsia="宋体" w:cs="Times New Roman"/>
          <w:b/>
          <w:bCs/>
          <w:snapToGrid/>
          <w:color w:val="auto"/>
          <w:kern w:val="2"/>
          <w:sz w:val="24"/>
          <w:szCs w:val="32"/>
          <w:lang w:eastAsia="zh-CN"/>
        </w:rPr>
        <w:t>5.1.1 突发大气环境事件情景</w:t>
      </w:r>
      <w:bookmarkEnd w:id="280"/>
      <w:bookmarkEnd w:id="281"/>
      <w:bookmarkEnd w:id="282"/>
      <w:bookmarkEnd w:id="283"/>
      <w:bookmarkEnd w:id="284"/>
      <w:bookmarkEnd w:id="285"/>
    </w:p>
    <w:p w14:paraId="27051655">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1</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突发大气环境事件类型</w:t>
      </w:r>
    </w:p>
    <w:p w14:paraId="5D9FF656">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①炎陵县内涉及众多的危险化学品</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在储存、使用、生产等过程中发生储罐破裂、管道堵塞、破裂或破损以及处理构筑物损坏状况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危险化学品发生泄漏</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危化品进入大气中影响区域环境空气质量并危害</w:t>
      </w:r>
      <w:r>
        <w:rPr>
          <w:rFonts w:hint="eastAsia" w:ascii="Times New Roman" w:hAnsi="Times New Roman" w:eastAsia="宋体" w:cs="Times New Roman"/>
          <w:snapToGrid/>
          <w:color w:val="auto"/>
          <w:kern w:val="2"/>
          <w:sz w:val="24"/>
          <w:szCs w:val="22"/>
          <w:lang w:eastAsia="zh-CN"/>
        </w:rPr>
        <w:t>人民生命安全</w:t>
      </w:r>
      <w:r>
        <w:rPr>
          <w:rFonts w:ascii="Times New Roman" w:hAnsi="Times New Roman" w:eastAsia="宋体" w:cs="Times New Roman"/>
          <w:snapToGrid/>
          <w:color w:val="auto"/>
          <w:kern w:val="2"/>
          <w:sz w:val="24"/>
          <w:szCs w:val="22"/>
          <w:lang w:eastAsia="zh-CN"/>
        </w:rPr>
        <w:t>。</w:t>
      </w:r>
    </w:p>
    <w:p w14:paraId="297F6E05">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②从炎陵县内现有环境风险企业的危险化学品运输情况来看</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绝大部分是通过道路车辆运送至用户。在危化品运输过程中</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从装卸、运输到保管</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工序长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参与人员多</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运输方式和工具多</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运输范围广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行程长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气温、压力、干湿变化范围大</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这些复杂众多的外界因素是运输过程中造成风险的诱发条件。在运输、车辆装卸以及储存等过程有可能发生交通事故、运输过程设备故障性泄漏、装卸化学品操作失误等事故会造成有毒有害化学物质泄漏或发生火灾爆炸风险</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对周边居民或生态造成损害</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引发大气环境事件。</w:t>
      </w:r>
    </w:p>
    <w:p w14:paraId="6958367A">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（2）突发大气环境事件情景设定</w:t>
      </w:r>
    </w:p>
    <w:p w14:paraId="01EBA276">
      <w:pPr>
        <w:widowControl w:val="0"/>
        <w:kinsoku/>
        <w:autoSpaceDE/>
        <w:autoSpaceDN/>
        <w:adjustRightInd/>
        <w:snapToGrid/>
        <w:spacing w:line="440" w:lineRule="exact"/>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综合考虑炎陵县内重大危险源化学物质的危险性、储量等各方面因素的基础上</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结合环境风险“热点”区域的识别结果、企业/管道风险类别</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危化品与相应临界量的比值Q等因素</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设定对外环境影响较大的有毒有害物质的盐酸储罐发生泄漏作为本次的突发大气环境事件情景设定</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同时选取炎陵县内天然气管道泄</w:t>
      </w:r>
      <w:r>
        <w:rPr>
          <w:rFonts w:hint="eastAsia" w:ascii="Times New Roman" w:hAnsi="Times New Roman" w:eastAsia="宋体" w:cs="Times New Roman"/>
          <w:snapToGrid/>
          <w:color w:val="auto"/>
          <w:kern w:val="2"/>
          <w:sz w:val="24"/>
          <w:szCs w:val="22"/>
          <w:lang w:eastAsia="zh-CN"/>
        </w:rPr>
        <w:t>漏</w:t>
      </w:r>
      <w:r>
        <w:rPr>
          <w:rFonts w:ascii="Times New Roman" w:hAnsi="Times New Roman" w:eastAsia="宋体" w:cs="Times New Roman"/>
          <w:snapToGrid/>
          <w:color w:val="auto"/>
          <w:kern w:val="2"/>
          <w:sz w:val="24"/>
          <w:szCs w:val="22"/>
          <w:lang w:eastAsia="zh-CN"/>
        </w:rPr>
        <w:t>作为突发大气环境事件的假定</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具体如表5.1-1所示。</w:t>
      </w:r>
    </w:p>
    <w:p w14:paraId="47C96E33">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highlight w:val="cyan"/>
          <w:lang w:eastAsia="zh-CN"/>
        </w:rPr>
      </w:pPr>
      <w:r>
        <w:rPr>
          <w:rFonts w:ascii="Times New Roman" w:hAnsi="Times New Roman" w:eastAsia="宋体" w:cs="Times New Roman"/>
          <w:b/>
          <w:snapToGrid/>
          <w:color w:val="auto"/>
          <w:kern w:val="2"/>
          <w:sz w:val="24"/>
          <w:szCs w:val="28"/>
          <w:lang w:eastAsia="zh-CN"/>
        </w:rPr>
        <w:t>表5.1-1  突发大气环境事件情景设定</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619"/>
        <w:gridCol w:w="1230"/>
        <w:gridCol w:w="1155"/>
        <w:gridCol w:w="2755"/>
      </w:tblGrid>
      <w:tr w14:paraId="1240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7" w:type="dxa"/>
            <w:noWrap w:val="0"/>
            <w:vAlign w:val="center"/>
          </w:tcPr>
          <w:p w14:paraId="17A4BA7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2619" w:type="dxa"/>
            <w:noWrap w:val="0"/>
            <w:vAlign w:val="center"/>
          </w:tcPr>
          <w:p w14:paraId="244CA6D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环境风险企业</w:t>
            </w:r>
          </w:p>
        </w:tc>
        <w:tc>
          <w:tcPr>
            <w:tcW w:w="1230" w:type="dxa"/>
            <w:noWrap w:val="0"/>
            <w:vAlign w:val="center"/>
          </w:tcPr>
          <w:p w14:paraId="15E5A38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危险物质</w:t>
            </w:r>
          </w:p>
        </w:tc>
        <w:tc>
          <w:tcPr>
            <w:tcW w:w="1155" w:type="dxa"/>
            <w:noWrap w:val="0"/>
            <w:vAlign w:val="center"/>
          </w:tcPr>
          <w:p w14:paraId="1D6207F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情景假定</w:t>
            </w:r>
          </w:p>
        </w:tc>
        <w:tc>
          <w:tcPr>
            <w:tcW w:w="2755" w:type="dxa"/>
            <w:noWrap w:val="0"/>
            <w:vAlign w:val="center"/>
          </w:tcPr>
          <w:p w14:paraId="2D57DD1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备注</w:t>
            </w:r>
          </w:p>
        </w:tc>
      </w:tr>
      <w:tr w14:paraId="3F04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67" w:type="dxa"/>
            <w:noWrap w:val="0"/>
            <w:vAlign w:val="center"/>
          </w:tcPr>
          <w:p w14:paraId="180A10C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2619" w:type="dxa"/>
            <w:noWrap w:val="0"/>
            <w:vAlign w:val="center"/>
          </w:tcPr>
          <w:p w14:paraId="43D6B3B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天然气管道天然气泄漏</w:t>
            </w:r>
          </w:p>
        </w:tc>
        <w:tc>
          <w:tcPr>
            <w:tcW w:w="1230" w:type="dxa"/>
            <w:noWrap w:val="0"/>
            <w:vAlign w:val="center"/>
          </w:tcPr>
          <w:p w14:paraId="3982133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甲烷</w:t>
            </w:r>
          </w:p>
        </w:tc>
        <w:tc>
          <w:tcPr>
            <w:tcW w:w="1155" w:type="dxa"/>
            <w:noWrap w:val="0"/>
            <w:vAlign w:val="center"/>
          </w:tcPr>
          <w:p w14:paraId="4322BDE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管线</w:t>
            </w:r>
            <w:r>
              <w:rPr>
                <w:rFonts w:hint="eastAsia" w:ascii="Times New Roman" w:hAnsi="Times New Roman" w:eastAsia="宋体" w:cs="Times New Roman"/>
                <w:bCs/>
                <w:color w:val="auto"/>
                <w:szCs w:val="24"/>
                <w:lang w:eastAsia="zh-CN"/>
              </w:rPr>
              <w:t>泄漏</w:t>
            </w:r>
          </w:p>
        </w:tc>
        <w:tc>
          <w:tcPr>
            <w:tcW w:w="2755" w:type="dxa"/>
            <w:vMerge w:val="restart"/>
            <w:noWrap w:val="0"/>
            <w:vAlign w:val="center"/>
          </w:tcPr>
          <w:p w14:paraId="3092843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位于综合环境风险“热点”区域的环境风险企业</w:t>
            </w:r>
            <w:r>
              <w:rPr>
                <w:rFonts w:hint="eastAsia" w:ascii="Times New Roman" w:hAnsi="Times New Roman" w:eastAsia="宋体" w:cs="Times New Roman"/>
                <w:bCs/>
                <w:color w:val="auto"/>
                <w:szCs w:val="24"/>
                <w:lang w:eastAsia="zh-CN"/>
              </w:rPr>
              <w:t>且</w:t>
            </w:r>
            <w:r>
              <w:rPr>
                <w:rFonts w:ascii="Times New Roman" w:hAnsi="Times New Roman" w:eastAsia="宋体" w:cs="Times New Roman"/>
                <w:bCs/>
                <w:color w:val="auto"/>
                <w:szCs w:val="24"/>
                <w:lang w:eastAsia="zh-CN"/>
              </w:rPr>
              <w:t>属于较大或重大的风险企业</w:t>
            </w:r>
          </w:p>
        </w:tc>
      </w:tr>
      <w:tr w14:paraId="4BEC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7" w:type="dxa"/>
            <w:noWrap w:val="0"/>
            <w:vAlign w:val="center"/>
          </w:tcPr>
          <w:p w14:paraId="634AD48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2619" w:type="dxa"/>
            <w:noWrap w:val="0"/>
            <w:vAlign w:val="center"/>
          </w:tcPr>
          <w:p w14:paraId="2D54F61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汽油运输车交通事故引发汽油燃烧</w:t>
            </w:r>
          </w:p>
        </w:tc>
        <w:tc>
          <w:tcPr>
            <w:tcW w:w="1230" w:type="dxa"/>
            <w:noWrap w:val="0"/>
            <w:vAlign w:val="center"/>
          </w:tcPr>
          <w:p w14:paraId="195F28A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w:t>
            </w:r>
          </w:p>
        </w:tc>
        <w:tc>
          <w:tcPr>
            <w:tcW w:w="1155" w:type="dxa"/>
            <w:noWrap w:val="0"/>
            <w:vAlign w:val="center"/>
          </w:tcPr>
          <w:p w14:paraId="7CB505C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泄漏、火灾</w:t>
            </w:r>
          </w:p>
        </w:tc>
        <w:tc>
          <w:tcPr>
            <w:tcW w:w="2755" w:type="dxa"/>
            <w:vMerge w:val="continue"/>
            <w:noWrap w:val="0"/>
            <w:vAlign w:val="center"/>
          </w:tcPr>
          <w:p w14:paraId="38205584">
            <w:pPr>
              <w:widowControl w:val="0"/>
              <w:overflowPunct w:val="0"/>
              <w:jc w:val="center"/>
              <w:rPr>
                <w:rFonts w:ascii="Times New Roman" w:hAnsi="Times New Roman" w:eastAsia="宋体" w:cs="Times New Roman"/>
                <w:bCs/>
                <w:color w:val="auto"/>
                <w:szCs w:val="24"/>
                <w:lang w:eastAsia="zh-CN"/>
              </w:rPr>
            </w:pPr>
          </w:p>
        </w:tc>
      </w:tr>
    </w:tbl>
    <w:p w14:paraId="02030C08">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286" w:name="_Toc27552270"/>
      <w:bookmarkStart w:id="287" w:name="_Toc4509"/>
      <w:bookmarkStart w:id="288" w:name="_Toc28755"/>
      <w:bookmarkStart w:id="289" w:name="_Toc1599"/>
      <w:bookmarkStart w:id="290" w:name="_Toc13282"/>
      <w:bookmarkStart w:id="291" w:name="_Toc26885"/>
      <w:bookmarkStart w:id="292" w:name="_Toc532458662"/>
      <w:bookmarkStart w:id="293" w:name="_Toc836"/>
      <w:r>
        <w:rPr>
          <w:rFonts w:ascii="Times New Roman" w:hAnsi="Times New Roman" w:eastAsia="宋体" w:cs="Times New Roman"/>
          <w:b/>
          <w:bCs/>
          <w:snapToGrid/>
          <w:color w:val="auto"/>
          <w:kern w:val="2"/>
          <w:sz w:val="24"/>
          <w:szCs w:val="32"/>
          <w:lang w:eastAsia="zh-CN"/>
        </w:rPr>
        <w:t>5.1.2 突发水环境事件情景</w:t>
      </w:r>
      <w:bookmarkEnd w:id="286"/>
      <w:bookmarkEnd w:id="287"/>
      <w:bookmarkEnd w:id="288"/>
      <w:bookmarkEnd w:id="289"/>
      <w:bookmarkEnd w:id="290"/>
      <w:bookmarkEnd w:id="291"/>
      <w:bookmarkEnd w:id="292"/>
      <w:bookmarkEnd w:id="293"/>
    </w:p>
    <w:p w14:paraId="50CE9EF1">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（1）突发水环境事件类型</w:t>
      </w:r>
    </w:p>
    <w:p w14:paraId="29D2D496">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①炎陵县内涉及众多的危险化学品</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在储存、运输、生产等过程中发生泄漏、火灾、爆炸等事故时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泄漏物料（危化品）或事故废水等流入周边水体造成周围环境的污染。主要有以下途径：</w:t>
      </w:r>
    </w:p>
    <w:p w14:paraId="731F466C">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a）储存、运输或使用的液体物料发生泄漏</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经地表径流流入周边水体；</w:t>
      </w:r>
    </w:p>
    <w:p w14:paraId="44DBD9C7">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b）当发生火灾、爆炸等事故时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产生大量的消防废水</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在处置不当情况下危险品随消防水经雨水排放口进入水体；</w:t>
      </w:r>
    </w:p>
    <w:p w14:paraId="79B90387">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c）初期雨水处理不当</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日常洒落或泄露厂区地面的危险品随雨水一同流入内河水体</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造成水体污染。</w:t>
      </w:r>
    </w:p>
    <w:p w14:paraId="09AB789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②污水处理厂发生故障导致污水处理效率下降或无处理排入收纳水体</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对水体造成污染</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主要有以下两种情况：</w:t>
      </w:r>
    </w:p>
    <w:p w14:paraId="26F10CD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4"/>
          <w:lang w:eastAsia="zh-CN"/>
        </w:rPr>
        <w:t>a）污水设施机械故障或停电</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造成污水无法处理导致直排</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污染水体；</w:t>
      </w:r>
    </w:p>
    <w:p w14:paraId="68777C7B">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4"/>
          <w:lang w:eastAsia="zh-CN"/>
        </w:rPr>
        <w:t>b）</w:t>
      </w:r>
      <w:r>
        <w:rPr>
          <w:rFonts w:hint="eastAsia" w:ascii="Times New Roman" w:hAnsi="Times New Roman" w:eastAsia="宋体" w:cs="Times New Roman"/>
          <w:snapToGrid/>
          <w:color w:val="auto"/>
          <w:kern w:val="2"/>
          <w:sz w:val="24"/>
          <w:szCs w:val="24"/>
          <w:lang w:eastAsia="zh-CN"/>
        </w:rPr>
        <w:t>污水处理厂</w:t>
      </w:r>
      <w:r>
        <w:rPr>
          <w:rFonts w:ascii="Times New Roman" w:hAnsi="Times New Roman" w:eastAsia="宋体" w:cs="Times New Roman"/>
          <w:snapToGrid/>
          <w:color w:val="auto"/>
          <w:kern w:val="2"/>
          <w:sz w:val="24"/>
          <w:szCs w:val="24"/>
          <w:lang w:eastAsia="zh-CN"/>
        </w:rPr>
        <w:t>受进厂水量、水质冲击</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处理率下降</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最终超标排放</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污染水体。</w:t>
      </w:r>
    </w:p>
    <w:p w14:paraId="32F8D67F">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（2）突发水环境事件情景设定</w:t>
      </w:r>
    </w:p>
    <w:p w14:paraId="2618AF0E">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根据区域水环境特点</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本评估报告选择炎陵县污水处理厂、高新区污水处理厂废水事故排放、汽油运输车因交通事故造成油品泄漏入河流作为突发水环境事件的情景假定。</w:t>
      </w:r>
      <w:bookmarkStart w:id="294" w:name="_Toc27552274"/>
    </w:p>
    <w:p w14:paraId="1D2DB7C6">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295" w:name="_Toc1292"/>
      <w:bookmarkStart w:id="296" w:name="_Toc32741"/>
      <w:bookmarkStart w:id="297" w:name="_Toc11210"/>
      <w:bookmarkStart w:id="298" w:name="_Toc14509"/>
      <w:bookmarkStart w:id="299" w:name="_Toc1165"/>
      <w:r>
        <w:rPr>
          <w:rFonts w:ascii="Times New Roman" w:hAnsi="Times New Roman" w:eastAsia="宋体" w:cs="Times New Roman"/>
          <w:b/>
          <w:bCs/>
          <w:snapToGrid/>
          <w:color w:val="auto"/>
          <w:kern w:val="2"/>
          <w:sz w:val="30"/>
          <w:szCs w:val="32"/>
          <w:lang w:eastAsia="zh-CN"/>
        </w:rPr>
        <w:t>5.2 突发环境事件情景释放途径分析</w:t>
      </w:r>
      <w:bookmarkEnd w:id="294"/>
      <w:bookmarkEnd w:id="295"/>
      <w:bookmarkEnd w:id="296"/>
      <w:bookmarkEnd w:id="297"/>
      <w:bookmarkEnd w:id="298"/>
      <w:bookmarkEnd w:id="299"/>
    </w:p>
    <w:p w14:paraId="2E9C3D17">
      <w:pPr>
        <w:widowControl w:val="0"/>
        <w:kinsoku/>
        <w:autoSpaceDE/>
        <w:autoSpaceDN/>
        <w:adjustRightInd/>
        <w:snapToGrid/>
        <w:spacing w:line="440" w:lineRule="exact"/>
        <w:jc w:val="center"/>
        <w:textAlignment w:val="auto"/>
        <w:rPr>
          <w:rFonts w:ascii="Times New Roman" w:hAnsi="Times New Roman" w:eastAsia="宋体" w:cs="Times New Roman"/>
          <w:b/>
          <w:bCs/>
          <w:snapToGrid/>
          <w:color w:val="auto"/>
          <w:kern w:val="2"/>
          <w:sz w:val="24"/>
          <w:szCs w:val="22"/>
          <w:lang w:eastAsia="zh-CN"/>
        </w:rPr>
      </w:pPr>
      <w:r>
        <w:rPr>
          <w:rFonts w:ascii="Times New Roman" w:hAnsi="Times New Roman" w:eastAsia="宋体" w:cs="Times New Roman"/>
          <w:b/>
          <w:bCs/>
          <w:snapToGrid/>
          <w:color w:val="auto"/>
          <w:kern w:val="2"/>
          <w:sz w:val="24"/>
          <w:szCs w:val="22"/>
          <w:lang w:eastAsia="zh-CN"/>
        </w:rPr>
        <w:t>表5.2-1  突发环境事件情景释放途径分析一览表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1244"/>
        <w:gridCol w:w="3185"/>
        <w:gridCol w:w="2282"/>
      </w:tblGrid>
      <w:tr w14:paraId="70AD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350" w:type="dxa"/>
            <w:noWrap w:val="0"/>
            <w:vAlign w:val="center"/>
          </w:tcPr>
          <w:p w14:paraId="1BF4AB8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环境风险源</w:t>
            </w:r>
          </w:p>
        </w:tc>
        <w:tc>
          <w:tcPr>
            <w:tcW w:w="1244" w:type="dxa"/>
            <w:noWrap w:val="0"/>
            <w:vAlign w:val="center"/>
          </w:tcPr>
          <w:p w14:paraId="4782C68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物质</w:t>
            </w:r>
          </w:p>
        </w:tc>
        <w:tc>
          <w:tcPr>
            <w:tcW w:w="3185" w:type="dxa"/>
            <w:noWrap w:val="0"/>
            <w:vAlign w:val="center"/>
          </w:tcPr>
          <w:p w14:paraId="0E93632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突发事件情景及释放途径</w:t>
            </w:r>
          </w:p>
        </w:tc>
        <w:tc>
          <w:tcPr>
            <w:tcW w:w="2282" w:type="dxa"/>
            <w:noWrap w:val="0"/>
            <w:vAlign w:val="center"/>
          </w:tcPr>
          <w:p w14:paraId="1D4A25A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可能引发事件及释放途径</w:t>
            </w:r>
          </w:p>
        </w:tc>
      </w:tr>
      <w:tr w14:paraId="7BA4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0" w:type="dxa"/>
            <w:noWrap w:val="0"/>
            <w:vAlign w:val="center"/>
          </w:tcPr>
          <w:p w14:paraId="08B6A23F">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天然气管道天然气泄漏</w:t>
            </w:r>
          </w:p>
        </w:tc>
        <w:tc>
          <w:tcPr>
            <w:tcW w:w="1244" w:type="dxa"/>
            <w:noWrap w:val="0"/>
            <w:vAlign w:val="center"/>
          </w:tcPr>
          <w:p w14:paraId="5E96E12C">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甲烷</w:t>
            </w:r>
          </w:p>
        </w:tc>
        <w:tc>
          <w:tcPr>
            <w:tcW w:w="3185" w:type="dxa"/>
            <w:noWrap w:val="0"/>
            <w:vAlign w:val="center"/>
          </w:tcPr>
          <w:p w14:paraId="342649C5">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情景：管线、阀门等破损泄漏；</w:t>
            </w:r>
          </w:p>
          <w:p w14:paraId="07AEDC51">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释放形态：气态；</w:t>
            </w:r>
          </w:p>
          <w:p w14:paraId="67F0B5BF">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释放途径：大气。</w:t>
            </w:r>
          </w:p>
        </w:tc>
        <w:tc>
          <w:tcPr>
            <w:tcW w:w="2282" w:type="dxa"/>
            <w:noWrap w:val="0"/>
            <w:vAlign w:val="center"/>
          </w:tcPr>
          <w:p w14:paraId="6247083D">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可能引发事件：火灾；</w:t>
            </w:r>
          </w:p>
          <w:p w14:paraId="4ADEDB3D">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释放形态：气态；</w:t>
            </w:r>
          </w:p>
          <w:p w14:paraId="5B603200">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释放途径：大气。</w:t>
            </w:r>
          </w:p>
        </w:tc>
      </w:tr>
      <w:tr w14:paraId="57DC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0" w:type="dxa"/>
            <w:noWrap w:val="0"/>
            <w:vAlign w:val="center"/>
          </w:tcPr>
          <w:p w14:paraId="2F5BA122">
            <w:pPr>
              <w:widowControl w:val="0"/>
              <w:overflowPunct w:val="0"/>
              <w:rPr>
                <w:rFonts w:ascii="Times New Roman" w:hAnsi="Times New Roman" w:eastAsia="宋体" w:cs="Times New Roman"/>
                <w:bCs/>
                <w:color w:val="auto"/>
                <w:szCs w:val="24"/>
                <w:highlight w:val="yellow"/>
                <w:lang w:eastAsia="zh-CN"/>
              </w:rPr>
            </w:pPr>
            <w:r>
              <w:rPr>
                <w:rFonts w:ascii="Times New Roman" w:hAnsi="Times New Roman" w:eastAsia="宋体" w:cs="Times New Roman"/>
                <w:bCs/>
                <w:color w:val="auto"/>
                <w:szCs w:val="24"/>
                <w:lang w:eastAsia="zh-CN"/>
              </w:rPr>
              <w:t>炎陵县污水处理厂、高新区污水处理厂废水事故排放</w:t>
            </w:r>
          </w:p>
        </w:tc>
        <w:tc>
          <w:tcPr>
            <w:tcW w:w="1244" w:type="dxa"/>
            <w:noWrap w:val="0"/>
            <w:vAlign w:val="center"/>
          </w:tcPr>
          <w:p w14:paraId="04B6CAF0">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事故水</w:t>
            </w:r>
          </w:p>
        </w:tc>
        <w:tc>
          <w:tcPr>
            <w:tcW w:w="3185" w:type="dxa"/>
            <w:noWrap w:val="0"/>
            <w:vAlign w:val="center"/>
          </w:tcPr>
          <w:p w14:paraId="30875102">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情景：污水处理效率下降或无处理直排；</w:t>
            </w:r>
          </w:p>
          <w:p w14:paraId="2A31559D">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释放形态：液态；</w:t>
            </w:r>
          </w:p>
          <w:p w14:paraId="34C3EE72">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释放途径：附</w:t>
            </w:r>
            <w:r>
              <w:rPr>
                <w:rFonts w:hint="eastAsia" w:ascii="Times New Roman" w:hAnsi="Times New Roman" w:eastAsia="宋体" w:cs="Times New Roman"/>
                <w:bCs/>
                <w:color w:val="auto"/>
                <w:szCs w:val="24"/>
                <w:lang w:eastAsia="zh-CN"/>
              </w:rPr>
              <w:t>近</w:t>
            </w:r>
            <w:r>
              <w:rPr>
                <w:rFonts w:ascii="Times New Roman" w:hAnsi="Times New Roman" w:eastAsia="宋体" w:cs="Times New Roman"/>
                <w:bCs/>
                <w:color w:val="auto"/>
                <w:szCs w:val="24"/>
                <w:lang w:eastAsia="zh-CN"/>
              </w:rPr>
              <w:t>水体。</w:t>
            </w:r>
          </w:p>
        </w:tc>
        <w:tc>
          <w:tcPr>
            <w:tcW w:w="2282" w:type="dxa"/>
            <w:noWrap w:val="0"/>
            <w:vAlign w:val="center"/>
          </w:tcPr>
          <w:p w14:paraId="0E9D8827">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0257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0" w:type="dxa"/>
            <w:noWrap w:val="0"/>
            <w:vAlign w:val="center"/>
          </w:tcPr>
          <w:p w14:paraId="75D70F65">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汽油运输车交通事故引发汽油燃烧</w:t>
            </w:r>
          </w:p>
        </w:tc>
        <w:tc>
          <w:tcPr>
            <w:tcW w:w="1244" w:type="dxa"/>
            <w:noWrap w:val="0"/>
            <w:vAlign w:val="center"/>
          </w:tcPr>
          <w:p w14:paraId="0AEFC167">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CO、SO</w:t>
            </w:r>
            <w:r>
              <w:rPr>
                <w:rFonts w:ascii="Times New Roman" w:hAnsi="Times New Roman" w:eastAsia="宋体" w:cs="Times New Roman"/>
                <w:bCs/>
                <w:color w:val="auto"/>
                <w:szCs w:val="24"/>
                <w:vertAlign w:val="subscript"/>
                <w:lang w:eastAsia="zh-CN"/>
              </w:rPr>
              <w:t>2</w:t>
            </w:r>
            <w:r>
              <w:rPr>
                <w:rFonts w:ascii="Times New Roman" w:hAnsi="Times New Roman" w:eastAsia="宋体" w:cs="Times New Roman"/>
                <w:bCs/>
                <w:color w:val="auto"/>
                <w:szCs w:val="24"/>
                <w:lang w:eastAsia="zh-CN"/>
              </w:rPr>
              <w:t>、NOx</w:t>
            </w:r>
          </w:p>
        </w:tc>
        <w:tc>
          <w:tcPr>
            <w:tcW w:w="3185" w:type="dxa"/>
            <w:noWrap w:val="0"/>
            <w:vAlign w:val="center"/>
          </w:tcPr>
          <w:p w14:paraId="2CE8D360">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情景：储罐破损泄漏泄露；</w:t>
            </w:r>
          </w:p>
          <w:p w14:paraId="344C6860">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释放形态：气态、液态；</w:t>
            </w:r>
          </w:p>
          <w:p w14:paraId="3DAE49FE">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释放途径：大气。</w:t>
            </w:r>
          </w:p>
        </w:tc>
        <w:tc>
          <w:tcPr>
            <w:tcW w:w="2282" w:type="dxa"/>
            <w:noWrap w:val="0"/>
            <w:vAlign w:val="center"/>
          </w:tcPr>
          <w:p w14:paraId="00AE93D6">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可能引发事件：火灾；</w:t>
            </w:r>
          </w:p>
          <w:p w14:paraId="4C3F8901">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释放形态：气态；</w:t>
            </w:r>
          </w:p>
          <w:p w14:paraId="69490116">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释放途径：大气。</w:t>
            </w:r>
          </w:p>
        </w:tc>
      </w:tr>
      <w:tr w14:paraId="3E48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0" w:type="dxa"/>
            <w:noWrap w:val="0"/>
            <w:vAlign w:val="center"/>
          </w:tcPr>
          <w:p w14:paraId="1C430A08">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汽油运输车交通事故引发汽油泄漏入河</w:t>
            </w:r>
          </w:p>
        </w:tc>
        <w:tc>
          <w:tcPr>
            <w:tcW w:w="1244" w:type="dxa"/>
            <w:noWrap w:val="0"/>
            <w:vAlign w:val="center"/>
          </w:tcPr>
          <w:p w14:paraId="03C4A173">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w:t>
            </w:r>
          </w:p>
        </w:tc>
        <w:tc>
          <w:tcPr>
            <w:tcW w:w="3185" w:type="dxa"/>
            <w:noWrap w:val="0"/>
            <w:vAlign w:val="center"/>
          </w:tcPr>
          <w:p w14:paraId="79081D85">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情景：油罐车泄漏入河；</w:t>
            </w:r>
          </w:p>
          <w:p w14:paraId="04CA0B23">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释放形态：液态；</w:t>
            </w:r>
          </w:p>
          <w:p w14:paraId="48F02570">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释放途径：水体、土壤。</w:t>
            </w:r>
          </w:p>
        </w:tc>
        <w:tc>
          <w:tcPr>
            <w:tcW w:w="2282" w:type="dxa"/>
            <w:noWrap w:val="0"/>
            <w:vAlign w:val="center"/>
          </w:tcPr>
          <w:p w14:paraId="082CACE5">
            <w:pPr>
              <w:widowControl w:val="0"/>
              <w:overflowPunct w:val="0"/>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bl>
    <w:p w14:paraId="02EA67E9">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300" w:name="_Toc18112"/>
      <w:bookmarkStart w:id="301" w:name="_Toc27361"/>
      <w:bookmarkStart w:id="302" w:name="_Toc3157"/>
      <w:bookmarkStart w:id="303" w:name="_Toc27552275"/>
      <w:bookmarkStart w:id="304" w:name="_Toc18463"/>
      <w:bookmarkStart w:id="305" w:name="_Toc31703"/>
      <w:r>
        <w:rPr>
          <w:rFonts w:ascii="Times New Roman" w:hAnsi="Times New Roman" w:eastAsia="宋体" w:cs="Times New Roman"/>
          <w:b/>
          <w:bCs/>
          <w:snapToGrid/>
          <w:color w:val="auto"/>
          <w:kern w:val="2"/>
          <w:sz w:val="30"/>
          <w:szCs w:val="32"/>
          <w:lang w:eastAsia="zh-CN"/>
        </w:rPr>
        <w:t>5.3 突发环境事件情景后果分析</w:t>
      </w:r>
      <w:bookmarkEnd w:id="300"/>
      <w:bookmarkEnd w:id="301"/>
      <w:bookmarkEnd w:id="302"/>
      <w:bookmarkEnd w:id="303"/>
      <w:bookmarkEnd w:id="304"/>
      <w:bookmarkEnd w:id="305"/>
    </w:p>
    <w:p w14:paraId="1F39D1F1">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06" w:name="_Toc27552278"/>
      <w:bookmarkStart w:id="307" w:name="_Toc20106"/>
      <w:bookmarkStart w:id="308" w:name="_Toc31953"/>
      <w:bookmarkStart w:id="309" w:name="_Toc8423"/>
      <w:bookmarkStart w:id="310" w:name="_Toc22698"/>
      <w:bookmarkStart w:id="311" w:name="_Toc14266"/>
      <w:r>
        <w:rPr>
          <w:rFonts w:ascii="Times New Roman" w:hAnsi="Times New Roman" w:eastAsia="宋体" w:cs="Times New Roman"/>
          <w:b/>
          <w:bCs/>
          <w:snapToGrid/>
          <w:color w:val="auto"/>
          <w:kern w:val="2"/>
          <w:sz w:val="24"/>
          <w:szCs w:val="32"/>
          <w:lang w:eastAsia="zh-CN"/>
        </w:rPr>
        <w:t>5.3.1 天然气管道天然气泄漏后果分析</w:t>
      </w:r>
      <w:bookmarkEnd w:id="306"/>
      <w:bookmarkEnd w:id="307"/>
      <w:bookmarkEnd w:id="308"/>
      <w:bookmarkEnd w:id="309"/>
      <w:bookmarkEnd w:id="310"/>
      <w:bookmarkEnd w:id="311"/>
    </w:p>
    <w:p w14:paraId="1F4897F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（1）天然气浓度危害阈值</w:t>
      </w:r>
    </w:p>
    <w:p w14:paraId="3D7DA6C8">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据相关资料显示</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长期结合粗天然气的工人没有明显的生理学变化</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高浓度的天然气主要使人体产生窒息作用</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其一般危害主要表现在对植物的影响。天然气（以甲烷计）不同浓度阈值危害主要见表5.3-1。</w:t>
      </w:r>
    </w:p>
    <w:p w14:paraId="57C4DBF5">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表5.3-1  天然气（以甲烷计）的不同浓度阈值所对应的危害</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977"/>
        <w:gridCol w:w="4195"/>
      </w:tblGrid>
      <w:tr w14:paraId="0F59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noWrap w:val="0"/>
            <w:vAlign w:val="center"/>
          </w:tcPr>
          <w:p w14:paraId="6593496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序号</w:t>
            </w:r>
          </w:p>
        </w:tc>
        <w:tc>
          <w:tcPr>
            <w:tcW w:w="2977" w:type="dxa"/>
            <w:noWrap w:val="0"/>
            <w:vAlign w:val="center"/>
          </w:tcPr>
          <w:p w14:paraId="06D9DB0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浓度（mg/m</w:t>
            </w:r>
            <w:r>
              <w:rPr>
                <w:rFonts w:ascii="Times New Roman" w:hAnsi="Times New Roman" w:eastAsia="宋体" w:cs="Times New Roman"/>
                <w:bCs/>
                <w:color w:val="auto"/>
                <w:szCs w:val="24"/>
                <w:vertAlign w:val="superscript"/>
                <w:lang w:eastAsia="zh-CN"/>
              </w:rPr>
              <w:t>3</w:t>
            </w:r>
            <w:r>
              <w:rPr>
                <w:rFonts w:ascii="Times New Roman" w:hAnsi="Times New Roman" w:eastAsia="宋体" w:cs="Times New Roman"/>
                <w:bCs/>
                <w:color w:val="auto"/>
                <w:szCs w:val="24"/>
                <w:lang w:eastAsia="zh-CN"/>
              </w:rPr>
              <w:t>）</w:t>
            </w:r>
          </w:p>
        </w:tc>
        <w:tc>
          <w:tcPr>
            <w:tcW w:w="4195" w:type="dxa"/>
            <w:noWrap w:val="0"/>
            <w:vAlign w:val="center"/>
          </w:tcPr>
          <w:p w14:paraId="7C94384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影响</w:t>
            </w:r>
          </w:p>
        </w:tc>
      </w:tr>
      <w:tr w14:paraId="18EE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noWrap w:val="0"/>
            <w:vAlign w:val="center"/>
          </w:tcPr>
          <w:p w14:paraId="25763D0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w:t>
            </w:r>
          </w:p>
        </w:tc>
        <w:tc>
          <w:tcPr>
            <w:tcW w:w="2977" w:type="dxa"/>
            <w:noWrap w:val="0"/>
            <w:vAlign w:val="center"/>
          </w:tcPr>
          <w:p w14:paraId="3E8B77F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180</w:t>
            </w:r>
          </w:p>
        </w:tc>
        <w:tc>
          <w:tcPr>
            <w:tcW w:w="4195" w:type="dxa"/>
            <w:noWrap w:val="0"/>
            <w:vAlign w:val="center"/>
          </w:tcPr>
          <w:p w14:paraId="65F0D95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48 min会使番茄叶柄受损伤</w:t>
            </w:r>
          </w:p>
        </w:tc>
      </w:tr>
      <w:tr w14:paraId="4BD3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noWrap w:val="0"/>
            <w:vAlign w:val="center"/>
          </w:tcPr>
          <w:p w14:paraId="322F8CE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w:t>
            </w:r>
          </w:p>
        </w:tc>
        <w:tc>
          <w:tcPr>
            <w:tcW w:w="2977" w:type="dxa"/>
            <w:noWrap w:val="0"/>
            <w:vAlign w:val="center"/>
          </w:tcPr>
          <w:p w14:paraId="6C65590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560</w:t>
            </w:r>
          </w:p>
        </w:tc>
        <w:tc>
          <w:tcPr>
            <w:tcW w:w="4195" w:type="dxa"/>
            <w:noWrap w:val="0"/>
            <w:vAlign w:val="center"/>
          </w:tcPr>
          <w:p w14:paraId="2742F35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72 min使豌豆幼株向下弯曲</w:t>
            </w:r>
          </w:p>
        </w:tc>
      </w:tr>
      <w:tr w14:paraId="06E2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noWrap w:val="0"/>
            <w:vAlign w:val="center"/>
          </w:tcPr>
          <w:p w14:paraId="4EEA780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w:t>
            </w:r>
          </w:p>
        </w:tc>
        <w:tc>
          <w:tcPr>
            <w:tcW w:w="2977" w:type="dxa"/>
            <w:noWrap w:val="0"/>
            <w:vAlign w:val="center"/>
          </w:tcPr>
          <w:p w14:paraId="30E5DCF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8600</w:t>
            </w:r>
          </w:p>
        </w:tc>
        <w:tc>
          <w:tcPr>
            <w:tcW w:w="4195" w:type="dxa"/>
            <w:noWrap w:val="0"/>
            <w:vAlign w:val="center"/>
          </w:tcPr>
          <w:p w14:paraId="5319A25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使人产生单纯性窒息</w:t>
            </w:r>
          </w:p>
        </w:tc>
      </w:tr>
    </w:tbl>
    <w:p w14:paraId="491A554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（2）泄漏事故状态下的窒息范围</w:t>
      </w:r>
    </w:p>
    <w:p w14:paraId="7C20733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天然气泄漏后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若没有遇到火源</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将在自身动量和气象条件下与空气混合稀释扩散。类比同类型管线</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管道100%泄漏时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窒息浓度范围预计在15—20 m以内。</w:t>
      </w:r>
    </w:p>
    <w:p w14:paraId="472B201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天然气（以甲烷为主）比空气质量轻</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管道断裂时天然气泄漏</w:t>
      </w:r>
      <w:r>
        <w:rPr>
          <w:rFonts w:hint="eastAsia" w:ascii="Times New Roman" w:hAnsi="Times New Roman" w:eastAsia="宋体" w:cs="Times New Roman"/>
          <w:snapToGrid/>
          <w:color w:val="auto"/>
          <w:kern w:val="2"/>
          <w:sz w:val="24"/>
          <w:szCs w:val="22"/>
          <w:lang w:eastAsia="zh-CN"/>
        </w:rPr>
        <w:t>或</w:t>
      </w:r>
      <w:r>
        <w:rPr>
          <w:rFonts w:ascii="Times New Roman" w:hAnsi="Times New Roman" w:eastAsia="宋体" w:cs="Times New Roman"/>
          <w:snapToGrid/>
          <w:color w:val="auto"/>
          <w:kern w:val="2"/>
          <w:sz w:val="24"/>
          <w:szCs w:val="22"/>
          <w:lang w:eastAsia="zh-CN"/>
        </w:rPr>
        <w:t>站场天然气泄漏事故发生后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泄漏为喷射状态</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若不遇明火</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天然气烟团将迅速扩散并上升</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窒息浓度形成的时间很短</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对周围人群的影响有限。</w:t>
      </w:r>
    </w:p>
    <w:p w14:paraId="43ECB9E4">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12" w:name="_Toc7212"/>
      <w:bookmarkStart w:id="313" w:name="_Toc13925"/>
      <w:bookmarkStart w:id="314" w:name="_Toc27552280"/>
      <w:bookmarkStart w:id="315" w:name="_Toc8041"/>
      <w:bookmarkStart w:id="316" w:name="_Toc2793"/>
      <w:bookmarkStart w:id="317" w:name="_Toc8356"/>
      <w:r>
        <w:rPr>
          <w:rFonts w:ascii="Times New Roman" w:hAnsi="Times New Roman" w:eastAsia="宋体" w:cs="Times New Roman"/>
          <w:b/>
          <w:bCs/>
          <w:snapToGrid/>
          <w:color w:val="auto"/>
          <w:kern w:val="2"/>
          <w:sz w:val="24"/>
          <w:szCs w:val="32"/>
          <w:lang w:eastAsia="zh-CN"/>
        </w:rPr>
        <w:t>5.3.2 汽油运输车交通事故引发汽油燃烧后果分析</w:t>
      </w:r>
      <w:bookmarkEnd w:id="312"/>
      <w:bookmarkEnd w:id="313"/>
      <w:bookmarkEnd w:id="314"/>
      <w:bookmarkEnd w:id="315"/>
      <w:bookmarkEnd w:id="316"/>
      <w:bookmarkEnd w:id="317"/>
    </w:p>
    <w:p w14:paraId="0D63E204">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本次评估假设一辆20 m</w:t>
      </w:r>
      <w:r>
        <w:rPr>
          <w:rFonts w:ascii="Times New Roman" w:hAnsi="Times New Roman" w:eastAsia="宋体" w:cs="Times New Roman"/>
          <w:snapToGrid/>
          <w:color w:val="auto"/>
          <w:kern w:val="2"/>
          <w:sz w:val="24"/>
          <w:szCs w:val="22"/>
          <w:vertAlign w:val="superscript"/>
          <w:lang w:eastAsia="zh-CN"/>
        </w:rPr>
        <w:t>3</w:t>
      </w:r>
      <w:r>
        <w:rPr>
          <w:rFonts w:ascii="Times New Roman" w:hAnsi="Times New Roman" w:eastAsia="宋体" w:cs="Times New Roman"/>
          <w:snapToGrid/>
          <w:color w:val="auto"/>
          <w:kern w:val="2"/>
          <w:sz w:val="24"/>
          <w:szCs w:val="22"/>
          <w:lang w:eastAsia="zh-CN"/>
        </w:rPr>
        <w:t>汽油运输车在沿河路段因交通事故造成侧翻引起汽油全部泄漏燃烧。</w:t>
      </w:r>
    </w:p>
    <w:p w14:paraId="7AAE101F">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①液池燃烧速度</w:t>
      </w:r>
    </w:p>
    <w:p w14:paraId="3538A2A3">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单位面积的燃烧速度为：</w:t>
      </w:r>
    </w:p>
    <w:p w14:paraId="247C3F2C">
      <w:pPr>
        <w:widowControl w:val="0"/>
        <w:tabs>
          <w:tab w:val="left" w:pos="6043"/>
        </w:tabs>
        <w:kinsoku/>
        <w:autoSpaceDE/>
        <w:autoSpaceDN/>
        <w:adjustRightInd/>
        <w:snapToGrid/>
        <w:spacing w:line="440" w:lineRule="exact"/>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2"/>
          <w:lang w:eastAsia="zh-CN"/>
        </w:rPr>
        <w:drawing>
          <wp:anchor distT="0" distB="0" distL="114300" distR="114300" simplePos="0" relativeHeight="251697152" behindDoc="0" locked="0" layoutInCell="1" allowOverlap="1">
            <wp:simplePos x="0" y="0"/>
            <wp:positionH relativeFrom="column">
              <wp:posOffset>1133475</wp:posOffset>
            </wp:positionH>
            <wp:positionV relativeFrom="paragraph">
              <wp:posOffset>109220</wp:posOffset>
            </wp:positionV>
            <wp:extent cx="1963420" cy="614045"/>
            <wp:effectExtent l="0" t="0" r="17780" b="14605"/>
            <wp:wrapNone/>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r:embed="rId21"/>
                    <a:stretch>
                      <a:fillRect/>
                    </a:stretch>
                  </pic:blipFill>
                  <pic:spPr>
                    <a:xfrm>
                      <a:off x="0" y="0"/>
                      <a:ext cx="1963420" cy="614045"/>
                    </a:xfrm>
                    <a:prstGeom prst="rect">
                      <a:avLst/>
                    </a:prstGeom>
                    <a:noFill/>
                    <a:ln>
                      <a:noFill/>
                    </a:ln>
                  </pic:spPr>
                </pic:pic>
              </a:graphicData>
            </a:graphic>
          </wp:anchor>
        </w:drawing>
      </w:r>
      <w:r>
        <w:rPr>
          <w:rFonts w:ascii="Times New Roman" w:hAnsi="Times New Roman" w:eastAsia="宋体" w:cs="Times New Roman"/>
          <w:snapToGrid/>
          <w:color w:val="auto"/>
          <w:sz w:val="24"/>
          <w:szCs w:val="24"/>
          <w:lang w:eastAsia="zh-CN"/>
        </w:rPr>
        <w:t xml:space="preserve">   </w:t>
      </w:r>
    </w:p>
    <w:p w14:paraId="0C4D3AEE">
      <w:pPr>
        <w:widowControl w:val="0"/>
        <w:tabs>
          <w:tab w:val="left" w:pos="6043"/>
        </w:tabs>
        <w:kinsoku/>
        <w:autoSpaceDE/>
        <w:autoSpaceDN/>
        <w:adjustRightInd/>
        <w:snapToGrid/>
        <w:spacing w:line="440" w:lineRule="exact"/>
        <w:ind w:firstLine="5040" w:firstLineChars="2100"/>
        <w:textAlignment w:val="auto"/>
        <w:rPr>
          <w:rFonts w:ascii="Times New Roman" w:hAnsi="Times New Roman" w:eastAsia="宋体" w:cs="Times New Roman"/>
          <w:snapToGrid/>
          <w:color w:val="auto"/>
          <w:sz w:val="24"/>
          <w:szCs w:val="24"/>
          <w:lang w:eastAsia="zh-CN"/>
        </w:rPr>
      </w:pPr>
    </w:p>
    <w:p w14:paraId="1253DCFE">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sz w:val="24"/>
          <w:szCs w:val="24"/>
          <w:lang w:eastAsia="zh-CN"/>
        </w:rPr>
        <w:t>式中：</w:t>
      </w:r>
    </w:p>
    <w:p w14:paraId="2500D264">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4"/>
          <w:lang w:eastAsia="zh-CN"/>
        </w:rPr>
        <w:drawing>
          <wp:inline distT="0" distB="0" distL="114300" distR="114300">
            <wp:extent cx="273050" cy="408940"/>
            <wp:effectExtent l="0" t="0" r="12700" b="1016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22"/>
                    <a:stretch>
                      <a:fillRect/>
                    </a:stretch>
                  </pic:blipFill>
                  <pic:spPr>
                    <a:xfrm>
                      <a:off x="0" y="0"/>
                      <a:ext cx="273050" cy="408940"/>
                    </a:xfrm>
                    <a:prstGeom prst="rect">
                      <a:avLst/>
                    </a:prstGeom>
                    <a:noFill/>
                    <a:ln>
                      <a:noFill/>
                    </a:ln>
                  </pic:spPr>
                </pic:pic>
              </a:graphicData>
            </a:graphic>
          </wp:inline>
        </w:drawing>
      </w:r>
      <w:r>
        <w:rPr>
          <w:rFonts w:ascii="Times New Roman" w:hAnsi="Times New Roman" w:eastAsia="宋体" w:cs="Times New Roman"/>
          <w:snapToGrid/>
          <w:color w:val="auto"/>
          <w:sz w:val="24"/>
          <w:szCs w:val="24"/>
          <w:lang w:eastAsia="zh-CN"/>
        </w:rPr>
        <w:t>——单位表面积的燃烧速度</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kg/m</w:t>
      </w:r>
      <w:r>
        <w:rPr>
          <w:rFonts w:ascii="Times New Roman" w:hAnsi="Times New Roman" w:eastAsia="宋体" w:cs="Times New Roman"/>
          <w:snapToGrid/>
          <w:color w:val="auto"/>
          <w:sz w:val="24"/>
          <w:szCs w:val="24"/>
          <w:vertAlign w:val="superscript"/>
          <w:lang w:eastAsia="zh-CN"/>
        </w:rPr>
        <w:t>2</w:t>
      </w:r>
      <w:r>
        <w:rPr>
          <w:rFonts w:ascii="Times New Roman" w:hAnsi="Times New Roman" w:eastAsia="宋体" w:cs="Times New Roman"/>
          <w:snapToGrid/>
          <w:color w:val="auto"/>
          <w:sz w:val="24"/>
          <w:szCs w:val="24"/>
          <w:lang w:eastAsia="zh-CN"/>
        </w:rPr>
        <w:t>·s；</w:t>
      </w:r>
    </w:p>
    <w:p w14:paraId="54957FD9">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4"/>
          <w:lang w:eastAsia="zh-CN"/>
        </w:rPr>
        <w:t>C</w:t>
      </w:r>
      <w:r>
        <w:rPr>
          <w:rFonts w:ascii="Times New Roman" w:hAnsi="Times New Roman" w:eastAsia="宋体" w:cs="Times New Roman"/>
          <w:snapToGrid/>
          <w:color w:val="auto"/>
          <w:kern w:val="2"/>
          <w:sz w:val="24"/>
          <w:szCs w:val="24"/>
          <w:vertAlign w:val="subscript"/>
          <w:lang w:eastAsia="zh-CN"/>
        </w:rPr>
        <w:t>p</w:t>
      </w:r>
      <w:r>
        <w:rPr>
          <w:rFonts w:ascii="Times New Roman" w:hAnsi="Times New Roman" w:eastAsia="宋体" w:cs="Times New Roman"/>
          <w:snapToGrid/>
          <w:color w:val="auto"/>
          <w:sz w:val="24"/>
          <w:szCs w:val="24"/>
          <w:lang w:eastAsia="zh-CN"/>
        </w:rPr>
        <w:t>——液体的定压比热</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J/kg·K；</w:t>
      </w:r>
    </w:p>
    <w:p w14:paraId="2140D335">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4"/>
          <w:lang w:eastAsia="zh-CN"/>
        </w:rPr>
        <w:t>T</w:t>
      </w:r>
      <w:r>
        <w:rPr>
          <w:rFonts w:ascii="Times New Roman" w:hAnsi="Times New Roman" w:eastAsia="宋体" w:cs="Times New Roman"/>
          <w:snapToGrid/>
          <w:color w:val="auto"/>
          <w:kern w:val="2"/>
          <w:sz w:val="24"/>
          <w:szCs w:val="24"/>
          <w:vertAlign w:val="subscript"/>
          <w:lang w:eastAsia="zh-CN"/>
        </w:rPr>
        <w:t>b</w:t>
      </w:r>
      <w:r>
        <w:rPr>
          <w:rFonts w:ascii="Times New Roman" w:hAnsi="Times New Roman" w:eastAsia="宋体" w:cs="Times New Roman"/>
          <w:snapToGrid/>
          <w:color w:val="auto"/>
          <w:sz w:val="24"/>
          <w:szCs w:val="24"/>
          <w:lang w:eastAsia="zh-CN"/>
        </w:rPr>
        <w:t>——液体沸点</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K；</w:t>
      </w:r>
    </w:p>
    <w:p w14:paraId="73893BF0">
      <w:pPr>
        <w:widowControl w:val="0"/>
        <w:kinsoku/>
        <w:autoSpaceDE/>
        <w:autoSpaceDN/>
        <w:adjustRightInd/>
        <w:snapToGrid/>
        <w:spacing w:line="440" w:lineRule="exact"/>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4"/>
          <w:lang w:eastAsia="zh-CN"/>
        </w:rPr>
        <w:t>T</w:t>
      </w:r>
      <w:r>
        <w:rPr>
          <w:rFonts w:ascii="Times New Roman" w:hAnsi="Times New Roman" w:eastAsia="宋体" w:cs="Times New Roman"/>
          <w:snapToGrid/>
          <w:color w:val="auto"/>
          <w:kern w:val="2"/>
          <w:sz w:val="24"/>
          <w:szCs w:val="24"/>
          <w:vertAlign w:val="subscript"/>
          <w:lang w:eastAsia="zh-CN"/>
        </w:rPr>
        <w:t>0</w:t>
      </w:r>
      <w:r>
        <w:rPr>
          <w:rFonts w:ascii="Times New Roman" w:hAnsi="Times New Roman" w:eastAsia="宋体" w:cs="Times New Roman"/>
          <w:snapToGrid/>
          <w:color w:val="auto"/>
          <w:sz w:val="24"/>
          <w:szCs w:val="24"/>
          <w:lang w:eastAsia="zh-CN"/>
        </w:rPr>
        <w:t>——环境温度</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K；</w:t>
      </w:r>
    </w:p>
    <w:p w14:paraId="59EE6B57">
      <w:pPr>
        <w:widowControl w:val="0"/>
        <w:kinsoku/>
        <w:autoSpaceDE/>
        <w:autoSpaceDN/>
        <w:adjustRightInd/>
        <w:snapToGrid/>
        <w:spacing w:line="440" w:lineRule="exact"/>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4"/>
          <w:lang w:eastAsia="zh-CN"/>
        </w:rPr>
        <w:t>H</w:t>
      </w:r>
      <w:r>
        <w:rPr>
          <w:rFonts w:ascii="Times New Roman" w:hAnsi="Times New Roman" w:eastAsia="宋体" w:cs="Times New Roman"/>
          <w:snapToGrid/>
          <w:color w:val="auto"/>
          <w:kern w:val="2"/>
          <w:sz w:val="24"/>
          <w:szCs w:val="24"/>
          <w:vertAlign w:val="subscript"/>
          <w:lang w:eastAsia="zh-CN"/>
        </w:rPr>
        <w:t>c</w:t>
      </w:r>
      <w:r>
        <w:rPr>
          <w:rFonts w:ascii="Times New Roman" w:hAnsi="Times New Roman" w:eastAsia="宋体" w:cs="Times New Roman"/>
          <w:snapToGrid/>
          <w:color w:val="auto"/>
          <w:sz w:val="24"/>
          <w:szCs w:val="24"/>
          <w:lang w:eastAsia="zh-CN"/>
        </w:rPr>
        <w:t>——液体的燃烧焓</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J/kg；</w:t>
      </w:r>
    </w:p>
    <w:p w14:paraId="304DCCA4">
      <w:pPr>
        <w:widowControl w:val="0"/>
        <w:kinsoku/>
        <w:autoSpaceDE/>
        <w:autoSpaceDN/>
        <w:adjustRightInd/>
        <w:snapToGrid/>
        <w:spacing w:line="440" w:lineRule="exact"/>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4"/>
          <w:lang w:eastAsia="zh-CN"/>
        </w:rPr>
        <w:t>H</w:t>
      </w:r>
      <w:r>
        <w:rPr>
          <w:rFonts w:ascii="Times New Roman" w:hAnsi="Times New Roman" w:eastAsia="宋体" w:cs="Times New Roman"/>
          <w:snapToGrid/>
          <w:color w:val="auto"/>
          <w:kern w:val="2"/>
          <w:sz w:val="24"/>
          <w:szCs w:val="24"/>
          <w:vertAlign w:val="subscript"/>
          <w:lang w:eastAsia="zh-CN"/>
        </w:rPr>
        <w:t>avp</w:t>
      </w:r>
      <w:r>
        <w:rPr>
          <w:rFonts w:ascii="Times New Roman" w:hAnsi="Times New Roman" w:eastAsia="宋体" w:cs="Times New Roman"/>
          <w:snapToGrid/>
          <w:color w:val="auto"/>
          <w:sz w:val="24"/>
          <w:szCs w:val="24"/>
          <w:lang w:eastAsia="zh-CN"/>
        </w:rPr>
        <w:t>——液体的蒸发焓</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J/kg。</w:t>
      </w:r>
    </w:p>
    <w:p w14:paraId="2FC28C6A">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对于汽油</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C</w:t>
      </w:r>
      <w:r>
        <w:rPr>
          <w:rFonts w:ascii="Times New Roman" w:hAnsi="Times New Roman" w:eastAsia="宋体" w:cs="Times New Roman"/>
          <w:snapToGrid/>
          <w:color w:val="auto"/>
          <w:kern w:val="2"/>
          <w:sz w:val="24"/>
          <w:szCs w:val="24"/>
          <w:vertAlign w:val="subscript"/>
          <w:lang w:eastAsia="zh-CN"/>
        </w:rPr>
        <w:t>p</w:t>
      </w:r>
      <w:r>
        <w:rPr>
          <w:rFonts w:ascii="Times New Roman" w:hAnsi="Times New Roman" w:eastAsia="宋体" w:cs="Times New Roman"/>
          <w:snapToGrid/>
          <w:color w:val="auto"/>
          <w:kern w:val="2"/>
          <w:sz w:val="24"/>
          <w:szCs w:val="24"/>
          <w:lang w:eastAsia="zh-CN"/>
        </w:rPr>
        <w:t xml:space="preserve">取1650 </w:t>
      </w:r>
      <w:r>
        <w:rPr>
          <w:rFonts w:ascii="Times New Roman" w:hAnsi="Times New Roman" w:eastAsia="宋体" w:cs="Times New Roman"/>
          <w:snapToGrid/>
          <w:color w:val="auto"/>
          <w:sz w:val="24"/>
          <w:szCs w:val="24"/>
          <w:lang w:eastAsia="zh-CN"/>
        </w:rPr>
        <w:t>J/kg·K</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T</w:t>
      </w:r>
      <w:r>
        <w:rPr>
          <w:rFonts w:ascii="Times New Roman" w:hAnsi="Times New Roman" w:eastAsia="宋体" w:cs="Times New Roman"/>
          <w:snapToGrid/>
          <w:color w:val="auto"/>
          <w:kern w:val="2"/>
          <w:sz w:val="24"/>
          <w:szCs w:val="24"/>
          <w:vertAlign w:val="subscript"/>
          <w:lang w:eastAsia="zh-CN"/>
        </w:rPr>
        <w:t>b</w:t>
      </w:r>
      <w:r>
        <w:rPr>
          <w:rFonts w:ascii="Times New Roman" w:hAnsi="Times New Roman" w:eastAsia="宋体" w:cs="Times New Roman"/>
          <w:snapToGrid/>
          <w:color w:val="auto"/>
          <w:kern w:val="2"/>
          <w:sz w:val="24"/>
          <w:szCs w:val="24"/>
          <w:lang w:eastAsia="zh-CN"/>
        </w:rPr>
        <w:t>取399.15</w:t>
      </w:r>
      <w:r>
        <w:rPr>
          <w:rFonts w:hint="eastAsia" w:ascii="Times New Roman" w:hAnsi="Times New Roman" w:eastAsia="宋体" w:cs="Times New Roman"/>
          <w:snapToGrid/>
          <w:color w:val="auto"/>
          <w:kern w:val="2"/>
          <w:sz w:val="24"/>
          <w:szCs w:val="24"/>
          <w:lang w:eastAsia="zh-CN"/>
        </w:rPr>
        <w:t xml:space="preserve"> </w:t>
      </w:r>
      <w:r>
        <w:rPr>
          <w:rFonts w:ascii="Times New Roman" w:hAnsi="Times New Roman" w:eastAsia="宋体" w:cs="Times New Roman"/>
          <w:snapToGrid/>
          <w:color w:val="auto"/>
          <w:kern w:val="2"/>
          <w:sz w:val="24"/>
          <w:szCs w:val="24"/>
          <w:lang w:eastAsia="zh-CN"/>
        </w:rPr>
        <w:t>K</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T</w:t>
      </w:r>
      <w:r>
        <w:rPr>
          <w:rFonts w:ascii="Times New Roman" w:hAnsi="Times New Roman" w:eastAsia="宋体" w:cs="Times New Roman"/>
          <w:snapToGrid/>
          <w:color w:val="auto"/>
          <w:kern w:val="2"/>
          <w:sz w:val="24"/>
          <w:szCs w:val="24"/>
          <w:vertAlign w:val="subscript"/>
          <w:lang w:eastAsia="zh-CN"/>
        </w:rPr>
        <w:t>0</w:t>
      </w:r>
      <w:r>
        <w:rPr>
          <w:rFonts w:ascii="Times New Roman" w:hAnsi="Times New Roman" w:eastAsia="宋体" w:cs="Times New Roman"/>
          <w:snapToGrid/>
          <w:color w:val="auto"/>
          <w:kern w:val="2"/>
          <w:sz w:val="24"/>
          <w:szCs w:val="24"/>
          <w:lang w:eastAsia="zh-CN"/>
        </w:rPr>
        <w:t>取290.35</w:t>
      </w:r>
      <w:r>
        <w:rPr>
          <w:rFonts w:hint="eastAsia" w:ascii="Times New Roman" w:hAnsi="Times New Roman" w:eastAsia="宋体" w:cs="Times New Roman"/>
          <w:snapToGrid/>
          <w:color w:val="auto"/>
          <w:kern w:val="2"/>
          <w:sz w:val="24"/>
          <w:szCs w:val="24"/>
          <w:lang w:eastAsia="zh-CN"/>
        </w:rPr>
        <w:t xml:space="preserve"> </w:t>
      </w:r>
      <w:r>
        <w:rPr>
          <w:rFonts w:ascii="Times New Roman" w:hAnsi="Times New Roman" w:eastAsia="宋体" w:cs="Times New Roman"/>
          <w:snapToGrid/>
          <w:color w:val="auto"/>
          <w:kern w:val="2"/>
          <w:sz w:val="24"/>
          <w:szCs w:val="24"/>
          <w:lang w:eastAsia="zh-CN"/>
        </w:rPr>
        <w:t>K</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H</w:t>
      </w:r>
      <w:r>
        <w:rPr>
          <w:rFonts w:ascii="Times New Roman" w:hAnsi="Times New Roman" w:eastAsia="宋体" w:cs="Times New Roman"/>
          <w:snapToGrid/>
          <w:color w:val="auto"/>
          <w:kern w:val="2"/>
          <w:sz w:val="24"/>
          <w:szCs w:val="24"/>
          <w:vertAlign w:val="subscript"/>
          <w:lang w:eastAsia="zh-CN"/>
        </w:rPr>
        <w:t>avp</w:t>
      </w:r>
      <w:r>
        <w:rPr>
          <w:rFonts w:ascii="Times New Roman" w:hAnsi="Times New Roman" w:eastAsia="宋体" w:cs="Times New Roman"/>
          <w:snapToGrid/>
          <w:color w:val="auto"/>
          <w:kern w:val="2"/>
          <w:sz w:val="24"/>
          <w:szCs w:val="24"/>
          <w:lang w:eastAsia="zh-CN"/>
        </w:rPr>
        <w:t>取363.41×10</w:t>
      </w:r>
      <w:r>
        <w:rPr>
          <w:rFonts w:ascii="Times New Roman" w:hAnsi="Times New Roman" w:eastAsia="宋体" w:cs="Times New Roman"/>
          <w:snapToGrid/>
          <w:color w:val="auto"/>
          <w:kern w:val="2"/>
          <w:sz w:val="24"/>
          <w:szCs w:val="24"/>
          <w:vertAlign w:val="superscript"/>
          <w:lang w:eastAsia="zh-CN"/>
        </w:rPr>
        <w:t xml:space="preserve">3 </w:t>
      </w:r>
      <w:r>
        <w:rPr>
          <w:rFonts w:ascii="Times New Roman" w:hAnsi="Times New Roman" w:eastAsia="宋体" w:cs="Times New Roman"/>
          <w:snapToGrid/>
          <w:color w:val="auto"/>
          <w:kern w:val="2"/>
          <w:sz w:val="24"/>
          <w:szCs w:val="24"/>
          <w:lang w:eastAsia="zh-CN"/>
        </w:rPr>
        <w:t>J/kg</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H</w:t>
      </w:r>
      <w:r>
        <w:rPr>
          <w:rFonts w:ascii="Times New Roman" w:hAnsi="Times New Roman" w:eastAsia="宋体" w:cs="Times New Roman"/>
          <w:snapToGrid/>
          <w:color w:val="auto"/>
          <w:kern w:val="2"/>
          <w:sz w:val="24"/>
          <w:szCs w:val="24"/>
          <w:vertAlign w:val="subscript"/>
          <w:lang w:eastAsia="zh-CN"/>
        </w:rPr>
        <w:t>c</w:t>
      </w:r>
      <w:r>
        <w:rPr>
          <w:rFonts w:ascii="Times New Roman" w:hAnsi="Times New Roman" w:eastAsia="宋体" w:cs="Times New Roman"/>
          <w:snapToGrid/>
          <w:color w:val="auto"/>
          <w:kern w:val="2"/>
          <w:sz w:val="24"/>
          <w:szCs w:val="24"/>
          <w:lang w:eastAsia="zh-CN"/>
        </w:rPr>
        <w:t>取47.67×10</w:t>
      </w:r>
      <w:r>
        <w:rPr>
          <w:rFonts w:ascii="Times New Roman" w:hAnsi="Times New Roman" w:eastAsia="宋体" w:cs="Times New Roman"/>
          <w:snapToGrid/>
          <w:color w:val="auto"/>
          <w:kern w:val="2"/>
          <w:sz w:val="24"/>
          <w:szCs w:val="24"/>
          <w:vertAlign w:val="superscript"/>
          <w:lang w:eastAsia="zh-CN"/>
        </w:rPr>
        <w:t>6</w:t>
      </w:r>
      <w:r>
        <w:rPr>
          <w:rFonts w:ascii="Times New Roman" w:hAnsi="Times New Roman" w:eastAsia="宋体" w:cs="Times New Roman"/>
          <w:snapToGrid/>
          <w:color w:val="auto"/>
          <w:kern w:val="2"/>
          <w:sz w:val="24"/>
          <w:szCs w:val="24"/>
          <w:lang w:eastAsia="zh-CN"/>
        </w:rPr>
        <w:t xml:space="preserve"> J/kg</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由此算得汽油燃烧速度为0.26</w:t>
      </w:r>
      <w:r>
        <w:rPr>
          <w:rFonts w:hint="eastAsia" w:ascii="Times New Roman" w:hAnsi="Times New Roman" w:eastAsia="宋体" w:cs="Times New Roman"/>
          <w:snapToGrid/>
          <w:color w:val="auto"/>
          <w:kern w:val="2"/>
          <w:sz w:val="24"/>
          <w:szCs w:val="24"/>
          <w:lang w:eastAsia="zh-CN"/>
        </w:rPr>
        <w:t xml:space="preserve"> </w:t>
      </w:r>
      <w:r>
        <w:rPr>
          <w:rFonts w:ascii="Times New Roman" w:hAnsi="Times New Roman" w:eastAsia="宋体" w:cs="Times New Roman"/>
          <w:snapToGrid/>
          <w:color w:val="auto"/>
          <w:sz w:val="24"/>
          <w:szCs w:val="24"/>
          <w:lang w:eastAsia="zh-CN"/>
        </w:rPr>
        <w:t>kg/m</w:t>
      </w:r>
      <w:r>
        <w:rPr>
          <w:rFonts w:ascii="Times New Roman" w:hAnsi="Times New Roman" w:eastAsia="宋体" w:cs="Times New Roman"/>
          <w:snapToGrid/>
          <w:color w:val="auto"/>
          <w:sz w:val="24"/>
          <w:szCs w:val="24"/>
          <w:vertAlign w:val="superscript"/>
          <w:lang w:eastAsia="zh-CN"/>
        </w:rPr>
        <w:t>2</w:t>
      </w:r>
      <w:r>
        <w:rPr>
          <w:rFonts w:ascii="Times New Roman" w:hAnsi="Times New Roman" w:eastAsia="宋体" w:cs="Times New Roman"/>
          <w:snapToGrid/>
          <w:color w:val="auto"/>
          <w:sz w:val="24"/>
          <w:szCs w:val="24"/>
          <w:lang w:eastAsia="zh-CN"/>
        </w:rPr>
        <w:t>·s</w:t>
      </w:r>
      <w:r>
        <w:rPr>
          <w:rFonts w:ascii="Times New Roman" w:hAnsi="Times New Roman" w:eastAsia="宋体" w:cs="Times New Roman"/>
          <w:snapToGrid/>
          <w:color w:val="auto"/>
          <w:kern w:val="2"/>
          <w:sz w:val="24"/>
          <w:szCs w:val="24"/>
          <w:lang w:eastAsia="zh-CN"/>
        </w:rPr>
        <w:t>。</w:t>
      </w:r>
    </w:p>
    <w:p w14:paraId="6941326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② SO</w:t>
      </w:r>
      <w:r>
        <w:rPr>
          <w:rFonts w:ascii="Times New Roman" w:hAnsi="Times New Roman" w:eastAsia="宋体" w:cs="Times New Roman"/>
          <w:snapToGrid/>
          <w:color w:val="auto"/>
          <w:kern w:val="2"/>
          <w:sz w:val="24"/>
          <w:szCs w:val="24"/>
          <w:vertAlign w:val="subscript"/>
          <w:lang w:eastAsia="zh-CN"/>
        </w:rPr>
        <w:t>2</w:t>
      </w:r>
      <w:r>
        <w:rPr>
          <w:rFonts w:ascii="Times New Roman" w:hAnsi="Times New Roman" w:eastAsia="宋体" w:cs="Times New Roman"/>
          <w:snapToGrid/>
          <w:color w:val="auto"/>
          <w:kern w:val="2"/>
          <w:sz w:val="24"/>
          <w:szCs w:val="24"/>
          <w:lang w:eastAsia="zh-CN"/>
        </w:rPr>
        <w:t>产生量：</w:t>
      </w:r>
    </w:p>
    <w:p w14:paraId="003487BA">
      <w:pPr>
        <w:widowControl w:val="0"/>
        <w:kinsoku/>
        <w:autoSpaceDE/>
        <w:autoSpaceDN/>
        <w:adjustRightInd/>
        <w:snapToGrid/>
        <w:spacing w:line="360" w:lineRule="auto"/>
        <w:ind w:left="1680" w:leftChars="800"/>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G</w:t>
      </w:r>
      <w:r>
        <w:rPr>
          <w:rFonts w:ascii="Times New Roman" w:hAnsi="Times New Roman" w:eastAsia="宋体" w:cs="Times New Roman"/>
          <w:snapToGrid/>
          <w:color w:val="auto"/>
          <w:kern w:val="2"/>
          <w:sz w:val="24"/>
          <w:szCs w:val="24"/>
          <w:vertAlign w:val="subscript"/>
          <w:lang w:eastAsia="zh-CN"/>
        </w:rPr>
        <w:t>SO2</w:t>
      </w:r>
      <w:r>
        <w:rPr>
          <w:rFonts w:ascii="Times New Roman" w:hAnsi="Times New Roman" w:eastAsia="宋体" w:cs="Times New Roman"/>
          <w:snapToGrid/>
          <w:color w:val="auto"/>
          <w:kern w:val="2"/>
          <w:sz w:val="24"/>
          <w:szCs w:val="24"/>
          <w:lang w:eastAsia="zh-CN"/>
        </w:rPr>
        <w:t xml:space="preserve">=2BS                     </w:t>
      </w:r>
    </w:p>
    <w:p w14:paraId="0406F5F8">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式中：</w:t>
      </w:r>
    </w:p>
    <w:p w14:paraId="2CA767D4">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G</w:t>
      </w:r>
      <w:r>
        <w:rPr>
          <w:rFonts w:ascii="Times New Roman" w:hAnsi="Times New Roman" w:eastAsia="宋体" w:cs="Times New Roman"/>
          <w:snapToGrid/>
          <w:color w:val="auto"/>
          <w:kern w:val="2"/>
          <w:sz w:val="24"/>
          <w:szCs w:val="24"/>
          <w:vertAlign w:val="subscript"/>
          <w:lang w:eastAsia="zh-CN"/>
        </w:rPr>
        <w:t xml:space="preserve">SO2 </w:t>
      </w:r>
      <w:r>
        <w:rPr>
          <w:rFonts w:ascii="Times New Roman" w:hAnsi="Times New Roman" w:eastAsia="宋体" w:cs="Times New Roman"/>
          <w:snapToGrid/>
          <w:color w:val="auto"/>
          <w:kern w:val="2"/>
          <w:sz w:val="24"/>
          <w:szCs w:val="24"/>
          <w:lang w:eastAsia="zh-CN"/>
        </w:rPr>
        <w:t>——二氧化硫排放速率（kg/h）；</w:t>
      </w:r>
    </w:p>
    <w:p w14:paraId="5FBB90E5">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sz w:val="24"/>
          <w:szCs w:val="24"/>
          <w:lang w:eastAsia="zh-CN"/>
        </w:rPr>
        <w:t>B——汽油燃烧量（kg/h）；</w:t>
      </w:r>
    </w:p>
    <w:p w14:paraId="365DF0CE">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S——汽油硫含量（％）</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10</w:t>
      </w:r>
      <w:r>
        <w:rPr>
          <w:rFonts w:hint="eastAsia" w:ascii="Times New Roman" w:hAnsi="Times New Roman" w:eastAsia="宋体" w:cs="Times New Roman"/>
          <w:snapToGrid/>
          <w:color w:val="auto"/>
          <w:kern w:val="2"/>
          <w:sz w:val="24"/>
          <w:szCs w:val="24"/>
          <w:lang w:eastAsia="zh-CN"/>
        </w:rPr>
        <w:t xml:space="preserve"> </w:t>
      </w:r>
      <w:r>
        <w:rPr>
          <w:rFonts w:ascii="Times New Roman" w:hAnsi="Times New Roman" w:eastAsia="宋体" w:cs="Times New Roman"/>
          <w:snapToGrid/>
          <w:color w:val="auto"/>
          <w:kern w:val="2"/>
          <w:sz w:val="24"/>
          <w:szCs w:val="24"/>
          <w:lang w:eastAsia="zh-CN"/>
        </w:rPr>
        <w:t>mg/kg</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取0.001</w:t>
      </w:r>
      <w:r>
        <w:rPr>
          <w:rFonts w:hint="eastAsia" w:ascii="Times New Roman" w:hAnsi="Times New Roman" w:eastAsia="宋体" w:cs="Times New Roman"/>
          <w:snapToGrid/>
          <w:color w:val="auto"/>
          <w:kern w:val="2"/>
          <w:sz w:val="24"/>
          <w:szCs w:val="24"/>
          <w:lang w:eastAsia="zh-CN"/>
        </w:rPr>
        <w:t xml:space="preserve"> </w:t>
      </w:r>
      <w:r>
        <w:rPr>
          <w:rFonts w:ascii="Times New Roman" w:hAnsi="Times New Roman" w:eastAsia="宋体" w:cs="Times New Roman"/>
          <w:snapToGrid/>
          <w:color w:val="auto"/>
          <w:kern w:val="2"/>
          <w:sz w:val="24"/>
          <w:szCs w:val="24"/>
          <w:lang w:eastAsia="zh-CN"/>
        </w:rPr>
        <w:t>%。</w:t>
      </w:r>
    </w:p>
    <w:p w14:paraId="0C2A813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③液池半径：</w:t>
      </w:r>
    </w:p>
    <w:p w14:paraId="3444A7B4">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4"/>
          <w:szCs w:val="24"/>
          <w:lang w:eastAsia="zh-CN"/>
        </w:rPr>
        <w:drawing>
          <wp:inline distT="0" distB="0" distL="114300" distR="114300">
            <wp:extent cx="1304925" cy="732155"/>
            <wp:effectExtent l="0" t="0" r="9525" b="10795"/>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23"/>
                    <a:stretch>
                      <a:fillRect/>
                    </a:stretch>
                  </pic:blipFill>
                  <pic:spPr>
                    <a:xfrm>
                      <a:off x="0" y="0"/>
                      <a:ext cx="1304925" cy="732155"/>
                    </a:xfrm>
                    <a:prstGeom prst="rect">
                      <a:avLst/>
                    </a:prstGeom>
                    <a:noFill/>
                    <a:ln>
                      <a:noFill/>
                    </a:ln>
                  </pic:spPr>
                </pic:pic>
              </a:graphicData>
            </a:graphic>
          </wp:inline>
        </w:drawing>
      </w:r>
    </w:p>
    <w:p w14:paraId="05048EB5">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式中：</w:t>
      </w:r>
    </w:p>
    <w:p w14:paraId="78C390AC">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S—最大池面积</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m</w:t>
      </w:r>
      <w:r>
        <w:rPr>
          <w:rFonts w:ascii="Times New Roman" w:hAnsi="Times New Roman" w:eastAsia="宋体" w:cs="Times New Roman"/>
          <w:snapToGrid/>
          <w:color w:val="auto"/>
          <w:kern w:val="2"/>
          <w:sz w:val="24"/>
          <w:szCs w:val="24"/>
          <w:vertAlign w:val="superscript"/>
          <w:lang w:eastAsia="zh-CN"/>
        </w:rPr>
        <w:t>2</w:t>
      </w:r>
      <w:r>
        <w:rPr>
          <w:rFonts w:ascii="Times New Roman" w:hAnsi="Times New Roman" w:eastAsia="宋体" w:cs="Times New Roman"/>
          <w:snapToGrid/>
          <w:color w:val="auto"/>
          <w:kern w:val="2"/>
          <w:sz w:val="24"/>
          <w:szCs w:val="24"/>
          <w:lang w:eastAsia="zh-CN"/>
        </w:rPr>
        <w:t>；</w:t>
      </w:r>
    </w:p>
    <w:p w14:paraId="53712609">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W—泄漏的液体量</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kg；</w:t>
      </w:r>
    </w:p>
    <w:p w14:paraId="7B42AB2E">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H</w:t>
      </w:r>
      <w:r>
        <w:rPr>
          <w:rFonts w:ascii="Times New Roman" w:hAnsi="Times New Roman" w:eastAsia="宋体" w:cs="Times New Roman"/>
          <w:snapToGrid/>
          <w:color w:val="auto"/>
          <w:kern w:val="2"/>
          <w:sz w:val="24"/>
          <w:szCs w:val="24"/>
          <w:vertAlign w:val="subscript"/>
          <w:lang w:eastAsia="zh-CN"/>
        </w:rPr>
        <w:t>min</w:t>
      </w:r>
      <w:r>
        <w:rPr>
          <w:rFonts w:ascii="Times New Roman" w:hAnsi="Times New Roman" w:eastAsia="宋体" w:cs="Times New Roman"/>
          <w:snapToGrid/>
          <w:color w:val="auto"/>
          <w:kern w:val="2"/>
          <w:sz w:val="24"/>
          <w:szCs w:val="24"/>
          <w:lang w:eastAsia="zh-CN"/>
        </w:rPr>
        <w:t>—最小液体厚度</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与地面性质和状态有关</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如表5.3-2；</w:t>
      </w:r>
    </w:p>
    <w:p w14:paraId="722ACDC9">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ρ—液体的密度</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kg/m</w:t>
      </w:r>
      <w:r>
        <w:rPr>
          <w:rFonts w:ascii="Times New Roman" w:hAnsi="Times New Roman" w:eastAsia="宋体" w:cs="Times New Roman"/>
          <w:snapToGrid/>
          <w:color w:val="auto"/>
          <w:kern w:val="2"/>
          <w:sz w:val="24"/>
          <w:szCs w:val="24"/>
          <w:vertAlign w:val="superscript"/>
          <w:lang w:eastAsia="zh-CN"/>
        </w:rPr>
        <w:t>3</w:t>
      </w:r>
      <w:r>
        <w:rPr>
          <w:rFonts w:ascii="Times New Roman" w:hAnsi="Times New Roman" w:eastAsia="宋体" w:cs="Times New Roman"/>
          <w:snapToGrid/>
          <w:color w:val="auto"/>
          <w:kern w:val="2"/>
          <w:sz w:val="24"/>
          <w:szCs w:val="24"/>
          <w:lang w:eastAsia="zh-CN"/>
        </w:rPr>
        <w:t>。</w:t>
      </w:r>
    </w:p>
    <w:p w14:paraId="326D55B8">
      <w:pPr>
        <w:widowControl w:val="0"/>
        <w:kinsoku/>
        <w:autoSpaceDE/>
        <w:autoSpaceDN/>
        <w:adjustRightInd/>
        <w:snapToGrid/>
        <w:spacing w:line="440" w:lineRule="exact"/>
        <w:jc w:val="center"/>
        <w:textAlignment w:val="auto"/>
        <w:rPr>
          <w:rFonts w:ascii="Times New Roman" w:hAnsi="Times New Roman" w:eastAsia="宋体" w:cs="Times New Roman"/>
          <w:b/>
          <w:snapToGrid/>
          <w:color w:val="auto"/>
          <w:kern w:val="2"/>
          <w:sz w:val="24"/>
          <w:lang w:eastAsia="zh-CN"/>
        </w:rPr>
      </w:pPr>
      <w:r>
        <w:rPr>
          <w:rFonts w:ascii="Times New Roman" w:hAnsi="Times New Roman" w:eastAsia="宋体" w:cs="Times New Roman"/>
          <w:b/>
          <w:snapToGrid/>
          <w:color w:val="auto"/>
          <w:kern w:val="2"/>
          <w:sz w:val="24"/>
          <w:lang w:eastAsia="zh-CN"/>
        </w:rPr>
        <w:t>表5.3-2  最小液体厚度取值表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3100"/>
        <w:gridCol w:w="1564"/>
        <w:gridCol w:w="3100"/>
      </w:tblGrid>
      <w:tr w14:paraId="4D6F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97" w:type="dxa"/>
            <w:noWrap w:val="0"/>
            <w:vAlign w:val="center"/>
          </w:tcPr>
          <w:p w14:paraId="6A5F9C4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地面性质</w:t>
            </w:r>
          </w:p>
        </w:tc>
        <w:tc>
          <w:tcPr>
            <w:tcW w:w="3100" w:type="dxa"/>
            <w:noWrap w:val="0"/>
            <w:vAlign w:val="center"/>
          </w:tcPr>
          <w:p w14:paraId="770F10B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最小液体厚度</w:t>
            </w:r>
            <w:r>
              <w:rPr>
                <w:rFonts w:hint="eastAsia" w:ascii="Times New Roman" w:hAnsi="Times New Roman" w:eastAsia="宋体" w:cs="Times New Roman"/>
                <w:bCs/>
                <w:color w:val="auto"/>
                <w:szCs w:val="24"/>
                <w:lang w:eastAsia="zh-CN"/>
              </w:rPr>
              <w:t xml:space="preserve"> </w:t>
            </w:r>
            <w:r>
              <w:rPr>
                <w:rFonts w:ascii="Times New Roman" w:hAnsi="Times New Roman" w:eastAsia="宋体" w:cs="Times New Roman"/>
                <w:bCs/>
                <w:color w:val="auto"/>
                <w:szCs w:val="24"/>
                <w:lang w:eastAsia="zh-CN"/>
              </w:rPr>
              <w:t>Hmin（m）</w:t>
            </w:r>
          </w:p>
        </w:tc>
        <w:tc>
          <w:tcPr>
            <w:tcW w:w="1564" w:type="dxa"/>
            <w:noWrap w:val="0"/>
            <w:vAlign w:val="center"/>
          </w:tcPr>
          <w:p w14:paraId="4FAC7F8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地面性质</w:t>
            </w:r>
          </w:p>
        </w:tc>
        <w:tc>
          <w:tcPr>
            <w:tcW w:w="3100" w:type="dxa"/>
            <w:noWrap w:val="0"/>
            <w:vAlign w:val="center"/>
          </w:tcPr>
          <w:p w14:paraId="35B0B90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最小液体厚度</w:t>
            </w:r>
            <w:r>
              <w:rPr>
                <w:rFonts w:hint="eastAsia" w:ascii="Times New Roman" w:hAnsi="Times New Roman" w:eastAsia="宋体" w:cs="Times New Roman"/>
                <w:bCs/>
                <w:color w:val="auto"/>
                <w:szCs w:val="24"/>
                <w:lang w:eastAsia="zh-CN"/>
              </w:rPr>
              <w:t xml:space="preserve"> </w:t>
            </w:r>
            <w:r>
              <w:rPr>
                <w:rFonts w:ascii="Times New Roman" w:hAnsi="Times New Roman" w:eastAsia="宋体" w:cs="Times New Roman"/>
                <w:bCs/>
                <w:color w:val="auto"/>
                <w:szCs w:val="24"/>
                <w:lang w:eastAsia="zh-CN"/>
              </w:rPr>
              <w:t>Hmin（m）</w:t>
            </w:r>
          </w:p>
        </w:tc>
      </w:tr>
      <w:tr w14:paraId="22B9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7" w:type="dxa"/>
            <w:noWrap w:val="0"/>
            <w:vAlign w:val="center"/>
          </w:tcPr>
          <w:p w14:paraId="2DD4B71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草地</w:t>
            </w:r>
          </w:p>
        </w:tc>
        <w:tc>
          <w:tcPr>
            <w:tcW w:w="3100" w:type="dxa"/>
            <w:noWrap w:val="0"/>
            <w:vAlign w:val="center"/>
          </w:tcPr>
          <w:p w14:paraId="2EA81E0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0.020</w:t>
            </w:r>
          </w:p>
        </w:tc>
        <w:tc>
          <w:tcPr>
            <w:tcW w:w="1564" w:type="dxa"/>
            <w:noWrap w:val="0"/>
            <w:vAlign w:val="center"/>
          </w:tcPr>
          <w:p w14:paraId="021062E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混凝土地面</w:t>
            </w:r>
          </w:p>
        </w:tc>
        <w:tc>
          <w:tcPr>
            <w:tcW w:w="3100" w:type="dxa"/>
            <w:noWrap w:val="0"/>
            <w:vAlign w:val="center"/>
          </w:tcPr>
          <w:p w14:paraId="09C1DC4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0.005</w:t>
            </w:r>
          </w:p>
        </w:tc>
      </w:tr>
      <w:tr w14:paraId="6A1C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7" w:type="dxa"/>
            <w:noWrap w:val="0"/>
            <w:vAlign w:val="center"/>
          </w:tcPr>
          <w:p w14:paraId="104800B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粗糙地面</w:t>
            </w:r>
          </w:p>
        </w:tc>
        <w:tc>
          <w:tcPr>
            <w:tcW w:w="3100" w:type="dxa"/>
            <w:noWrap w:val="0"/>
            <w:vAlign w:val="center"/>
          </w:tcPr>
          <w:p w14:paraId="21CB103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0.025</w:t>
            </w:r>
          </w:p>
        </w:tc>
        <w:tc>
          <w:tcPr>
            <w:tcW w:w="1564" w:type="dxa"/>
            <w:noWrap w:val="0"/>
            <w:vAlign w:val="center"/>
          </w:tcPr>
          <w:p w14:paraId="0660482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平静的水面</w:t>
            </w:r>
          </w:p>
        </w:tc>
        <w:tc>
          <w:tcPr>
            <w:tcW w:w="3100" w:type="dxa"/>
            <w:noWrap w:val="0"/>
            <w:vAlign w:val="center"/>
          </w:tcPr>
          <w:p w14:paraId="58BC7A9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0.0018</w:t>
            </w:r>
          </w:p>
        </w:tc>
      </w:tr>
      <w:tr w14:paraId="6A3E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7" w:type="dxa"/>
            <w:noWrap w:val="0"/>
            <w:vAlign w:val="center"/>
          </w:tcPr>
          <w:p w14:paraId="476CD65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平整地面</w:t>
            </w:r>
          </w:p>
        </w:tc>
        <w:tc>
          <w:tcPr>
            <w:tcW w:w="3100" w:type="dxa"/>
            <w:noWrap w:val="0"/>
            <w:vAlign w:val="center"/>
          </w:tcPr>
          <w:p w14:paraId="326B623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0.010</w:t>
            </w:r>
          </w:p>
        </w:tc>
        <w:tc>
          <w:tcPr>
            <w:tcW w:w="1564" w:type="dxa"/>
            <w:noWrap w:val="0"/>
            <w:vAlign w:val="center"/>
          </w:tcPr>
          <w:p w14:paraId="5354B938">
            <w:pPr>
              <w:widowControl w:val="0"/>
              <w:overflowPunct w:val="0"/>
              <w:jc w:val="center"/>
              <w:rPr>
                <w:rFonts w:ascii="Times New Roman" w:hAnsi="Times New Roman" w:eastAsia="宋体" w:cs="Times New Roman"/>
                <w:bCs/>
                <w:color w:val="auto"/>
                <w:szCs w:val="24"/>
                <w:lang w:eastAsia="zh-CN"/>
              </w:rPr>
            </w:pPr>
          </w:p>
        </w:tc>
        <w:tc>
          <w:tcPr>
            <w:tcW w:w="3100" w:type="dxa"/>
            <w:noWrap w:val="0"/>
            <w:vAlign w:val="center"/>
          </w:tcPr>
          <w:p w14:paraId="4E23826A">
            <w:pPr>
              <w:widowControl w:val="0"/>
              <w:overflowPunct w:val="0"/>
              <w:jc w:val="center"/>
              <w:rPr>
                <w:rFonts w:ascii="Times New Roman" w:hAnsi="Times New Roman" w:eastAsia="宋体" w:cs="Times New Roman"/>
                <w:bCs/>
                <w:color w:val="auto"/>
                <w:szCs w:val="24"/>
                <w:lang w:eastAsia="zh-CN"/>
              </w:rPr>
            </w:pPr>
          </w:p>
        </w:tc>
      </w:tr>
    </w:tbl>
    <w:p w14:paraId="7DBE87D1">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经计算</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池面积为28.2 m</w:t>
      </w:r>
      <w:r>
        <w:rPr>
          <w:rFonts w:ascii="Times New Roman" w:hAnsi="Times New Roman" w:eastAsia="宋体" w:cs="Times New Roman"/>
          <w:snapToGrid/>
          <w:color w:val="auto"/>
          <w:kern w:val="2"/>
          <w:sz w:val="24"/>
          <w:szCs w:val="28"/>
          <w:vertAlign w:val="superscript"/>
          <w:lang w:eastAsia="zh-CN"/>
        </w:rPr>
        <w:t>2</w:t>
      </w:r>
      <w:r>
        <w:rPr>
          <w:rFonts w:ascii="Times New Roman" w:hAnsi="Times New Roman" w:eastAsia="宋体" w:cs="Times New Roman"/>
          <w:snapToGrid/>
          <w:color w:val="auto"/>
          <w:kern w:val="2"/>
          <w:sz w:val="24"/>
          <w:szCs w:val="28"/>
          <w:lang w:eastAsia="zh-CN"/>
        </w:rPr>
        <w:t>。等效半径为3 m</w:t>
      </w:r>
    </w:p>
    <w:p w14:paraId="0B4080AC">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③火焰高度：</w:t>
      </w:r>
    </w:p>
    <w:p w14:paraId="5EBD89E0">
      <w:pPr>
        <w:widowControl w:val="0"/>
        <w:kinsoku/>
        <w:autoSpaceDE/>
        <w:autoSpaceDN/>
        <w:adjustRightInd/>
        <w:snapToGrid/>
        <w:spacing w:line="440" w:lineRule="exact"/>
        <w:ind w:left="1680" w:leftChars="8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kern w:val="2"/>
          <w:sz w:val="24"/>
          <w:szCs w:val="22"/>
          <w:lang w:eastAsia="zh-CN"/>
        </w:rPr>
        <w:drawing>
          <wp:anchor distT="0" distB="0" distL="114300" distR="114300" simplePos="0" relativeHeight="251698176" behindDoc="0" locked="0" layoutInCell="1" allowOverlap="1">
            <wp:simplePos x="0" y="0"/>
            <wp:positionH relativeFrom="column">
              <wp:posOffset>1675765</wp:posOffset>
            </wp:positionH>
            <wp:positionV relativeFrom="paragraph">
              <wp:posOffset>42545</wp:posOffset>
            </wp:positionV>
            <wp:extent cx="1562735" cy="678180"/>
            <wp:effectExtent l="0" t="0" r="18415" b="7620"/>
            <wp:wrapNone/>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24"/>
                    <a:stretch>
                      <a:fillRect/>
                    </a:stretch>
                  </pic:blipFill>
                  <pic:spPr>
                    <a:xfrm>
                      <a:off x="0" y="0"/>
                      <a:ext cx="1562735" cy="678180"/>
                    </a:xfrm>
                    <a:prstGeom prst="rect">
                      <a:avLst/>
                    </a:prstGeom>
                    <a:noFill/>
                    <a:ln>
                      <a:noFill/>
                    </a:ln>
                  </pic:spPr>
                </pic:pic>
              </a:graphicData>
            </a:graphic>
          </wp:anchor>
        </w:drawing>
      </w:r>
      <w:r>
        <w:rPr>
          <w:rFonts w:ascii="Times New Roman" w:hAnsi="Times New Roman" w:eastAsia="宋体" w:cs="Times New Roman"/>
          <w:snapToGrid/>
          <w:color w:val="auto"/>
          <w:sz w:val="24"/>
          <w:szCs w:val="24"/>
          <w:lang w:eastAsia="zh-CN"/>
        </w:rPr>
        <w:t xml:space="preserve"> </w:t>
      </w:r>
    </w:p>
    <w:p w14:paraId="24CF44D1">
      <w:pPr>
        <w:widowControl w:val="0"/>
        <w:kinsoku/>
        <w:autoSpaceDE/>
        <w:autoSpaceDN/>
        <w:adjustRightInd/>
        <w:snapToGrid/>
        <w:spacing w:before="60" w:line="360" w:lineRule="auto"/>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sz w:val="24"/>
          <w:szCs w:val="24"/>
          <w:lang w:eastAsia="zh-CN"/>
        </w:rPr>
        <w:t>式中：</w:t>
      </w:r>
    </w:p>
    <w:p w14:paraId="16AB1ABF">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sz w:val="24"/>
          <w:szCs w:val="24"/>
          <w:lang w:eastAsia="zh-CN"/>
        </w:rPr>
      </w:pPr>
      <w:r>
        <w:rPr>
          <w:rFonts w:ascii="Times New Roman" w:hAnsi="Times New Roman" w:eastAsia="宋体" w:cs="Times New Roman"/>
          <w:snapToGrid/>
          <w:color w:val="auto"/>
          <w:sz w:val="24"/>
          <w:szCs w:val="24"/>
          <w:lang w:eastAsia="zh-CN"/>
        </w:rPr>
        <w:t>h——火焰高度</w:t>
      </w:r>
      <w:r>
        <w:rPr>
          <w:rFonts w:hint="eastAsia" w:ascii="Times New Roman" w:hAnsi="Times New Roman" w:eastAsia="宋体" w:cs="Times New Roman"/>
          <w:snapToGrid/>
          <w:color w:val="auto"/>
          <w:sz w:val="24"/>
          <w:szCs w:val="24"/>
          <w:lang w:eastAsia="zh-CN"/>
        </w:rPr>
        <w:t>，</w:t>
      </w:r>
      <w:r>
        <w:rPr>
          <w:rFonts w:ascii="Times New Roman" w:hAnsi="Times New Roman" w:eastAsia="宋体" w:cs="Times New Roman"/>
          <w:snapToGrid/>
          <w:color w:val="auto"/>
          <w:sz w:val="24"/>
          <w:szCs w:val="24"/>
          <w:lang w:eastAsia="zh-CN"/>
        </w:rPr>
        <w:t>m；</w:t>
      </w:r>
    </w:p>
    <w:p w14:paraId="47E508F2">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ρ</w:t>
      </w:r>
      <w:r>
        <w:rPr>
          <w:rFonts w:ascii="Times New Roman" w:hAnsi="Times New Roman" w:eastAsia="宋体" w:cs="Times New Roman"/>
          <w:snapToGrid/>
          <w:color w:val="auto"/>
          <w:kern w:val="2"/>
          <w:sz w:val="24"/>
          <w:szCs w:val="24"/>
          <w:vertAlign w:val="subscript"/>
          <w:lang w:eastAsia="zh-CN"/>
        </w:rPr>
        <w:t>α</w:t>
      </w:r>
      <w:r>
        <w:rPr>
          <w:rFonts w:ascii="Times New Roman" w:hAnsi="Times New Roman" w:eastAsia="宋体" w:cs="Times New Roman"/>
          <w:snapToGrid/>
          <w:color w:val="auto"/>
          <w:kern w:val="2"/>
          <w:sz w:val="24"/>
          <w:szCs w:val="24"/>
          <w:lang w:eastAsia="zh-CN"/>
        </w:rPr>
        <w:t>——空气密度</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kg/m</w:t>
      </w:r>
      <w:r>
        <w:rPr>
          <w:rFonts w:ascii="Times New Roman" w:hAnsi="Times New Roman" w:eastAsia="宋体" w:cs="Times New Roman"/>
          <w:snapToGrid/>
          <w:color w:val="auto"/>
          <w:kern w:val="2"/>
          <w:sz w:val="24"/>
          <w:szCs w:val="24"/>
          <w:vertAlign w:val="superscript"/>
          <w:lang w:eastAsia="zh-CN"/>
        </w:rPr>
        <w:t>3</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本次取1.29</w:t>
      </w:r>
      <w:r>
        <w:rPr>
          <w:rFonts w:hint="eastAsia" w:ascii="Times New Roman" w:hAnsi="Times New Roman" w:eastAsia="宋体" w:cs="Times New Roman"/>
          <w:snapToGrid/>
          <w:color w:val="auto"/>
          <w:kern w:val="2"/>
          <w:sz w:val="24"/>
          <w:szCs w:val="24"/>
          <w:lang w:eastAsia="zh-CN"/>
        </w:rPr>
        <w:t xml:space="preserve"> </w:t>
      </w:r>
      <w:r>
        <w:rPr>
          <w:rFonts w:ascii="Times New Roman" w:hAnsi="Times New Roman" w:eastAsia="宋体" w:cs="Times New Roman"/>
          <w:snapToGrid/>
          <w:color w:val="auto"/>
          <w:kern w:val="2"/>
          <w:sz w:val="24"/>
          <w:szCs w:val="24"/>
          <w:lang w:eastAsia="zh-CN"/>
        </w:rPr>
        <w:t>kg/m</w:t>
      </w:r>
      <w:r>
        <w:rPr>
          <w:rFonts w:ascii="Times New Roman" w:hAnsi="Times New Roman" w:eastAsia="宋体" w:cs="Times New Roman"/>
          <w:snapToGrid/>
          <w:color w:val="auto"/>
          <w:kern w:val="2"/>
          <w:sz w:val="24"/>
          <w:szCs w:val="24"/>
          <w:vertAlign w:val="superscript"/>
          <w:lang w:eastAsia="zh-CN"/>
        </w:rPr>
        <w:t>3</w:t>
      </w:r>
      <w:r>
        <w:rPr>
          <w:rFonts w:ascii="Times New Roman" w:hAnsi="Times New Roman" w:eastAsia="宋体" w:cs="Times New Roman"/>
          <w:snapToGrid/>
          <w:color w:val="auto"/>
          <w:kern w:val="2"/>
          <w:sz w:val="24"/>
          <w:szCs w:val="24"/>
          <w:lang w:eastAsia="zh-CN"/>
        </w:rPr>
        <w:t>。</w:t>
      </w:r>
    </w:p>
    <w:p w14:paraId="5D662187">
      <w:pPr>
        <w:widowControl w:val="0"/>
        <w:kinsoku/>
        <w:autoSpaceDE/>
        <w:autoSpaceDN/>
        <w:adjustRightInd/>
        <w:snapToGrid/>
        <w:spacing w:before="60"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④CO产生量：</w:t>
      </w:r>
    </w:p>
    <w:p w14:paraId="14D84E35">
      <w:pPr>
        <w:widowControl w:val="0"/>
        <w:kinsoku/>
        <w:autoSpaceDE/>
        <w:autoSpaceDN/>
        <w:adjustRightInd/>
        <w:snapToGrid/>
        <w:spacing w:before="60" w:line="360" w:lineRule="auto"/>
        <w:ind w:left="420" w:leftChars="200"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G</w:t>
      </w:r>
      <w:r>
        <w:rPr>
          <w:rFonts w:ascii="Times New Roman" w:hAnsi="Times New Roman" w:eastAsia="宋体" w:cs="Times New Roman"/>
          <w:snapToGrid/>
          <w:color w:val="auto"/>
          <w:kern w:val="2"/>
          <w:sz w:val="24"/>
          <w:szCs w:val="24"/>
          <w:vertAlign w:val="subscript"/>
          <w:lang w:eastAsia="zh-CN"/>
        </w:rPr>
        <w:t>CO=</w:t>
      </w:r>
      <w:r>
        <w:rPr>
          <w:rFonts w:ascii="Times New Roman" w:hAnsi="Times New Roman" w:eastAsia="宋体" w:cs="Times New Roman"/>
          <w:snapToGrid/>
          <w:color w:val="auto"/>
          <w:kern w:val="2"/>
          <w:sz w:val="24"/>
          <w:szCs w:val="24"/>
          <w:lang w:eastAsia="zh-CN"/>
        </w:rPr>
        <w:t xml:space="preserve">2330qCQ                               </w:t>
      </w:r>
    </w:p>
    <w:p w14:paraId="32EE2FCC">
      <w:pPr>
        <w:widowControl w:val="0"/>
        <w:kinsoku/>
        <w:autoSpaceDE/>
        <w:autoSpaceDN/>
        <w:adjustRightInd/>
        <w:snapToGrid/>
        <w:spacing w:before="60" w:line="360" w:lineRule="auto"/>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式中：</w:t>
      </w:r>
    </w:p>
    <w:p w14:paraId="376F2572">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G</w:t>
      </w:r>
      <w:r>
        <w:rPr>
          <w:rFonts w:ascii="Times New Roman" w:hAnsi="Times New Roman" w:eastAsia="宋体" w:cs="Times New Roman"/>
          <w:snapToGrid/>
          <w:color w:val="auto"/>
          <w:kern w:val="2"/>
          <w:sz w:val="24"/>
          <w:szCs w:val="24"/>
          <w:vertAlign w:val="subscript"/>
          <w:lang w:eastAsia="zh-CN"/>
        </w:rPr>
        <w:t>CO</w:t>
      </w:r>
      <w:r>
        <w:rPr>
          <w:rFonts w:ascii="Times New Roman" w:hAnsi="Times New Roman" w:eastAsia="宋体" w:cs="Times New Roman"/>
          <w:snapToGrid/>
          <w:color w:val="auto"/>
          <w:kern w:val="2"/>
          <w:sz w:val="24"/>
          <w:szCs w:val="24"/>
          <w:lang w:eastAsia="zh-CN"/>
        </w:rPr>
        <w:t>——一氧化碳的产生量（kg/s）；</w:t>
      </w:r>
    </w:p>
    <w:p w14:paraId="541FC5F7">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C——物质中碳的质量百分比含量（%）</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取85%；</w:t>
      </w:r>
    </w:p>
    <w:p w14:paraId="6906230F">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q——化学不完全燃烧值（%）</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取1.5~6.0%</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取5.0%。</w:t>
      </w:r>
    </w:p>
    <w:p w14:paraId="04F56007">
      <w:pPr>
        <w:widowControl w:val="0"/>
        <w:kinsoku/>
        <w:autoSpaceDE/>
        <w:autoSpaceDN/>
        <w:adjustRightInd/>
        <w:snapToGrid/>
        <w:spacing w:before="60" w:line="360" w:lineRule="auto"/>
        <w:ind w:firstLine="1200" w:firstLineChars="5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Q——参与燃烧的物质量（t/s）。</w:t>
      </w:r>
    </w:p>
    <w:p w14:paraId="40A39A45">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经计算得</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SO</w:t>
      </w:r>
      <w:r>
        <w:rPr>
          <w:rFonts w:ascii="Times New Roman" w:hAnsi="Times New Roman" w:eastAsia="宋体" w:cs="Times New Roman"/>
          <w:snapToGrid/>
          <w:color w:val="auto"/>
          <w:kern w:val="2"/>
          <w:sz w:val="24"/>
          <w:szCs w:val="24"/>
          <w:vertAlign w:val="subscript"/>
          <w:lang w:eastAsia="zh-CN"/>
        </w:rPr>
        <w:t>2</w:t>
      </w:r>
      <w:r>
        <w:rPr>
          <w:rFonts w:ascii="Times New Roman" w:hAnsi="Times New Roman" w:eastAsia="宋体" w:cs="Times New Roman"/>
          <w:snapToGrid/>
          <w:color w:val="auto"/>
          <w:kern w:val="2"/>
          <w:sz w:val="24"/>
          <w:szCs w:val="24"/>
          <w:lang w:eastAsia="zh-CN"/>
        </w:rPr>
        <w:t>的排放速率为0.00015 kg/s</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CO的排放速率为0.73 kg/s</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火焰高度h为28.4 m。</w:t>
      </w:r>
    </w:p>
    <w:p w14:paraId="64C3B5E7">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（1）事故排放预测模式</w:t>
      </w:r>
    </w:p>
    <w:p w14:paraId="34EF53B9">
      <w:pPr>
        <w:widowControl w:val="0"/>
        <w:spacing w:line="360" w:lineRule="auto"/>
        <w:ind w:firstLine="56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sz w:val="24"/>
          <w:szCs w:val="24"/>
          <w:lang w:eastAsia="zh-CN"/>
        </w:rPr>
        <w:t>预测模式烟团模式进行预测。预测模式如下：</w:t>
      </w:r>
    </w:p>
    <w:p w14:paraId="6D3D25CB">
      <w:pPr>
        <w:widowControl w:val="0"/>
        <w:spacing w:line="360" w:lineRule="auto"/>
        <w:ind w:firstLine="56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position w:val="-34"/>
          <w:sz w:val="28"/>
          <w:szCs w:val="28"/>
          <w:lang w:eastAsia="zh-CN"/>
        </w:rPr>
        <w:object>
          <v:shape id="_x0000_i1031" o:spt="75" type="#_x0000_t75" style="height:39pt;width:429pt;" o:ole="t" filled="f" o:preferrelative="t" stroked="f" coordsize="21600,21600">
            <v:path/>
            <v:fill on="f" focussize="0,0"/>
            <v:stroke on="f"/>
            <v:imagedata r:id="rId26" o:title=""/>
            <o:lock v:ext="edit" aspectratio="t"/>
            <w10:wrap type="none"/>
            <w10:anchorlock/>
          </v:shape>
          <o:OLEObject Type="Embed" ProgID="Equation.3" ShapeID="_x0000_i1031" DrawAspect="Content" ObjectID="_1468075726" r:id="rId25">
            <o:LockedField>false</o:LockedField>
          </o:OLEObject>
        </w:object>
      </w:r>
      <w:r>
        <w:rPr>
          <w:rFonts w:ascii="Times New Roman" w:hAnsi="Times New Roman" w:eastAsia="宋体" w:cs="Times New Roman"/>
          <w:color w:val="auto"/>
          <w:kern w:val="2"/>
          <w:sz w:val="24"/>
          <w:szCs w:val="24"/>
          <w:lang w:eastAsia="zh-CN"/>
        </w:rPr>
        <w:t>式中：</w:t>
      </w:r>
    </w:p>
    <w:p w14:paraId="29BDBBBD">
      <w:pPr>
        <w:widowControl w:val="0"/>
        <w:spacing w:line="360" w:lineRule="auto"/>
        <w:ind w:firstLine="480" w:firstLineChars="20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position w:val="-10"/>
          <w:sz w:val="24"/>
          <w:szCs w:val="24"/>
          <w:lang w:eastAsia="zh-CN"/>
        </w:rPr>
        <w:object>
          <v:shape id="_x0000_i1032" o:spt="75" type="#_x0000_t75" style="height:17.3pt;width:44.25pt;" o:ole="t" filled="f" o:preferrelative="t" stroked="f" coordsize="21600,21600">
            <v:path/>
            <v:fill on="f" focussize="0,0"/>
            <v:stroke on="f"/>
            <v:imagedata r:id="rId28" o:title=""/>
            <o:lock v:ext="edit" aspectratio="t"/>
            <w10:wrap type="none"/>
            <w10:anchorlock/>
          </v:shape>
          <o:OLEObject Type="Embed" ProgID="Equation.3" ShapeID="_x0000_i1032" DrawAspect="Content" ObjectID="_1468075727" r:id="rId27">
            <o:LockedField>false</o:LockedField>
          </o:OLEObject>
        </w:object>
      </w:r>
      <w:r>
        <w:rPr>
          <w:rFonts w:ascii="Times New Roman" w:hAnsi="Times New Roman" w:eastAsia="宋体" w:cs="Times New Roman"/>
          <w:color w:val="auto"/>
          <w:kern w:val="2"/>
          <w:sz w:val="24"/>
          <w:szCs w:val="24"/>
          <w:lang w:eastAsia="zh-CN"/>
        </w:rPr>
        <w:t>—下风向地面（x</w: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sz w:val="24"/>
          <w:szCs w:val="24"/>
          <w:lang w:eastAsia="zh-CN"/>
        </w:rPr>
        <w:t>y）坐标处的空气中污染物浓度</w: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sz w:val="24"/>
          <w:szCs w:val="24"/>
          <w:lang w:eastAsia="zh-CN"/>
        </w:rPr>
        <w:t>mg/m</w:t>
      </w:r>
      <w:r>
        <w:rPr>
          <w:rFonts w:ascii="Times New Roman" w:hAnsi="Times New Roman" w:eastAsia="宋体" w:cs="Times New Roman"/>
          <w:color w:val="auto"/>
          <w:kern w:val="2"/>
          <w:sz w:val="24"/>
          <w:szCs w:val="24"/>
          <w:vertAlign w:val="superscript"/>
          <w:lang w:eastAsia="zh-CN"/>
        </w:rPr>
        <w:t>3</w:t>
      </w:r>
      <w:r>
        <w:rPr>
          <w:rFonts w:ascii="Times New Roman" w:hAnsi="Times New Roman" w:eastAsia="宋体" w:cs="Times New Roman"/>
          <w:color w:val="auto"/>
          <w:kern w:val="2"/>
          <w:sz w:val="24"/>
          <w:szCs w:val="24"/>
          <w:lang w:eastAsia="zh-CN"/>
        </w:rPr>
        <w:t>；</w:t>
      </w:r>
    </w:p>
    <w:p w14:paraId="00F525F6">
      <w:pPr>
        <w:widowControl w:val="0"/>
        <w:spacing w:line="360" w:lineRule="auto"/>
        <w:ind w:firstLine="480" w:firstLineChars="20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position w:val="-12"/>
          <w:sz w:val="24"/>
          <w:szCs w:val="24"/>
          <w:lang w:eastAsia="zh-CN"/>
        </w:rPr>
        <w:object>
          <v:shape id="_x0000_i1033" o:spt="75" type="#_x0000_t75" style="height:18.75pt;width:12pt;" o:ole="t" filled="f" o:preferrelative="t" stroked="f" coordsize="21600,21600">
            <v:path/>
            <v:fill on="f" focussize="0,0"/>
            <v:stroke on="f"/>
            <v:imagedata r:id="rId30" o:title=""/>
            <o:lock v:ext="edit" aspectratio="t"/>
            <w10:wrap type="none"/>
            <w10:anchorlock/>
          </v:shape>
          <o:OLEObject Type="Embed" ProgID="Equation.3" ShapeID="_x0000_i1033" DrawAspect="Content" ObjectID="_1468075728" r:id="rId29">
            <o:LockedField>false</o:LockedField>
          </o:OLEObject>
        </w:objec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position w:val="-12"/>
          <w:sz w:val="24"/>
          <w:szCs w:val="24"/>
          <w:lang w:eastAsia="zh-CN"/>
        </w:rPr>
        <w:object>
          <v:shape id="_x0000_i1034" o:spt="75" type="#_x0000_t75" style="height:18.75pt;width:15pt;" o:ole="t" filled="f" o:preferrelative="t" stroked="f" coordsize="21600,21600">
            <v:path/>
            <v:fill on="f" focussize="0,0"/>
            <v:stroke on="f"/>
            <v:imagedata r:id="rId32" o:title=""/>
            <o:lock v:ext="edit" aspectratio="t"/>
            <w10:wrap type="none"/>
            <w10:anchorlock/>
          </v:shape>
          <o:OLEObject Type="Embed" ProgID="Equation.3" ShapeID="_x0000_i1034" DrawAspect="Content" ObjectID="_1468075729" r:id="rId31">
            <o:LockedField>false</o:LockedField>
          </o:OLEObject>
        </w:objec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position w:val="-12"/>
          <w:sz w:val="24"/>
          <w:szCs w:val="24"/>
          <w:lang w:eastAsia="zh-CN"/>
        </w:rPr>
        <w:object>
          <v:shape id="_x0000_i1035" o:spt="75" type="#_x0000_t75" style="height:18.75pt;width:12pt;" o:ole="t" filled="f" o:preferrelative="t" stroked="f" coordsize="21600,21600">
            <v:path/>
            <v:fill on="f" focussize="0,0"/>
            <v:stroke on="f"/>
            <v:imagedata r:id="rId34" o:title=""/>
            <o:lock v:ext="edit" aspectratio="t"/>
            <w10:wrap type="none"/>
            <w10:anchorlock/>
          </v:shape>
          <o:OLEObject Type="Embed" ProgID="Equation.3" ShapeID="_x0000_i1035" DrawAspect="Content" ObjectID="_1468075730" r:id="rId33">
            <o:LockedField>false</o:LockedField>
          </o:OLEObject>
        </w:object>
      </w:r>
      <w:r>
        <w:rPr>
          <w:rFonts w:ascii="Times New Roman" w:hAnsi="Times New Roman" w:eastAsia="宋体" w:cs="Times New Roman"/>
          <w:color w:val="auto"/>
          <w:kern w:val="2"/>
          <w:sz w:val="24"/>
          <w:szCs w:val="24"/>
          <w:lang w:eastAsia="zh-CN"/>
        </w:rPr>
        <w:t>—烟团中心坐标；</w:t>
      </w:r>
    </w:p>
    <w:p w14:paraId="0FA45E92">
      <w:pPr>
        <w:widowControl w:val="0"/>
        <w:spacing w:line="360" w:lineRule="auto"/>
        <w:ind w:firstLine="480" w:firstLineChars="20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i/>
          <w:color w:val="auto"/>
          <w:kern w:val="2"/>
          <w:sz w:val="24"/>
          <w:szCs w:val="24"/>
          <w:lang w:eastAsia="zh-CN"/>
        </w:rPr>
        <w:t>Q</w:t>
      </w:r>
      <w:r>
        <w:rPr>
          <w:rFonts w:ascii="Times New Roman" w:hAnsi="Times New Roman" w:eastAsia="宋体" w:cs="Times New Roman"/>
          <w:color w:val="auto"/>
          <w:kern w:val="2"/>
          <w:sz w:val="24"/>
          <w:szCs w:val="24"/>
          <w:lang w:eastAsia="zh-CN"/>
        </w:rPr>
        <w:t>—事故期间烟团的排放量；</w:t>
      </w:r>
    </w:p>
    <w:p w14:paraId="4EAF405B">
      <w:pPr>
        <w:widowControl w:val="0"/>
        <w:spacing w:line="360" w:lineRule="auto"/>
        <w:ind w:firstLine="480" w:firstLineChars="20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position w:val="-12"/>
          <w:sz w:val="24"/>
          <w:szCs w:val="24"/>
          <w:lang w:eastAsia="zh-CN"/>
        </w:rPr>
        <w:object>
          <v:shape id="_x0000_i1036" o:spt="75" type="#_x0000_t75" style="height:18.75pt;width:15pt;" o:ole="t" filled="f" o:preferrelative="t" stroked="f" coordsize="21600,21600">
            <v:path/>
            <v:fill on="f" focussize="0,0"/>
            <v:stroke on="f"/>
            <v:imagedata r:id="rId36" o:title=""/>
            <o:lock v:ext="edit" aspectratio="t"/>
            <w10:wrap type="none"/>
            <w10:anchorlock/>
          </v:shape>
          <o:OLEObject Type="Embed" ProgID="Equation.3" ShapeID="_x0000_i1036" DrawAspect="Content" ObjectID="_1468075731" r:id="rId35">
            <o:LockedField>false</o:LockedField>
          </o:OLEObject>
        </w:object>
      </w:r>
      <w:r>
        <w:rPr>
          <w:rFonts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position w:val="-14"/>
          <w:sz w:val="24"/>
          <w:szCs w:val="24"/>
          <w:lang w:eastAsia="zh-CN"/>
        </w:rPr>
        <w:object>
          <v:shape id="_x0000_i1037" o:spt="75" type="#_x0000_t75" style="height:20.25pt;width:17.25pt;" o:ole="t" filled="f" o:preferrelative="t" stroked="f" coordsize="21600,21600">
            <v:path/>
            <v:fill on="f" focussize="0,0"/>
            <v:stroke on="f"/>
            <v:imagedata r:id="rId38" o:title=""/>
            <o:lock v:ext="edit" aspectratio="t"/>
            <w10:wrap type="none"/>
            <w10:anchorlock/>
          </v:shape>
          <o:OLEObject Type="Embed" ProgID="Equation.3" ShapeID="_x0000_i1037" DrawAspect="Content" ObjectID="_1468075732" r:id="rId37">
            <o:LockedField>false</o:LockedField>
          </o:OLEObject>
        </w:object>
      </w:r>
      <w:r>
        <w:rPr>
          <w:rFonts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position w:val="-10"/>
          <w:sz w:val="24"/>
          <w:szCs w:val="24"/>
          <w:lang w:eastAsia="zh-CN"/>
        </w:rPr>
        <w:object>
          <v:shape id="_x0000_i1038" o:spt="75" type="#_x0000_t75" style="height:17.25pt;width:15pt;" o:ole="t" filled="f" o:preferrelative="t" stroked="f" coordsize="21600,21600">
            <v:path/>
            <v:fill on="f" focussize="0,0"/>
            <v:stroke on="f"/>
            <v:imagedata r:id="rId40" o:title=""/>
            <o:lock v:ext="edit" aspectratio="t"/>
            <w10:wrap type="none"/>
            <w10:anchorlock/>
          </v:shape>
          <o:OLEObject Type="Embed" ProgID="Equation.3" ShapeID="_x0000_i1038" DrawAspect="Content" ObjectID="_1468075733" r:id="rId39">
            <o:LockedField>false</o:LockedField>
          </o:OLEObject>
        </w:object>
      </w:r>
      <w:r>
        <w:rPr>
          <w:rFonts w:ascii="Times New Roman" w:hAnsi="Times New Roman" w:eastAsia="宋体" w:cs="Times New Roman"/>
          <w:color w:val="auto"/>
          <w:kern w:val="2"/>
          <w:sz w:val="24"/>
          <w:szCs w:val="24"/>
          <w:lang w:eastAsia="zh-CN"/>
        </w:rPr>
        <w:t>—为x、y、z方向扩散参数</w: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sz w:val="24"/>
          <w:szCs w:val="24"/>
          <w:lang w:eastAsia="zh-CN"/>
        </w:rPr>
        <w:t>m。</w:t>
      </w:r>
    </w:p>
    <w:p w14:paraId="199F3D81">
      <w:pPr>
        <w:widowControl w:val="0"/>
        <w:kinsoku/>
        <w:autoSpaceDE/>
        <w:autoSpaceDN/>
        <w:adjustRightInd/>
        <w:snapToGrid/>
        <w:spacing w:line="440" w:lineRule="exact"/>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（2）预测气象</w:t>
      </w:r>
    </w:p>
    <w:p w14:paraId="217F2105">
      <w:pPr>
        <w:widowControl w:val="0"/>
        <w:spacing w:line="360" w:lineRule="auto"/>
        <w:ind w:firstLine="480" w:firstLineChars="200"/>
        <w:jc w:val="both"/>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sz w:val="24"/>
          <w:szCs w:val="24"/>
          <w:lang w:eastAsia="zh-CN"/>
        </w:rPr>
        <w:t>根据炎陵县地区气象特征</w: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sz w:val="24"/>
          <w:szCs w:val="24"/>
          <w:lang w:eastAsia="zh-CN"/>
        </w:rPr>
        <w:t>选取平均风速</w:t>
      </w:r>
      <w:r>
        <w:rPr>
          <w:rFonts w:ascii="Times New Roman" w:hAnsi="Times New Roman" w:eastAsia="宋体" w:cs="Times New Roman"/>
          <w:i/>
          <w:color w:val="auto"/>
          <w:kern w:val="2"/>
          <w:sz w:val="24"/>
          <w:szCs w:val="24"/>
          <w:lang w:eastAsia="zh-CN"/>
        </w:rPr>
        <w:t>u</w:t>
      </w:r>
      <w:r>
        <w:rPr>
          <w:rFonts w:ascii="Times New Roman" w:hAnsi="Times New Roman" w:eastAsia="宋体" w:cs="Times New Roman"/>
          <w:color w:val="auto"/>
          <w:kern w:val="2"/>
          <w:sz w:val="24"/>
          <w:szCs w:val="24"/>
          <w:lang w:eastAsia="zh-CN"/>
        </w:rPr>
        <w:t>=1.71 m/s条件</w: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sz w:val="24"/>
          <w:szCs w:val="24"/>
          <w:lang w:eastAsia="zh-CN"/>
        </w:rPr>
        <w:t>按大气稳定类D类</w:t>
      </w:r>
      <w:r>
        <w:rPr>
          <w:rFonts w:hint="eastAsia" w:ascii="Times New Roman" w:hAnsi="Times New Roman" w:eastAsia="宋体" w:cs="Times New Roman"/>
          <w:color w:val="auto"/>
          <w:kern w:val="2"/>
          <w:sz w:val="24"/>
          <w:szCs w:val="24"/>
          <w:lang w:eastAsia="zh-CN"/>
        </w:rPr>
        <w:t>，</w:t>
      </w:r>
      <w:r>
        <w:rPr>
          <w:rFonts w:ascii="Times New Roman" w:hAnsi="Times New Roman" w:eastAsia="宋体" w:cs="Times New Roman"/>
          <w:color w:val="auto"/>
          <w:kern w:val="2"/>
          <w:sz w:val="24"/>
          <w:szCs w:val="24"/>
          <w:lang w:eastAsia="zh-CN"/>
        </w:rPr>
        <w:t>预测事故后扩散情况。</w:t>
      </w:r>
    </w:p>
    <w:p w14:paraId="4D0362F5">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4"/>
          <w:szCs w:val="28"/>
          <w:lang w:eastAsia="zh-CN"/>
        </w:rPr>
      </w:pPr>
      <w:r>
        <w:rPr>
          <w:rFonts w:ascii="Times New Roman" w:hAnsi="Times New Roman" w:eastAsia="宋体" w:cs="Times New Roman"/>
          <w:b/>
          <w:snapToGrid/>
          <w:color w:val="auto"/>
          <w:kern w:val="2"/>
          <w:sz w:val="24"/>
          <w:szCs w:val="28"/>
          <w:lang w:eastAsia="zh-CN"/>
        </w:rPr>
        <w:t>表5.3-3  事故发生下SO</w:t>
      </w:r>
      <w:r>
        <w:rPr>
          <w:rFonts w:ascii="Times New Roman" w:hAnsi="Times New Roman" w:eastAsia="宋体" w:cs="Times New Roman"/>
          <w:b/>
          <w:snapToGrid/>
          <w:color w:val="auto"/>
          <w:kern w:val="2"/>
          <w:sz w:val="24"/>
          <w:szCs w:val="28"/>
          <w:vertAlign w:val="subscript"/>
          <w:lang w:eastAsia="zh-CN"/>
        </w:rPr>
        <w:t>2</w:t>
      </w:r>
      <w:r>
        <w:rPr>
          <w:rFonts w:ascii="Times New Roman" w:hAnsi="Times New Roman" w:eastAsia="宋体" w:cs="Times New Roman"/>
          <w:b/>
          <w:snapToGrid/>
          <w:color w:val="auto"/>
          <w:kern w:val="2"/>
          <w:sz w:val="24"/>
          <w:szCs w:val="28"/>
          <w:lang w:eastAsia="zh-CN"/>
        </w:rPr>
        <w:t>扩散情况预测结果</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660"/>
        <w:gridCol w:w="1133"/>
        <w:gridCol w:w="1488"/>
        <w:gridCol w:w="2055"/>
        <w:gridCol w:w="1485"/>
      </w:tblGrid>
      <w:tr w14:paraId="41A2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488F3B7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预测时刻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min)</w:t>
            </w:r>
          </w:p>
        </w:tc>
        <w:tc>
          <w:tcPr>
            <w:tcW w:w="1660" w:type="dxa"/>
            <w:noWrap w:val="0"/>
            <w:vAlign w:val="center"/>
          </w:tcPr>
          <w:p w14:paraId="5E921CB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最大落地浓度</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mg/m</w:t>
            </w:r>
            <w:r>
              <w:rPr>
                <w:rFonts w:ascii="Times New Roman" w:hAnsi="Times New Roman" w:eastAsia="宋体" w:cs="Times New Roman"/>
                <w:bCs/>
                <w:color w:val="auto"/>
                <w:position w:val="8"/>
                <w:sz w:val="12"/>
                <w:szCs w:val="12"/>
                <w:lang w:eastAsia="zh-CN"/>
              </w:rPr>
              <w:t>3</w:t>
            </w:r>
            <w:r>
              <w:rPr>
                <w:rFonts w:ascii="Times New Roman" w:hAnsi="Times New Roman" w:eastAsia="宋体" w:cs="Times New Roman"/>
                <w:bCs/>
                <w:color w:val="auto"/>
                <w:szCs w:val="24"/>
                <w:lang w:eastAsia="zh-CN"/>
              </w:rPr>
              <w:t>)</w:t>
            </w:r>
          </w:p>
        </w:tc>
        <w:tc>
          <w:tcPr>
            <w:tcW w:w="1133" w:type="dxa"/>
            <w:noWrap w:val="0"/>
            <w:vAlign w:val="center"/>
          </w:tcPr>
          <w:p w14:paraId="269CAC0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出现距离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488" w:type="dxa"/>
            <w:noWrap w:val="0"/>
            <w:vAlign w:val="center"/>
          </w:tcPr>
          <w:p w14:paraId="4179966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半致死浓度范围</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2055" w:type="dxa"/>
            <w:noWrap w:val="0"/>
            <w:vAlign w:val="center"/>
          </w:tcPr>
          <w:p w14:paraId="5904AA8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短时间接触容许浓度范围</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485" w:type="dxa"/>
            <w:noWrap w:val="0"/>
            <w:vAlign w:val="center"/>
          </w:tcPr>
          <w:p w14:paraId="6B2DEA4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环境质量标准</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r>
      <w:tr w14:paraId="724F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576936E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w:t>
            </w:r>
          </w:p>
        </w:tc>
        <w:tc>
          <w:tcPr>
            <w:tcW w:w="1660" w:type="dxa"/>
            <w:noWrap w:val="0"/>
            <w:vAlign w:val="center"/>
          </w:tcPr>
          <w:p w14:paraId="1F1B4E1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0.2393</w:t>
            </w:r>
          </w:p>
        </w:tc>
        <w:tc>
          <w:tcPr>
            <w:tcW w:w="1133" w:type="dxa"/>
            <w:noWrap w:val="0"/>
            <w:vAlign w:val="center"/>
          </w:tcPr>
          <w:p w14:paraId="24D8087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4ECA03B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4C2B3AB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4034480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2D72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3D5E763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10</w:t>
            </w:r>
          </w:p>
        </w:tc>
        <w:tc>
          <w:tcPr>
            <w:tcW w:w="1660" w:type="dxa"/>
            <w:noWrap w:val="0"/>
            <w:vAlign w:val="center"/>
          </w:tcPr>
          <w:p w14:paraId="23BE849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0.2393</w:t>
            </w:r>
          </w:p>
        </w:tc>
        <w:tc>
          <w:tcPr>
            <w:tcW w:w="1133" w:type="dxa"/>
            <w:noWrap w:val="0"/>
            <w:vAlign w:val="center"/>
          </w:tcPr>
          <w:p w14:paraId="49A0DD3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2298BD0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1FEC45D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0FE1ED2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34B9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662200F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20</w:t>
            </w:r>
          </w:p>
        </w:tc>
        <w:tc>
          <w:tcPr>
            <w:tcW w:w="1660" w:type="dxa"/>
            <w:noWrap w:val="0"/>
            <w:vAlign w:val="center"/>
          </w:tcPr>
          <w:p w14:paraId="3F4A0E8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0.2392</w:t>
            </w:r>
          </w:p>
        </w:tc>
        <w:tc>
          <w:tcPr>
            <w:tcW w:w="1133" w:type="dxa"/>
            <w:noWrap w:val="0"/>
            <w:vAlign w:val="center"/>
          </w:tcPr>
          <w:p w14:paraId="2B7AFBE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68BFFDC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70E4716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3E20E81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58A6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445B6D9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30</w:t>
            </w:r>
          </w:p>
        </w:tc>
        <w:tc>
          <w:tcPr>
            <w:tcW w:w="1660" w:type="dxa"/>
            <w:noWrap w:val="0"/>
            <w:vAlign w:val="center"/>
          </w:tcPr>
          <w:p w14:paraId="00CC0A3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0.2392</w:t>
            </w:r>
          </w:p>
        </w:tc>
        <w:tc>
          <w:tcPr>
            <w:tcW w:w="1133" w:type="dxa"/>
            <w:noWrap w:val="0"/>
            <w:vAlign w:val="center"/>
          </w:tcPr>
          <w:p w14:paraId="3E54723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0013216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22659A4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6689F87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4433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45F7B64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40</w:t>
            </w:r>
          </w:p>
        </w:tc>
        <w:tc>
          <w:tcPr>
            <w:tcW w:w="1660" w:type="dxa"/>
            <w:noWrap w:val="0"/>
            <w:vAlign w:val="center"/>
          </w:tcPr>
          <w:p w14:paraId="50F380B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0.0026</w:t>
            </w:r>
          </w:p>
        </w:tc>
        <w:tc>
          <w:tcPr>
            <w:tcW w:w="1133" w:type="dxa"/>
            <w:noWrap w:val="0"/>
            <w:vAlign w:val="center"/>
          </w:tcPr>
          <w:p w14:paraId="0583A72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1385.5</w:t>
            </w:r>
          </w:p>
        </w:tc>
        <w:tc>
          <w:tcPr>
            <w:tcW w:w="1488" w:type="dxa"/>
            <w:noWrap w:val="0"/>
            <w:vAlign w:val="center"/>
          </w:tcPr>
          <w:p w14:paraId="43178E9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06BAA03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411696F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79E6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2B22DA0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50</w:t>
            </w:r>
          </w:p>
        </w:tc>
        <w:tc>
          <w:tcPr>
            <w:tcW w:w="1660" w:type="dxa"/>
            <w:noWrap w:val="0"/>
            <w:vAlign w:val="center"/>
          </w:tcPr>
          <w:p w14:paraId="63E2541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0.0009</w:t>
            </w:r>
          </w:p>
        </w:tc>
        <w:tc>
          <w:tcPr>
            <w:tcW w:w="1133" w:type="dxa"/>
            <w:noWrap w:val="0"/>
            <w:vAlign w:val="center"/>
          </w:tcPr>
          <w:p w14:paraId="04BD85F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2063.0</w:t>
            </w:r>
          </w:p>
        </w:tc>
        <w:tc>
          <w:tcPr>
            <w:tcW w:w="1488" w:type="dxa"/>
            <w:noWrap w:val="0"/>
            <w:vAlign w:val="center"/>
          </w:tcPr>
          <w:p w14:paraId="678DF29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34B74F9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1FC6466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6CC6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2360D1E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60</w:t>
            </w:r>
          </w:p>
        </w:tc>
        <w:tc>
          <w:tcPr>
            <w:tcW w:w="1660" w:type="dxa"/>
            <w:noWrap w:val="0"/>
            <w:vAlign w:val="center"/>
          </w:tcPr>
          <w:p w14:paraId="0C3578A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0.0005</w:t>
            </w:r>
          </w:p>
        </w:tc>
        <w:tc>
          <w:tcPr>
            <w:tcW w:w="1133" w:type="dxa"/>
            <w:noWrap w:val="0"/>
            <w:vAlign w:val="center"/>
          </w:tcPr>
          <w:p w14:paraId="5A08D8E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2736.1</w:t>
            </w:r>
          </w:p>
        </w:tc>
        <w:tc>
          <w:tcPr>
            <w:tcW w:w="1488" w:type="dxa"/>
            <w:noWrap w:val="0"/>
            <w:vAlign w:val="center"/>
          </w:tcPr>
          <w:p w14:paraId="1969D18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481E72E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0E2EFD8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bl>
    <w:p w14:paraId="3D2D6A1C">
      <w:pPr>
        <w:widowControl w:val="0"/>
        <w:kinsoku/>
        <w:autoSpaceDE/>
        <w:autoSpaceDN/>
        <w:adjustRightInd/>
        <w:snapToGrid/>
        <w:spacing w:line="440" w:lineRule="exact"/>
        <w:ind w:firstLine="420" w:firstLineChars="200"/>
        <w:jc w:val="both"/>
        <w:textAlignment w:val="auto"/>
        <w:rPr>
          <w:rFonts w:ascii="Times New Roman" w:hAnsi="Times New Roman" w:eastAsia="宋体" w:cs="Times New Roman"/>
          <w:bCs/>
          <w:snapToGrid/>
          <w:color w:val="auto"/>
          <w:lang w:eastAsia="zh-CN"/>
        </w:rPr>
      </w:pPr>
      <w:r>
        <w:rPr>
          <w:rFonts w:ascii="Times New Roman" w:hAnsi="Times New Roman" w:eastAsia="宋体" w:cs="Times New Roman"/>
          <w:bCs/>
          <w:snapToGrid/>
          <w:color w:val="auto"/>
          <w:lang w:eastAsia="zh-CN"/>
        </w:rPr>
        <w:t>注：SO</w:t>
      </w:r>
      <w:r>
        <w:rPr>
          <w:rFonts w:ascii="Times New Roman" w:hAnsi="Times New Roman" w:eastAsia="宋体" w:cs="Times New Roman"/>
          <w:bCs/>
          <w:snapToGrid/>
          <w:color w:val="auto"/>
          <w:vertAlign w:val="subscript"/>
          <w:lang w:eastAsia="zh-CN"/>
        </w:rPr>
        <w:t>2</w:t>
      </w:r>
      <w:r>
        <w:rPr>
          <w:rFonts w:ascii="Times New Roman" w:hAnsi="Times New Roman" w:eastAsia="宋体" w:cs="Times New Roman"/>
          <w:bCs/>
          <w:snapToGrid/>
          <w:color w:val="auto"/>
          <w:lang w:eastAsia="zh-CN"/>
        </w:rPr>
        <w:t>、CO短时接触容许浓度限值分别为10 mg/m</w:t>
      </w:r>
      <w:r>
        <w:rPr>
          <w:rFonts w:ascii="Times New Roman" w:hAnsi="Times New Roman" w:eastAsia="宋体" w:cs="Times New Roman"/>
          <w:bCs/>
          <w:snapToGrid/>
          <w:color w:val="auto"/>
          <w:vertAlign w:val="superscript"/>
          <w:lang w:eastAsia="zh-CN"/>
        </w:rPr>
        <w:t>3</w:t>
      </w:r>
      <w:r>
        <w:rPr>
          <w:rFonts w:ascii="Times New Roman" w:hAnsi="Times New Roman" w:eastAsia="宋体" w:cs="Times New Roman"/>
          <w:bCs/>
          <w:snapToGrid/>
          <w:color w:val="auto"/>
          <w:lang w:eastAsia="zh-CN"/>
        </w:rPr>
        <w:t>、30 mg/m</w:t>
      </w:r>
      <w:r>
        <w:rPr>
          <w:rFonts w:ascii="Times New Roman" w:hAnsi="Times New Roman" w:eastAsia="宋体" w:cs="Times New Roman"/>
          <w:bCs/>
          <w:snapToGrid/>
          <w:color w:val="auto"/>
          <w:vertAlign w:val="superscript"/>
          <w:lang w:eastAsia="zh-CN"/>
        </w:rPr>
        <w:t>3</w:t>
      </w:r>
      <w:r>
        <w:rPr>
          <w:rFonts w:hint="eastAsia" w:ascii="Times New Roman" w:hAnsi="Times New Roman" w:eastAsia="宋体" w:cs="Times New Roman"/>
          <w:bCs/>
          <w:snapToGrid/>
          <w:color w:val="auto"/>
          <w:lang w:eastAsia="zh-CN"/>
        </w:rPr>
        <w:t>，</w:t>
      </w:r>
      <w:r>
        <w:rPr>
          <w:rFonts w:ascii="Times New Roman" w:hAnsi="Times New Roman" w:eastAsia="宋体" w:cs="Times New Roman"/>
          <w:bCs/>
          <w:snapToGrid/>
          <w:color w:val="auto"/>
          <w:lang w:eastAsia="zh-CN"/>
        </w:rPr>
        <w:t>（取自工作场所有害因素职业接触限值</w:t>
      </w:r>
      <w:r>
        <w:rPr>
          <w:rFonts w:hint="eastAsia" w:ascii="Times New Roman" w:hAnsi="Times New Roman" w:eastAsia="宋体" w:cs="Times New Roman"/>
          <w:bCs/>
          <w:snapToGrid/>
          <w:color w:val="auto"/>
          <w:lang w:eastAsia="zh-CN"/>
        </w:rPr>
        <w:t>，</w:t>
      </w:r>
      <w:r>
        <w:rPr>
          <w:rFonts w:ascii="Times New Roman" w:hAnsi="Times New Roman" w:eastAsia="宋体" w:cs="Times New Roman"/>
          <w:bCs/>
          <w:snapToGrid/>
          <w:color w:val="auto"/>
          <w:lang w:eastAsia="zh-CN"/>
        </w:rPr>
        <w:t>GBZ2-2007）</w:t>
      </w:r>
      <w:r>
        <w:rPr>
          <w:rFonts w:hint="eastAsia" w:ascii="Times New Roman" w:hAnsi="Times New Roman" w:eastAsia="宋体" w:cs="Times New Roman"/>
          <w:bCs/>
          <w:snapToGrid/>
          <w:color w:val="auto"/>
          <w:lang w:eastAsia="zh-CN"/>
        </w:rPr>
        <w:t>，</w:t>
      </w:r>
      <w:r>
        <w:rPr>
          <w:rFonts w:ascii="Times New Roman" w:hAnsi="Times New Roman" w:eastAsia="宋体" w:cs="Times New Roman"/>
          <w:bCs/>
          <w:snapToGrid/>
          <w:color w:val="auto"/>
          <w:lang w:eastAsia="zh-CN"/>
        </w:rPr>
        <w:t>SO</w:t>
      </w:r>
      <w:r>
        <w:rPr>
          <w:rFonts w:ascii="Times New Roman" w:hAnsi="Times New Roman" w:eastAsia="宋体" w:cs="Times New Roman"/>
          <w:bCs/>
          <w:snapToGrid/>
          <w:color w:val="auto"/>
          <w:vertAlign w:val="subscript"/>
          <w:lang w:eastAsia="zh-CN"/>
        </w:rPr>
        <w:t>2</w:t>
      </w:r>
      <w:r>
        <w:rPr>
          <w:rFonts w:ascii="Times New Roman" w:hAnsi="Times New Roman" w:eastAsia="宋体" w:cs="Times New Roman"/>
          <w:bCs/>
          <w:snapToGrid/>
          <w:color w:val="auto"/>
          <w:lang w:eastAsia="zh-CN"/>
        </w:rPr>
        <w:t>、CO的LC</w:t>
      </w:r>
      <w:r>
        <w:rPr>
          <w:rFonts w:ascii="Times New Roman" w:hAnsi="Times New Roman" w:eastAsia="宋体" w:cs="Times New Roman"/>
          <w:bCs/>
          <w:snapToGrid/>
          <w:color w:val="auto"/>
          <w:vertAlign w:val="subscript"/>
          <w:lang w:eastAsia="zh-CN"/>
        </w:rPr>
        <w:t>50</w:t>
      </w:r>
      <w:r>
        <w:rPr>
          <w:rFonts w:ascii="Times New Roman" w:hAnsi="Times New Roman" w:eastAsia="宋体" w:cs="Times New Roman"/>
          <w:bCs/>
          <w:snapToGrid/>
          <w:color w:val="auto"/>
          <w:lang w:eastAsia="zh-CN"/>
        </w:rPr>
        <w:t>分别取6600 mg/m</w:t>
      </w:r>
      <w:r>
        <w:rPr>
          <w:rFonts w:ascii="Times New Roman" w:hAnsi="Times New Roman" w:eastAsia="宋体" w:cs="Times New Roman"/>
          <w:bCs/>
          <w:snapToGrid/>
          <w:color w:val="auto"/>
          <w:vertAlign w:val="superscript"/>
          <w:lang w:eastAsia="zh-CN"/>
        </w:rPr>
        <w:t>3</w:t>
      </w:r>
      <w:r>
        <w:rPr>
          <w:rFonts w:ascii="Times New Roman" w:hAnsi="Times New Roman" w:eastAsia="宋体" w:cs="Times New Roman"/>
          <w:bCs/>
          <w:snapToGrid/>
          <w:color w:val="auto"/>
          <w:lang w:eastAsia="zh-CN"/>
        </w:rPr>
        <w:t>、1807 ppm。</w:t>
      </w:r>
    </w:p>
    <w:p w14:paraId="70CF928E">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
          <w:szCs w:val="2"/>
          <w:lang w:eastAsia="zh-CN"/>
        </w:rPr>
      </w:pPr>
      <w:r>
        <w:rPr>
          <w:rFonts w:ascii="Times New Roman" w:hAnsi="Times New Roman" w:eastAsia="宋体" w:cs="Times New Roman"/>
          <w:b/>
          <w:snapToGrid/>
          <w:color w:val="auto"/>
          <w:kern w:val="2"/>
          <w:sz w:val="24"/>
          <w:szCs w:val="28"/>
          <w:lang w:eastAsia="zh-CN"/>
        </w:rPr>
        <w:t>表5.3-4  事故发生下CO扩散情况预测结果</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660"/>
        <w:gridCol w:w="1133"/>
        <w:gridCol w:w="1488"/>
        <w:gridCol w:w="2055"/>
        <w:gridCol w:w="1485"/>
      </w:tblGrid>
      <w:tr w14:paraId="322C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4BA7B0C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预测时刻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min)</w:t>
            </w:r>
          </w:p>
        </w:tc>
        <w:tc>
          <w:tcPr>
            <w:tcW w:w="1660" w:type="dxa"/>
            <w:noWrap w:val="0"/>
            <w:vAlign w:val="center"/>
          </w:tcPr>
          <w:p w14:paraId="34E66A2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最大落地浓度</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mg/m</w:t>
            </w:r>
            <w:r>
              <w:rPr>
                <w:rFonts w:ascii="Times New Roman" w:hAnsi="Times New Roman" w:eastAsia="宋体" w:cs="Times New Roman"/>
                <w:bCs/>
                <w:color w:val="auto"/>
                <w:position w:val="8"/>
                <w:sz w:val="12"/>
                <w:szCs w:val="12"/>
                <w:lang w:eastAsia="zh-CN"/>
              </w:rPr>
              <w:t>3</w:t>
            </w:r>
            <w:r>
              <w:rPr>
                <w:rFonts w:ascii="Times New Roman" w:hAnsi="Times New Roman" w:eastAsia="宋体" w:cs="Times New Roman"/>
                <w:bCs/>
                <w:color w:val="auto"/>
                <w:szCs w:val="24"/>
                <w:lang w:eastAsia="zh-CN"/>
              </w:rPr>
              <w:t>)</w:t>
            </w:r>
          </w:p>
        </w:tc>
        <w:tc>
          <w:tcPr>
            <w:tcW w:w="1133" w:type="dxa"/>
            <w:noWrap w:val="0"/>
            <w:vAlign w:val="center"/>
          </w:tcPr>
          <w:p w14:paraId="57D26D8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出现距离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488" w:type="dxa"/>
            <w:noWrap w:val="0"/>
            <w:vAlign w:val="center"/>
          </w:tcPr>
          <w:p w14:paraId="2768EC4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半致死浓度范围</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2055" w:type="dxa"/>
            <w:noWrap w:val="0"/>
            <w:vAlign w:val="center"/>
          </w:tcPr>
          <w:p w14:paraId="0658FF9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短时间接触容许浓度范围</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485" w:type="dxa"/>
            <w:noWrap w:val="0"/>
            <w:vAlign w:val="center"/>
          </w:tcPr>
          <w:p w14:paraId="29665DC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环境质量标准</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r>
      <w:tr w14:paraId="3041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2249DA8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w:t>
            </w:r>
          </w:p>
        </w:tc>
        <w:tc>
          <w:tcPr>
            <w:tcW w:w="1660" w:type="dxa"/>
            <w:noWrap w:val="0"/>
            <w:vAlign w:val="center"/>
          </w:tcPr>
          <w:p w14:paraId="1DFF1E4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1164.63</w:t>
            </w:r>
          </w:p>
        </w:tc>
        <w:tc>
          <w:tcPr>
            <w:tcW w:w="1133" w:type="dxa"/>
            <w:noWrap w:val="0"/>
            <w:vAlign w:val="center"/>
          </w:tcPr>
          <w:p w14:paraId="60E62E8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45FA070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6B6CE88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580.9</w:t>
            </w:r>
          </w:p>
        </w:tc>
        <w:tc>
          <w:tcPr>
            <w:tcW w:w="1485" w:type="dxa"/>
            <w:noWrap w:val="0"/>
            <w:vAlign w:val="center"/>
          </w:tcPr>
          <w:p w14:paraId="0331862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645.4</w:t>
            </w:r>
          </w:p>
        </w:tc>
      </w:tr>
      <w:tr w14:paraId="6921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797C1BB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10</w:t>
            </w:r>
          </w:p>
        </w:tc>
        <w:tc>
          <w:tcPr>
            <w:tcW w:w="1660" w:type="dxa"/>
            <w:noWrap w:val="0"/>
            <w:vAlign w:val="center"/>
          </w:tcPr>
          <w:p w14:paraId="4E11167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1164.63</w:t>
            </w:r>
          </w:p>
        </w:tc>
        <w:tc>
          <w:tcPr>
            <w:tcW w:w="1133" w:type="dxa"/>
            <w:noWrap w:val="0"/>
            <w:vAlign w:val="center"/>
          </w:tcPr>
          <w:p w14:paraId="271E2DA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4C13292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6298FE6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766.7</w:t>
            </w:r>
          </w:p>
        </w:tc>
        <w:tc>
          <w:tcPr>
            <w:tcW w:w="1485" w:type="dxa"/>
            <w:noWrap w:val="0"/>
            <w:vAlign w:val="center"/>
          </w:tcPr>
          <w:p w14:paraId="6BA1900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1185.1</w:t>
            </w:r>
          </w:p>
        </w:tc>
      </w:tr>
      <w:tr w14:paraId="129A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4DA39AF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20</w:t>
            </w:r>
          </w:p>
        </w:tc>
        <w:tc>
          <w:tcPr>
            <w:tcW w:w="1660" w:type="dxa"/>
            <w:noWrap w:val="0"/>
            <w:vAlign w:val="center"/>
          </w:tcPr>
          <w:p w14:paraId="5AD27F1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1164.62</w:t>
            </w:r>
          </w:p>
        </w:tc>
        <w:tc>
          <w:tcPr>
            <w:tcW w:w="1133" w:type="dxa"/>
            <w:noWrap w:val="0"/>
            <w:vAlign w:val="center"/>
          </w:tcPr>
          <w:p w14:paraId="5E8794EB">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3EC6105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7461E95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766.7</w:t>
            </w:r>
          </w:p>
        </w:tc>
        <w:tc>
          <w:tcPr>
            <w:tcW w:w="1485" w:type="dxa"/>
            <w:noWrap w:val="0"/>
            <w:vAlign w:val="center"/>
          </w:tcPr>
          <w:p w14:paraId="0176579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1695.9</w:t>
            </w:r>
          </w:p>
        </w:tc>
      </w:tr>
      <w:tr w14:paraId="69E1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390A451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30</w:t>
            </w:r>
          </w:p>
        </w:tc>
        <w:tc>
          <w:tcPr>
            <w:tcW w:w="1660" w:type="dxa"/>
            <w:noWrap w:val="0"/>
            <w:vAlign w:val="center"/>
          </w:tcPr>
          <w:p w14:paraId="3A252F1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1164.61</w:t>
            </w:r>
          </w:p>
        </w:tc>
        <w:tc>
          <w:tcPr>
            <w:tcW w:w="1133" w:type="dxa"/>
            <w:noWrap w:val="0"/>
            <w:vAlign w:val="center"/>
          </w:tcPr>
          <w:p w14:paraId="6DDA076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19.7</w:t>
            </w:r>
          </w:p>
        </w:tc>
        <w:tc>
          <w:tcPr>
            <w:tcW w:w="1488" w:type="dxa"/>
            <w:noWrap w:val="0"/>
            <w:vAlign w:val="center"/>
          </w:tcPr>
          <w:p w14:paraId="65CBA86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69AFF3B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766.4</w:t>
            </w:r>
          </w:p>
        </w:tc>
        <w:tc>
          <w:tcPr>
            <w:tcW w:w="1485" w:type="dxa"/>
            <w:noWrap w:val="0"/>
            <w:vAlign w:val="center"/>
          </w:tcPr>
          <w:p w14:paraId="1D3663B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1695.9</w:t>
            </w:r>
          </w:p>
        </w:tc>
      </w:tr>
      <w:tr w14:paraId="1E37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3A5DB52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40</w:t>
            </w:r>
          </w:p>
        </w:tc>
        <w:tc>
          <w:tcPr>
            <w:tcW w:w="1660" w:type="dxa"/>
            <w:noWrap w:val="0"/>
            <w:vAlign w:val="center"/>
          </w:tcPr>
          <w:p w14:paraId="164C67B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12.56</w:t>
            </w:r>
          </w:p>
        </w:tc>
        <w:tc>
          <w:tcPr>
            <w:tcW w:w="1133" w:type="dxa"/>
            <w:noWrap w:val="0"/>
            <w:vAlign w:val="center"/>
          </w:tcPr>
          <w:p w14:paraId="002ADB7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1385.5</w:t>
            </w:r>
          </w:p>
        </w:tc>
        <w:tc>
          <w:tcPr>
            <w:tcW w:w="1488" w:type="dxa"/>
            <w:noWrap w:val="0"/>
            <w:vAlign w:val="center"/>
          </w:tcPr>
          <w:p w14:paraId="5164066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1DBE481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7E8254A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1695.6</w:t>
            </w:r>
          </w:p>
        </w:tc>
      </w:tr>
      <w:tr w14:paraId="7091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25F5D46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50</w:t>
            </w:r>
          </w:p>
        </w:tc>
        <w:tc>
          <w:tcPr>
            <w:tcW w:w="1660" w:type="dxa"/>
            <w:noWrap w:val="0"/>
            <w:vAlign w:val="center"/>
          </w:tcPr>
          <w:p w14:paraId="147A46E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4.61</w:t>
            </w:r>
          </w:p>
        </w:tc>
        <w:tc>
          <w:tcPr>
            <w:tcW w:w="1133" w:type="dxa"/>
            <w:noWrap w:val="0"/>
            <w:vAlign w:val="center"/>
          </w:tcPr>
          <w:p w14:paraId="1C7B8E0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2736.1</w:t>
            </w:r>
          </w:p>
        </w:tc>
        <w:tc>
          <w:tcPr>
            <w:tcW w:w="1488" w:type="dxa"/>
            <w:noWrap w:val="0"/>
            <w:vAlign w:val="center"/>
          </w:tcPr>
          <w:p w14:paraId="7244B9F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06513B7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0A994A0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6A1A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240" w:type="dxa"/>
            <w:noWrap w:val="0"/>
            <w:vAlign w:val="center"/>
          </w:tcPr>
          <w:p w14:paraId="6FBB69A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60</w:t>
            </w:r>
          </w:p>
        </w:tc>
        <w:tc>
          <w:tcPr>
            <w:tcW w:w="1660" w:type="dxa"/>
            <w:noWrap w:val="0"/>
            <w:vAlign w:val="center"/>
          </w:tcPr>
          <w:p w14:paraId="0CA532D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2.52</w:t>
            </w:r>
          </w:p>
        </w:tc>
        <w:tc>
          <w:tcPr>
            <w:tcW w:w="1133" w:type="dxa"/>
            <w:noWrap w:val="0"/>
            <w:vAlign w:val="center"/>
          </w:tcPr>
          <w:p w14:paraId="5805958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4078.6</w:t>
            </w:r>
          </w:p>
        </w:tc>
        <w:tc>
          <w:tcPr>
            <w:tcW w:w="1488" w:type="dxa"/>
            <w:noWrap w:val="0"/>
            <w:vAlign w:val="center"/>
          </w:tcPr>
          <w:p w14:paraId="0ED4319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2055" w:type="dxa"/>
            <w:noWrap w:val="0"/>
            <w:vAlign w:val="center"/>
          </w:tcPr>
          <w:p w14:paraId="0C27A15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c>
          <w:tcPr>
            <w:tcW w:w="1485" w:type="dxa"/>
            <w:noWrap w:val="0"/>
            <w:vAlign w:val="center"/>
          </w:tcPr>
          <w:p w14:paraId="65AC907C">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bl>
    <w:p w14:paraId="44CAAEA3">
      <w:pPr>
        <w:widowControl w:val="0"/>
        <w:kinsoku/>
        <w:autoSpaceDE/>
        <w:autoSpaceDN/>
        <w:adjustRightInd/>
        <w:snapToGrid/>
        <w:spacing w:line="360" w:lineRule="auto"/>
        <w:ind w:firstLine="420" w:firstLineChars="200"/>
        <w:jc w:val="both"/>
        <w:textAlignment w:val="auto"/>
        <w:rPr>
          <w:rFonts w:ascii="Times New Roman" w:hAnsi="Times New Roman" w:eastAsia="宋体" w:cs="Times New Roman"/>
          <w:bCs/>
          <w:snapToGrid/>
          <w:color w:val="auto"/>
          <w:lang w:eastAsia="zh-CN"/>
        </w:rPr>
      </w:pPr>
      <w:r>
        <w:rPr>
          <w:rFonts w:ascii="Times New Roman" w:hAnsi="Times New Roman" w:eastAsia="宋体" w:cs="Times New Roman"/>
          <w:bCs/>
          <w:snapToGrid/>
          <w:color w:val="auto"/>
          <w:lang w:eastAsia="zh-CN"/>
        </w:rPr>
        <w:t>注：SO</w:t>
      </w:r>
      <w:r>
        <w:rPr>
          <w:rFonts w:ascii="Times New Roman" w:hAnsi="Times New Roman" w:eastAsia="宋体" w:cs="Times New Roman"/>
          <w:bCs/>
          <w:snapToGrid/>
          <w:color w:val="auto"/>
          <w:vertAlign w:val="subscript"/>
          <w:lang w:eastAsia="zh-CN"/>
        </w:rPr>
        <w:t>2</w:t>
      </w:r>
      <w:r>
        <w:rPr>
          <w:rFonts w:ascii="Times New Roman" w:hAnsi="Times New Roman" w:eastAsia="宋体" w:cs="Times New Roman"/>
          <w:bCs/>
          <w:snapToGrid/>
          <w:color w:val="auto"/>
          <w:lang w:eastAsia="zh-CN"/>
        </w:rPr>
        <w:t>、CO短时接触容许浓度限值分别为10 mg/m</w:t>
      </w:r>
      <w:r>
        <w:rPr>
          <w:rFonts w:ascii="Times New Roman" w:hAnsi="Times New Roman" w:eastAsia="宋体" w:cs="Times New Roman"/>
          <w:bCs/>
          <w:snapToGrid/>
          <w:color w:val="auto"/>
          <w:vertAlign w:val="superscript"/>
          <w:lang w:eastAsia="zh-CN"/>
        </w:rPr>
        <w:t>3</w:t>
      </w:r>
      <w:r>
        <w:rPr>
          <w:rFonts w:ascii="Times New Roman" w:hAnsi="Times New Roman" w:eastAsia="宋体" w:cs="Times New Roman"/>
          <w:bCs/>
          <w:snapToGrid/>
          <w:color w:val="auto"/>
          <w:lang w:eastAsia="zh-CN"/>
        </w:rPr>
        <w:t>、30 mg/m</w:t>
      </w:r>
      <w:r>
        <w:rPr>
          <w:rFonts w:ascii="Times New Roman" w:hAnsi="Times New Roman" w:eastAsia="宋体" w:cs="Times New Roman"/>
          <w:bCs/>
          <w:snapToGrid/>
          <w:color w:val="auto"/>
          <w:vertAlign w:val="superscript"/>
          <w:lang w:eastAsia="zh-CN"/>
        </w:rPr>
        <w:t>3</w:t>
      </w:r>
      <w:r>
        <w:rPr>
          <w:rFonts w:hint="eastAsia" w:ascii="Times New Roman" w:hAnsi="Times New Roman" w:eastAsia="宋体" w:cs="Times New Roman"/>
          <w:bCs/>
          <w:snapToGrid/>
          <w:color w:val="auto"/>
          <w:lang w:eastAsia="zh-CN"/>
        </w:rPr>
        <w:t>，</w:t>
      </w:r>
      <w:r>
        <w:rPr>
          <w:rFonts w:ascii="Times New Roman" w:hAnsi="Times New Roman" w:eastAsia="宋体" w:cs="Times New Roman"/>
          <w:bCs/>
          <w:snapToGrid/>
          <w:color w:val="auto"/>
          <w:lang w:eastAsia="zh-CN"/>
        </w:rPr>
        <w:t>（取自工作场所有害因素职业接触限值</w:t>
      </w:r>
      <w:r>
        <w:rPr>
          <w:rFonts w:hint="eastAsia" w:ascii="Times New Roman" w:hAnsi="Times New Roman" w:eastAsia="宋体" w:cs="Times New Roman"/>
          <w:bCs/>
          <w:snapToGrid/>
          <w:color w:val="auto"/>
          <w:lang w:eastAsia="zh-CN"/>
        </w:rPr>
        <w:t>，</w:t>
      </w:r>
      <w:r>
        <w:rPr>
          <w:rFonts w:ascii="Times New Roman" w:hAnsi="Times New Roman" w:eastAsia="宋体" w:cs="Times New Roman"/>
          <w:bCs/>
          <w:snapToGrid/>
          <w:color w:val="auto"/>
          <w:lang w:eastAsia="zh-CN"/>
        </w:rPr>
        <w:t>GBZ2-2007））</w:t>
      </w:r>
      <w:r>
        <w:rPr>
          <w:rFonts w:hint="eastAsia" w:ascii="Times New Roman" w:hAnsi="Times New Roman" w:eastAsia="宋体" w:cs="Times New Roman"/>
          <w:bCs/>
          <w:snapToGrid/>
          <w:color w:val="auto"/>
          <w:lang w:eastAsia="zh-CN"/>
        </w:rPr>
        <w:t>，</w:t>
      </w:r>
      <w:r>
        <w:rPr>
          <w:rFonts w:ascii="Times New Roman" w:hAnsi="Times New Roman" w:eastAsia="宋体" w:cs="Times New Roman"/>
          <w:bCs/>
          <w:snapToGrid/>
          <w:color w:val="auto"/>
          <w:lang w:eastAsia="zh-CN"/>
        </w:rPr>
        <w:t>SO</w:t>
      </w:r>
      <w:r>
        <w:rPr>
          <w:rFonts w:ascii="Times New Roman" w:hAnsi="Times New Roman" w:eastAsia="宋体" w:cs="Times New Roman"/>
          <w:bCs/>
          <w:snapToGrid/>
          <w:color w:val="auto"/>
          <w:vertAlign w:val="subscript"/>
          <w:lang w:eastAsia="zh-CN"/>
        </w:rPr>
        <w:t>2</w:t>
      </w:r>
      <w:r>
        <w:rPr>
          <w:rFonts w:ascii="Times New Roman" w:hAnsi="Times New Roman" w:eastAsia="宋体" w:cs="Times New Roman"/>
          <w:bCs/>
          <w:snapToGrid/>
          <w:color w:val="auto"/>
          <w:lang w:eastAsia="zh-CN"/>
        </w:rPr>
        <w:t>、CO的LC</w:t>
      </w:r>
      <w:r>
        <w:rPr>
          <w:rFonts w:ascii="Times New Roman" w:hAnsi="Times New Roman" w:eastAsia="宋体" w:cs="Times New Roman"/>
          <w:bCs/>
          <w:snapToGrid/>
          <w:color w:val="auto"/>
          <w:vertAlign w:val="subscript"/>
          <w:lang w:eastAsia="zh-CN"/>
        </w:rPr>
        <w:t>50</w:t>
      </w:r>
      <w:r>
        <w:rPr>
          <w:rFonts w:ascii="Times New Roman" w:hAnsi="Times New Roman" w:eastAsia="宋体" w:cs="Times New Roman"/>
          <w:bCs/>
          <w:snapToGrid/>
          <w:color w:val="auto"/>
          <w:lang w:eastAsia="zh-CN"/>
        </w:rPr>
        <w:t>分别取6600 mg/m</w:t>
      </w:r>
      <w:r>
        <w:rPr>
          <w:rFonts w:ascii="Times New Roman" w:hAnsi="Times New Roman" w:eastAsia="宋体" w:cs="Times New Roman"/>
          <w:bCs/>
          <w:snapToGrid/>
          <w:color w:val="auto"/>
          <w:vertAlign w:val="superscript"/>
          <w:lang w:eastAsia="zh-CN"/>
        </w:rPr>
        <w:t>3</w:t>
      </w:r>
      <w:r>
        <w:rPr>
          <w:rFonts w:ascii="Times New Roman" w:hAnsi="Times New Roman" w:eastAsia="宋体" w:cs="Times New Roman"/>
          <w:bCs/>
          <w:snapToGrid/>
          <w:color w:val="auto"/>
          <w:lang w:eastAsia="zh-CN"/>
        </w:rPr>
        <w:t>、1807 ppm。</w:t>
      </w:r>
    </w:p>
    <w:p w14:paraId="6D7C73A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根据计算结果</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汽油罐车泄漏发生火灾事故后</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其产生的“二次污染”以CO最为严重。</w:t>
      </w:r>
      <w:r>
        <w:rPr>
          <w:rFonts w:ascii="Times New Roman" w:hAnsi="Times New Roman" w:eastAsia="宋体" w:cs="Times New Roman"/>
          <w:snapToGrid/>
          <w:color w:val="auto"/>
          <w:kern w:val="2"/>
          <w:sz w:val="24"/>
          <w:szCs w:val="22"/>
          <w:lang w:eastAsia="zh-CN"/>
        </w:rPr>
        <w:t>最大落地浓度出现在距离事故源点19.7 m处；短时间接触容许浓度出现最大范围距事故源点766.7 m。</w:t>
      </w:r>
      <w:r>
        <w:rPr>
          <w:rFonts w:ascii="Times New Roman" w:hAnsi="Times New Roman" w:eastAsia="宋体" w:cs="Times New Roman"/>
          <w:snapToGrid/>
          <w:color w:val="auto"/>
          <w:kern w:val="2"/>
          <w:sz w:val="24"/>
          <w:szCs w:val="28"/>
          <w:lang w:eastAsia="zh-CN"/>
        </w:rPr>
        <w:t>现场工作人员佩戴好必要的防护措施</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无关人员严禁进入污染区</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及时告知受影响环境风险受体</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并开展疏散工作</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迅速、有序组织人群撤离。</w:t>
      </w:r>
    </w:p>
    <w:p w14:paraId="11649549">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18" w:name="_Toc1612"/>
      <w:bookmarkStart w:id="319" w:name="_Toc27552281"/>
      <w:bookmarkStart w:id="320" w:name="_Toc14204"/>
      <w:bookmarkStart w:id="321" w:name="_Toc4582"/>
      <w:bookmarkStart w:id="322" w:name="_Toc12868"/>
      <w:bookmarkStart w:id="323" w:name="_Toc5339"/>
      <w:r>
        <w:rPr>
          <w:rFonts w:ascii="Times New Roman" w:hAnsi="Times New Roman" w:eastAsia="宋体" w:cs="Times New Roman"/>
          <w:b/>
          <w:bCs/>
          <w:snapToGrid/>
          <w:color w:val="auto"/>
          <w:kern w:val="2"/>
          <w:sz w:val="24"/>
          <w:szCs w:val="32"/>
          <w:lang w:eastAsia="zh-CN"/>
        </w:rPr>
        <w:t>5.3.3 汽油运输车交通事故引发汽油泄漏后果分析</w:t>
      </w:r>
      <w:bookmarkEnd w:id="318"/>
      <w:bookmarkEnd w:id="319"/>
      <w:bookmarkEnd w:id="320"/>
      <w:bookmarkEnd w:id="321"/>
      <w:bookmarkEnd w:id="322"/>
      <w:bookmarkEnd w:id="323"/>
    </w:p>
    <w:p w14:paraId="19DAA554">
      <w:pPr>
        <w:widowControl w:val="0"/>
        <w:kinsoku/>
        <w:adjustRightInd/>
        <w:snapToGrid/>
        <w:spacing w:line="360" w:lineRule="auto"/>
        <w:ind w:firstLine="480" w:firstLineChars="200"/>
        <w:jc w:val="both"/>
        <w:textAlignment w:val="auto"/>
        <w:rPr>
          <w:rStyle w:val="27"/>
          <w:rFonts w:ascii="Times New Roman" w:hAnsi="Times New Roman"/>
          <w:snapToGrid/>
          <w:color w:val="auto"/>
          <w:sz w:val="24"/>
          <w:szCs w:val="28"/>
          <w:lang w:eastAsia="zh-CN"/>
        </w:rPr>
      </w:pPr>
      <w:r>
        <w:rPr>
          <w:rFonts w:ascii="Times New Roman" w:hAnsi="Times New Roman" w:eastAsia="宋体" w:cs="Times New Roman"/>
          <w:snapToGrid/>
          <w:color w:val="auto"/>
          <w:sz w:val="24"/>
          <w:szCs w:val="28"/>
          <w:lang w:eastAsia="zh-CN"/>
        </w:rPr>
        <w:t>1、预测模型</w:t>
      </w:r>
    </w:p>
    <w:p w14:paraId="4A65C8E1">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本次假设汽油运输车在沿河路段因交通事故造成侧翻引起汽油泄漏</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油品污染河面。泄漏后不考虑石油类在河床土壤中的吸附、降解等作用。</w:t>
      </w:r>
    </w:p>
    <w:p w14:paraId="022CCA6A">
      <w:pPr>
        <w:widowControl w:val="0"/>
        <w:kinsoku/>
        <w:adjustRightInd/>
        <w:snapToGrid/>
        <w:spacing w:line="360" w:lineRule="auto"/>
        <w:ind w:firstLine="480" w:firstLineChars="200"/>
        <w:jc w:val="both"/>
        <w:textAlignment w:val="auto"/>
        <w:rPr>
          <w:rFonts w:ascii="Times New Roman" w:hAnsi="Times New Roman" w:eastAsia="宋体" w:cs="Times New Roman"/>
          <w:snapToGrid/>
          <w:color w:val="auto"/>
          <w:sz w:val="24"/>
          <w:szCs w:val="28"/>
          <w:lang w:eastAsia="zh-CN"/>
        </w:rPr>
      </w:pPr>
      <w:r>
        <w:rPr>
          <w:rFonts w:ascii="Times New Roman" w:hAnsi="Times New Roman" w:eastAsia="宋体" w:cs="Times New Roman"/>
          <w:snapToGrid/>
          <w:color w:val="auto"/>
          <w:sz w:val="24"/>
          <w:szCs w:val="28"/>
          <w:lang w:eastAsia="zh-CN"/>
        </w:rPr>
        <w:t>根据预测河道的水动力特点</w:t>
      </w:r>
      <w:r>
        <w:rPr>
          <w:rFonts w:hint="eastAsia" w:ascii="Times New Roman" w:hAnsi="Times New Roman" w:eastAsia="宋体" w:cs="Times New Roman"/>
          <w:snapToGrid/>
          <w:color w:val="auto"/>
          <w:sz w:val="24"/>
          <w:szCs w:val="28"/>
          <w:lang w:eastAsia="zh-CN"/>
        </w:rPr>
        <w:t>，</w:t>
      </w:r>
      <w:r>
        <w:rPr>
          <w:rFonts w:ascii="Times New Roman" w:hAnsi="Times New Roman" w:eastAsia="宋体" w:cs="Times New Roman"/>
          <w:snapToGrid/>
          <w:color w:val="auto"/>
          <w:sz w:val="24"/>
          <w:szCs w:val="28"/>
          <w:lang w:eastAsia="zh-CN"/>
        </w:rPr>
        <w:t>采用Fannelop&amp; Waldman静水点源瞬时溢油的一维油膜扩展长度方程</w:t>
      </w:r>
      <w:r>
        <w:rPr>
          <w:rFonts w:hint="eastAsia" w:ascii="Times New Roman" w:hAnsi="Times New Roman" w:eastAsia="宋体" w:cs="Times New Roman"/>
          <w:snapToGrid/>
          <w:color w:val="auto"/>
          <w:sz w:val="24"/>
          <w:szCs w:val="28"/>
          <w:lang w:eastAsia="zh-CN"/>
        </w:rPr>
        <w:t>，</w:t>
      </w:r>
      <w:r>
        <w:rPr>
          <w:rFonts w:ascii="Times New Roman" w:hAnsi="Times New Roman" w:eastAsia="宋体" w:cs="Times New Roman"/>
          <w:snapToGrid/>
          <w:color w:val="auto"/>
          <w:sz w:val="24"/>
          <w:szCs w:val="28"/>
          <w:lang w:eastAsia="zh-CN"/>
        </w:rPr>
        <w:t>并同时考虑油膜随流迁移的计算方法预测事故发生后油膜扩展影响的范围。</w:t>
      </w:r>
    </w:p>
    <w:p w14:paraId="0935B83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溢油在静止水体中扩展长度为：</w:t>
      </w:r>
    </w:p>
    <w:p w14:paraId="1B01412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第一阶段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惯性扩展阶段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w:t>
      </w:r>
    </w:p>
    <w:p w14:paraId="355F61B5">
      <w:pPr>
        <w:widowControl w:val="0"/>
        <w:kinsoku/>
        <w:autoSpaceDE/>
        <w:autoSpaceDN/>
        <w:adjustRightInd/>
        <w:snapToGrid/>
        <w:spacing w:line="360" w:lineRule="auto"/>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position w:val="-10"/>
          <w:sz w:val="24"/>
          <w:szCs w:val="22"/>
          <w:lang w:eastAsia="zh-CN"/>
        </w:rPr>
        <w:object>
          <v:shape id="_x0000_i1039" o:spt="75" type="#_x0000_t75" style="height:27pt;width:87pt;" o:ole="t" filled="f" o:preferrelative="t" stroked="f" coordsize="21600,21600">
            <v:path/>
            <v:fill on="f" focussize="0,0"/>
            <v:stroke on="f"/>
            <v:imagedata r:id="rId42" o:title=""/>
            <o:lock v:ext="edit" aspectratio="t"/>
            <w10:wrap type="none"/>
            <w10:anchorlock/>
          </v:shape>
          <o:OLEObject Type="Embed" ProgID="Equation.3" ShapeID="_x0000_i1039" DrawAspect="Content" ObjectID="_1468075734" r:id="rId41">
            <o:LockedField>false</o:LockedField>
          </o:OLEObject>
        </w:object>
      </w:r>
    </w:p>
    <w:p w14:paraId="1019BBF3">
      <w:pPr>
        <w:widowControl w:val="0"/>
        <w:kinsoku/>
        <w:autoSpaceDE/>
        <w:autoSpaceDN/>
        <w:adjustRightInd/>
        <w:snapToGrid/>
        <w:spacing w:line="360" w:lineRule="auto"/>
        <w:ind w:firstLine="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第二阶段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粘性扩展阶段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w:t>
      </w:r>
    </w:p>
    <w:p w14:paraId="6B151A71">
      <w:pPr>
        <w:widowControl w:val="0"/>
        <w:kinsoku/>
        <w:autoSpaceDE/>
        <w:autoSpaceDN/>
        <w:adjustRightInd/>
        <w:snapToGrid/>
        <w:spacing w:line="360" w:lineRule="auto"/>
        <w:ind w:firstLine="200"/>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position w:val="-34"/>
          <w:sz w:val="24"/>
          <w:szCs w:val="22"/>
          <w:lang w:eastAsia="zh-CN"/>
        </w:rPr>
        <w:object>
          <v:shape id="_x0000_i1040" o:spt="75" type="#_x0000_t75" style="height:48pt;width:156pt;" o:ole="t" filled="f" o:preferrelative="t" stroked="f" coordsize="21600,21600">
            <v:path/>
            <v:fill on="f" focussize="0,0"/>
            <v:stroke on="f"/>
            <v:imagedata r:id="rId44" o:title=""/>
            <o:lock v:ext="edit" aspectratio="t"/>
            <w10:wrap type="none"/>
            <w10:anchorlock/>
          </v:shape>
          <o:OLEObject Type="Embed" ProgID="Equation.3" ShapeID="_x0000_i1040" DrawAspect="Content" ObjectID="_1468075735" r:id="rId43">
            <o:LockedField>false</o:LockedField>
          </o:OLEObject>
        </w:object>
      </w:r>
    </w:p>
    <w:p w14:paraId="32A32A9A">
      <w:pPr>
        <w:widowControl w:val="0"/>
        <w:kinsoku/>
        <w:autoSpaceDE/>
        <w:autoSpaceDN/>
        <w:adjustRightInd/>
        <w:snapToGrid/>
        <w:spacing w:line="360" w:lineRule="auto"/>
        <w:ind w:firstLine="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第三阶段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表面张力扩展阶段</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w:t>
      </w:r>
    </w:p>
    <w:p w14:paraId="776C165C">
      <w:pPr>
        <w:widowControl w:val="0"/>
        <w:kinsoku/>
        <w:autoSpaceDE/>
        <w:autoSpaceDN/>
        <w:adjustRightInd/>
        <w:snapToGrid/>
        <w:spacing w:line="360" w:lineRule="auto"/>
        <w:ind w:firstLine="200"/>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position w:val="-12"/>
          <w:sz w:val="24"/>
          <w:szCs w:val="22"/>
          <w:lang w:eastAsia="zh-CN"/>
        </w:rPr>
        <w:object>
          <v:shape id="_x0000_i1041" o:spt="75" type="#_x0000_t75" style="height:24.75pt;width:120pt;" o:ole="t" filled="f" o:preferrelative="t" stroked="f" coordsize="21600,21600">
            <v:path/>
            <v:fill on="f" focussize="0,0"/>
            <v:stroke on="f"/>
            <v:imagedata r:id="rId46" o:title=""/>
            <o:lock v:ext="edit" aspectratio="t"/>
            <w10:wrap type="none"/>
            <w10:anchorlock/>
          </v:shape>
          <o:OLEObject Type="Embed" ProgID="Equation.3" ShapeID="_x0000_i1041" DrawAspect="Content" ObjectID="_1468075736" r:id="rId45">
            <o:LockedField>false</o:LockedField>
          </o:OLEObject>
        </w:object>
      </w:r>
    </w:p>
    <w:p w14:paraId="592A66E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在运动的水体中</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油膜既随时间扩展</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又随水流迁移。因此</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溢油后油膜影响的距离为：</w:t>
      </w:r>
    </w:p>
    <w:p w14:paraId="179FE60B">
      <w:pPr>
        <w:widowControl w:val="0"/>
        <w:kinsoku/>
        <w:autoSpaceDE/>
        <w:autoSpaceDN/>
        <w:adjustRightInd/>
        <w:snapToGrid/>
        <w:spacing w:line="360" w:lineRule="auto"/>
        <w:ind w:firstLine="200"/>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position w:val="-24"/>
          <w:sz w:val="24"/>
          <w:szCs w:val="22"/>
          <w:lang w:eastAsia="zh-CN"/>
        </w:rPr>
        <w:object>
          <v:shape id="_x0000_i1042" o:spt="75" type="#_x0000_t75" style="height:33pt;width:60.75pt;" o:ole="t" filled="f" o:preferrelative="t" stroked="f" coordsize="21600,21600">
            <v:path/>
            <v:fill on="f" focussize="0,0"/>
            <v:stroke on="f"/>
            <v:imagedata r:id="rId48" o:title=""/>
            <o:lock v:ext="edit" aspectratio="t"/>
            <w10:wrap type="none"/>
            <w10:anchorlock/>
          </v:shape>
          <o:OLEObject Type="Embed" ProgID="Equation.3" ShapeID="_x0000_i1042" DrawAspect="Content" ObjectID="_1468075737" r:id="rId47">
            <o:LockedField>false</o:LockedField>
          </o:OLEObject>
        </w:object>
      </w:r>
    </w:p>
    <w:p w14:paraId="088B36D7">
      <w:pPr>
        <w:widowControl w:val="0"/>
        <w:kinsoku/>
        <w:autoSpaceDE/>
        <w:autoSpaceDN/>
        <w:adjustRightInd/>
        <w:snapToGrid/>
        <w:spacing w:line="360" w:lineRule="auto"/>
        <w:ind w:firstLine="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式中：</w:t>
      </w:r>
      <w:r>
        <w:rPr>
          <w:rFonts w:ascii="Times New Roman" w:hAnsi="Times New Roman" w:eastAsia="宋体" w:cs="Times New Roman"/>
          <w:i/>
          <w:snapToGrid/>
          <w:color w:val="auto"/>
          <w:kern w:val="2"/>
          <w:sz w:val="24"/>
          <w:szCs w:val="22"/>
          <w:lang w:eastAsia="zh-CN"/>
        </w:rPr>
        <w:t>S</w:t>
      </w:r>
      <w:r>
        <w:rPr>
          <w:rFonts w:ascii="Times New Roman" w:hAnsi="Times New Roman" w:eastAsia="宋体" w:cs="Times New Roman"/>
          <w:snapToGrid/>
          <w:color w:val="auto"/>
          <w:kern w:val="2"/>
          <w:sz w:val="24"/>
          <w:szCs w:val="22"/>
          <w:lang w:eastAsia="zh-CN"/>
        </w:rPr>
        <w:t>：油膜影响的距离</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m；</w:t>
      </w:r>
    </w:p>
    <w:p w14:paraId="5D9D2854">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L</w:t>
      </w:r>
      <w:r>
        <w:rPr>
          <w:rFonts w:ascii="Times New Roman" w:hAnsi="Times New Roman" w:eastAsia="宋体" w:cs="Times New Roman"/>
          <w:snapToGrid/>
          <w:color w:val="auto"/>
          <w:kern w:val="2"/>
          <w:sz w:val="24"/>
          <w:szCs w:val="22"/>
          <w:lang w:eastAsia="zh-CN"/>
        </w:rPr>
        <w:t>：油膜扩展长度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m；</w:t>
      </w:r>
    </w:p>
    <w:p w14:paraId="4C242D27">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K</w:t>
      </w:r>
      <w:r>
        <w:rPr>
          <w:rFonts w:ascii="Times New Roman" w:hAnsi="Times New Roman" w:eastAsia="宋体" w:cs="Times New Roman"/>
          <w:i/>
          <w:snapToGrid/>
          <w:color w:val="auto"/>
          <w:kern w:val="2"/>
          <w:sz w:val="24"/>
          <w:szCs w:val="22"/>
          <w:vertAlign w:val="subscript"/>
          <w:lang w:eastAsia="zh-CN"/>
        </w:rPr>
        <w:t>11</w:t>
      </w:r>
      <w:r>
        <w:rPr>
          <w:rFonts w:ascii="Times New Roman" w:hAnsi="Times New Roman" w:eastAsia="宋体" w:cs="Times New Roman"/>
          <w:i/>
          <w:snapToGrid/>
          <w:color w:val="auto"/>
          <w:kern w:val="2"/>
          <w:sz w:val="24"/>
          <w:szCs w:val="22"/>
          <w:lang w:eastAsia="zh-CN"/>
        </w:rPr>
        <w:t>、K</w:t>
      </w:r>
      <w:r>
        <w:rPr>
          <w:rFonts w:ascii="Times New Roman" w:hAnsi="Times New Roman" w:eastAsia="宋体" w:cs="Times New Roman"/>
          <w:i/>
          <w:snapToGrid/>
          <w:color w:val="auto"/>
          <w:kern w:val="2"/>
          <w:sz w:val="24"/>
          <w:szCs w:val="22"/>
          <w:vertAlign w:val="subscript"/>
          <w:lang w:eastAsia="zh-CN"/>
        </w:rPr>
        <w:t>12</w:t>
      </w:r>
      <w:r>
        <w:rPr>
          <w:rFonts w:ascii="Times New Roman" w:hAnsi="Times New Roman" w:eastAsia="宋体" w:cs="Times New Roman"/>
          <w:snapToGrid/>
          <w:color w:val="auto"/>
          <w:kern w:val="2"/>
          <w:sz w:val="24"/>
          <w:szCs w:val="22"/>
          <w:lang w:eastAsia="zh-CN"/>
        </w:rPr>
        <w:t>：各扩展阶段的经验系数</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取K</w:t>
      </w:r>
      <w:r>
        <w:rPr>
          <w:rFonts w:ascii="Times New Roman" w:hAnsi="Times New Roman" w:eastAsia="宋体" w:cs="Times New Roman"/>
          <w:snapToGrid/>
          <w:color w:val="auto"/>
          <w:kern w:val="2"/>
          <w:sz w:val="24"/>
          <w:szCs w:val="22"/>
          <w:vertAlign w:val="subscript"/>
          <w:lang w:eastAsia="zh-CN"/>
        </w:rPr>
        <w:t>11</w:t>
      </w:r>
      <w:r>
        <w:rPr>
          <w:rFonts w:ascii="Times New Roman" w:hAnsi="Times New Roman" w:eastAsia="宋体" w:cs="Times New Roman"/>
          <w:snapToGrid/>
          <w:color w:val="auto"/>
          <w:kern w:val="2"/>
          <w:sz w:val="24"/>
          <w:szCs w:val="22"/>
          <w:lang w:eastAsia="zh-CN"/>
        </w:rPr>
        <w:t>=K</w:t>
      </w:r>
      <w:r>
        <w:rPr>
          <w:rFonts w:ascii="Times New Roman" w:hAnsi="Times New Roman" w:eastAsia="宋体" w:cs="Times New Roman"/>
          <w:snapToGrid/>
          <w:color w:val="auto"/>
          <w:kern w:val="2"/>
          <w:sz w:val="24"/>
          <w:szCs w:val="22"/>
          <w:vertAlign w:val="subscript"/>
          <w:lang w:eastAsia="zh-CN"/>
        </w:rPr>
        <w:t>12</w:t>
      </w:r>
      <w:r>
        <w:rPr>
          <w:rFonts w:ascii="Times New Roman" w:hAnsi="Times New Roman" w:eastAsia="宋体" w:cs="Times New Roman"/>
          <w:snapToGrid/>
          <w:color w:val="auto"/>
          <w:kern w:val="2"/>
          <w:sz w:val="24"/>
          <w:szCs w:val="22"/>
          <w:lang w:eastAsia="zh-CN"/>
        </w:rPr>
        <w:t>=1.0</w:t>
      </w:r>
    </w:p>
    <w:p w14:paraId="548266C2">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u</w:t>
      </w:r>
      <w:r>
        <w:rPr>
          <w:rFonts w:ascii="Times New Roman" w:hAnsi="Times New Roman" w:eastAsia="宋体" w:cs="Times New Roman"/>
          <w:snapToGrid/>
          <w:color w:val="auto"/>
          <w:kern w:val="2"/>
          <w:sz w:val="24"/>
          <w:szCs w:val="22"/>
          <w:lang w:eastAsia="zh-CN"/>
        </w:rPr>
        <w:t>：河道水流速度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m/s</w:t>
      </w:r>
    </w:p>
    <w:p w14:paraId="0A774D9F">
      <w:pPr>
        <w:widowControl w:val="0"/>
        <w:kinsoku/>
        <w:autoSpaceDE/>
        <w:autoSpaceDN/>
        <w:adjustRightInd/>
        <w:snapToGrid/>
        <w:spacing w:line="360" w:lineRule="auto"/>
        <w:ind w:firstLine="200"/>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position w:val="-30"/>
          <w:sz w:val="24"/>
          <w:szCs w:val="22"/>
          <w:lang w:eastAsia="zh-CN"/>
        </w:rPr>
        <w:object>
          <v:shape id="_x0000_i1043" o:spt="75" type="#_x0000_t75" style="height:35.25pt;width:56.25pt;" o:ole="t" filled="f" o:preferrelative="t" stroked="f" coordsize="21600,21600">
            <v:path/>
            <v:fill on="f" focussize="0,0"/>
            <v:stroke on="f"/>
            <v:imagedata r:id="rId50" o:title=""/>
            <o:lock v:ext="edit" aspectratio="t"/>
            <w10:wrap type="none"/>
            <w10:anchorlock/>
          </v:shape>
          <o:OLEObject Type="Embed" ProgID="Equation.3" ShapeID="_x0000_i1043" DrawAspect="Content" ObjectID="_1468075738" r:id="rId49">
            <o:LockedField>false</o:LockedField>
          </o:OLEObject>
        </w:object>
      </w:r>
    </w:p>
    <w:p w14:paraId="7750EF5B">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72"/>
      </w:r>
      <w:r>
        <w:rPr>
          <w:rFonts w:ascii="Times New Roman" w:hAnsi="Times New Roman" w:eastAsia="宋体" w:cs="Times New Roman"/>
          <w:i/>
          <w:snapToGrid/>
          <w:color w:val="auto"/>
          <w:kern w:val="2"/>
          <w:sz w:val="24"/>
          <w:szCs w:val="22"/>
          <w:vertAlign w:val="subscript"/>
          <w:lang w:eastAsia="zh-CN"/>
        </w:rPr>
        <w:t>0</w:t>
      </w:r>
      <w:r>
        <w:rPr>
          <w:rFonts w:ascii="Times New Roman" w:hAnsi="Times New Roman" w:eastAsia="宋体" w:cs="Times New Roman"/>
          <w:snapToGrid/>
          <w:color w:val="auto"/>
          <w:kern w:val="2"/>
          <w:sz w:val="24"/>
          <w:szCs w:val="22"/>
          <w:lang w:eastAsia="zh-CN"/>
        </w:rPr>
        <w:t>：油的密度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kg/m</w:t>
      </w:r>
      <w:r>
        <w:rPr>
          <w:rFonts w:ascii="Times New Roman" w:hAnsi="Times New Roman" w:eastAsia="宋体" w:cs="Times New Roman"/>
          <w:snapToGrid/>
          <w:color w:val="auto"/>
          <w:kern w:val="2"/>
          <w:sz w:val="24"/>
          <w:szCs w:val="22"/>
          <w:vertAlign w:val="superscript"/>
          <w:lang w:eastAsia="zh-CN"/>
        </w:rPr>
        <w:t>3</w:t>
      </w:r>
      <w:r>
        <w:rPr>
          <w:rFonts w:ascii="Times New Roman" w:hAnsi="Times New Roman" w:eastAsia="宋体" w:cs="Times New Roman"/>
          <w:snapToGrid/>
          <w:color w:val="auto"/>
          <w:kern w:val="2"/>
          <w:sz w:val="24"/>
          <w:szCs w:val="22"/>
          <w:lang w:eastAsia="zh-CN"/>
        </w:rPr>
        <w:t>；</w:t>
      </w:r>
    </w:p>
    <w:p w14:paraId="56AC4101">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72"/>
      </w:r>
      <w:r>
        <w:rPr>
          <w:rFonts w:ascii="Times New Roman" w:hAnsi="Times New Roman" w:eastAsia="宋体" w:cs="Times New Roman"/>
          <w:i/>
          <w:snapToGrid/>
          <w:color w:val="auto"/>
          <w:kern w:val="2"/>
          <w:sz w:val="24"/>
          <w:szCs w:val="22"/>
          <w:vertAlign w:val="subscript"/>
          <w:lang w:eastAsia="zh-CN"/>
        </w:rPr>
        <w:t>w</w:t>
      </w:r>
      <w:r>
        <w:rPr>
          <w:rFonts w:ascii="Times New Roman" w:hAnsi="Times New Roman" w:eastAsia="宋体" w:cs="Times New Roman"/>
          <w:snapToGrid/>
          <w:color w:val="auto"/>
          <w:kern w:val="2"/>
          <w:sz w:val="24"/>
          <w:szCs w:val="22"/>
          <w:lang w:eastAsia="zh-CN"/>
        </w:rPr>
        <w:t>：水的密度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kg/m</w:t>
      </w:r>
      <w:r>
        <w:rPr>
          <w:rFonts w:ascii="Times New Roman" w:hAnsi="Times New Roman" w:eastAsia="宋体" w:cs="Times New Roman"/>
          <w:snapToGrid/>
          <w:color w:val="auto"/>
          <w:kern w:val="2"/>
          <w:sz w:val="24"/>
          <w:szCs w:val="22"/>
          <w:vertAlign w:val="superscript"/>
          <w:lang w:eastAsia="zh-CN"/>
        </w:rPr>
        <w:t>3</w:t>
      </w:r>
      <w:r>
        <w:rPr>
          <w:rFonts w:ascii="Times New Roman" w:hAnsi="Times New Roman" w:eastAsia="宋体" w:cs="Times New Roman"/>
          <w:snapToGrid/>
          <w:color w:val="auto"/>
          <w:kern w:val="2"/>
          <w:sz w:val="24"/>
          <w:szCs w:val="22"/>
          <w:lang w:eastAsia="zh-CN"/>
        </w:rPr>
        <w:t>；</w:t>
      </w:r>
    </w:p>
    <w:p w14:paraId="1A22A615">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g</w:t>
      </w:r>
      <w:r>
        <w:rPr>
          <w:rFonts w:ascii="Times New Roman" w:hAnsi="Times New Roman" w:eastAsia="宋体" w:cs="Times New Roman"/>
          <w:snapToGrid/>
          <w:color w:val="auto"/>
          <w:kern w:val="2"/>
          <w:sz w:val="24"/>
          <w:szCs w:val="22"/>
          <w:lang w:eastAsia="zh-CN"/>
        </w:rPr>
        <w:t>：重力加速度</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m/s</w:t>
      </w:r>
      <w:r>
        <w:rPr>
          <w:rFonts w:ascii="Times New Roman" w:hAnsi="Times New Roman" w:eastAsia="宋体" w:cs="Times New Roman"/>
          <w:snapToGrid/>
          <w:color w:val="auto"/>
          <w:kern w:val="2"/>
          <w:sz w:val="24"/>
          <w:szCs w:val="22"/>
          <w:vertAlign w:val="superscript"/>
          <w:lang w:eastAsia="zh-CN"/>
        </w:rPr>
        <w:t>2</w:t>
      </w:r>
      <w:r>
        <w:rPr>
          <w:rFonts w:ascii="Times New Roman" w:hAnsi="Times New Roman" w:eastAsia="宋体" w:cs="Times New Roman"/>
          <w:snapToGrid/>
          <w:color w:val="auto"/>
          <w:kern w:val="2"/>
          <w:sz w:val="24"/>
          <w:szCs w:val="22"/>
          <w:lang w:eastAsia="zh-CN"/>
        </w:rPr>
        <w:t>；</w:t>
      </w:r>
    </w:p>
    <w:p w14:paraId="6349545E">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W</w:t>
      </w:r>
      <w:r>
        <w:rPr>
          <w:rFonts w:ascii="Times New Roman" w:hAnsi="Times New Roman" w:eastAsia="宋体" w:cs="Times New Roman"/>
          <w:snapToGrid/>
          <w:color w:val="auto"/>
          <w:kern w:val="2"/>
          <w:sz w:val="24"/>
          <w:szCs w:val="22"/>
          <w:lang w:eastAsia="zh-CN"/>
        </w:rPr>
        <w:t>：溢油量</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m</w:t>
      </w:r>
      <w:r>
        <w:rPr>
          <w:rFonts w:ascii="Times New Roman" w:hAnsi="Times New Roman" w:eastAsia="宋体" w:cs="Times New Roman"/>
          <w:snapToGrid/>
          <w:color w:val="auto"/>
          <w:kern w:val="2"/>
          <w:sz w:val="24"/>
          <w:szCs w:val="22"/>
          <w:vertAlign w:val="superscript"/>
          <w:lang w:eastAsia="zh-CN"/>
        </w:rPr>
        <w:t>3</w:t>
      </w:r>
      <w:r>
        <w:rPr>
          <w:rFonts w:ascii="Times New Roman" w:hAnsi="Times New Roman" w:eastAsia="宋体" w:cs="Times New Roman"/>
          <w:snapToGrid/>
          <w:color w:val="auto"/>
          <w:kern w:val="2"/>
          <w:sz w:val="24"/>
          <w:szCs w:val="22"/>
          <w:lang w:eastAsia="zh-CN"/>
        </w:rPr>
        <w:t>；</w:t>
      </w:r>
    </w:p>
    <w:p w14:paraId="06015962">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67"/>
      </w:r>
      <w:r>
        <w:rPr>
          <w:rFonts w:ascii="Times New Roman" w:hAnsi="Times New Roman" w:eastAsia="宋体" w:cs="Times New Roman"/>
          <w:i/>
          <w:snapToGrid/>
          <w:color w:val="auto"/>
          <w:kern w:val="2"/>
          <w:sz w:val="24"/>
          <w:szCs w:val="22"/>
          <w:vertAlign w:val="subscript"/>
          <w:lang w:eastAsia="zh-CN"/>
        </w:rPr>
        <w:t>w</w:t>
      </w:r>
      <w:r>
        <w:rPr>
          <w:rFonts w:ascii="Times New Roman" w:hAnsi="Times New Roman" w:eastAsia="宋体" w:cs="Times New Roman"/>
          <w:snapToGrid/>
          <w:color w:val="auto"/>
          <w:kern w:val="2"/>
          <w:sz w:val="24"/>
          <w:szCs w:val="22"/>
          <w:lang w:eastAsia="zh-CN"/>
        </w:rPr>
        <w:t>：水的运动</w:t>
      </w:r>
      <w:r>
        <w:rPr>
          <w:rFonts w:hint="eastAsia" w:ascii="Times New Roman" w:hAnsi="Times New Roman" w:eastAsia="宋体" w:cs="Times New Roman"/>
          <w:snapToGrid/>
          <w:color w:val="auto"/>
          <w:kern w:val="2"/>
          <w:sz w:val="24"/>
          <w:szCs w:val="22"/>
          <w:lang w:eastAsia="zh-CN"/>
        </w:rPr>
        <w:t>黏</w:t>
      </w:r>
      <w:r>
        <w:rPr>
          <w:rFonts w:ascii="Times New Roman" w:hAnsi="Times New Roman" w:eastAsia="宋体" w:cs="Times New Roman"/>
          <w:snapToGrid/>
          <w:color w:val="auto"/>
          <w:kern w:val="2"/>
          <w:sz w:val="24"/>
          <w:szCs w:val="22"/>
          <w:lang w:eastAsia="zh-CN"/>
        </w:rPr>
        <w:t>滞系数</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m</w:t>
      </w:r>
      <w:r>
        <w:rPr>
          <w:rFonts w:ascii="Times New Roman" w:hAnsi="Times New Roman" w:eastAsia="宋体" w:cs="Times New Roman"/>
          <w:snapToGrid/>
          <w:color w:val="auto"/>
          <w:kern w:val="2"/>
          <w:sz w:val="24"/>
          <w:szCs w:val="22"/>
          <w:vertAlign w:val="superscript"/>
          <w:lang w:eastAsia="zh-CN"/>
        </w:rPr>
        <w:t>2</w:t>
      </w:r>
      <w:r>
        <w:rPr>
          <w:rFonts w:ascii="Times New Roman" w:hAnsi="Times New Roman" w:eastAsia="宋体" w:cs="Times New Roman"/>
          <w:snapToGrid/>
          <w:color w:val="auto"/>
          <w:kern w:val="2"/>
          <w:sz w:val="24"/>
          <w:szCs w:val="22"/>
          <w:lang w:eastAsia="zh-CN"/>
        </w:rPr>
        <w:t>/s；</w:t>
      </w:r>
    </w:p>
    <w:p w14:paraId="23C75CF1">
      <w:pPr>
        <w:widowControl w:val="0"/>
        <w:kinsoku/>
        <w:autoSpaceDE/>
        <w:autoSpaceDN/>
        <w:adjustRightInd/>
        <w:snapToGrid/>
        <w:spacing w:line="360" w:lineRule="auto"/>
        <w:ind w:firstLine="1200" w:firstLineChars="5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73"/>
      </w:r>
      <w:r>
        <w:rPr>
          <w:rFonts w:ascii="Times New Roman" w:hAnsi="Times New Roman" w:eastAsia="宋体" w:cs="Times New Roman"/>
          <w:snapToGrid/>
          <w:color w:val="auto"/>
          <w:kern w:val="2"/>
          <w:sz w:val="24"/>
          <w:szCs w:val="22"/>
          <w:lang w:eastAsia="zh-CN"/>
        </w:rPr>
        <w:t>：净表面张力系数</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N/m；</w:t>
      </w:r>
    </w:p>
    <w:p w14:paraId="021A4816">
      <w:pPr>
        <w:widowControl w:val="0"/>
        <w:kinsoku/>
        <w:autoSpaceDE/>
        <w:autoSpaceDN/>
        <w:adjustRightInd/>
        <w:snapToGrid/>
        <w:spacing w:line="360" w:lineRule="auto"/>
        <w:ind w:firstLine="1440" w:firstLineChars="6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t</w:t>
      </w:r>
      <w:r>
        <w:rPr>
          <w:rFonts w:ascii="Times New Roman" w:hAnsi="Times New Roman" w:eastAsia="宋体" w:cs="Times New Roman"/>
          <w:snapToGrid/>
          <w:color w:val="auto"/>
          <w:kern w:val="2"/>
          <w:sz w:val="24"/>
          <w:szCs w:val="22"/>
          <w:lang w:eastAsia="zh-CN"/>
        </w:rPr>
        <w:t>：</w:t>
      </w:r>
      <w:r>
        <w:rPr>
          <w:rFonts w:ascii="Times New Roman" w:hAnsi="Times New Roman" w:eastAsia="宋体" w:cs="Times New Roman"/>
          <w:iCs/>
          <w:snapToGrid/>
          <w:color w:val="auto"/>
          <w:kern w:val="2"/>
          <w:sz w:val="24"/>
          <w:szCs w:val="22"/>
          <w:lang w:eastAsia="zh-CN"/>
        </w:rPr>
        <w:t>时间</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s。</w:t>
      </w:r>
    </w:p>
    <w:p w14:paraId="7DE1FEAC">
      <w:pPr>
        <w:widowControl w:val="0"/>
        <w:kinsoku/>
        <w:adjustRightInd/>
        <w:snapToGrid/>
        <w:spacing w:line="360" w:lineRule="auto"/>
        <w:ind w:firstLine="480" w:firstLineChars="200"/>
        <w:jc w:val="both"/>
        <w:textAlignment w:val="auto"/>
        <w:rPr>
          <w:rFonts w:ascii="Times New Roman" w:hAnsi="Times New Roman" w:eastAsia="宋体" w:cs="Times New Roman"/>
          <w:snapToGrid/>
          <w:color w:val="auto"/>
          <w:sz w:val="24"/>
          <w:szCs w:val="28"/>
          <w:lang w:eastAsia="zh-CN"/>
        </w:rPr>
      </w:pPr>
      <w:bookmarkStart w:id="324" w:name="_Toc28363"/>
      <w:r>
        <w:rPr>
          <w:rFonts w:ascii="Times New Roman" w:hAnsi="Times New Roman" w:eastAsia="宋体" w:cs="Times New Roman"/>
          <w:snapToGrid/>
          <w:color w:val="auto"/>
          <w:sz w:val="24"/>
          <w:szCs w:val="28"/>
          <w:lang w:eastAsia="zh-CN"/>
        </w:rPr>
        <w:t>2、计算条件</w:t>
      </w:r>
      <w:bookmarkEnd w:id="324"/>
    </w:p>
    <w:p w14:paraId="64568DF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储罐发生漏油事故后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其油膜的输移扩展范围与事故的漏油量、发生事故延续的时间、发生事故时的河道流速、流向以及风速、风向等条件有关。</w:t>
      </w:r>
    </w:p>
    <w:p w14:paraId="5A84F42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8"/>
          <w:lang w:eastAsia="zh-CN" w:bidi="ar"/>
        </w:rPr>
      </w:pPr>
      <w:r>
        <w:rPr>
          <w:rFonts w:ascii="Times New Roman" w:hAnsi="Times New Roman" w:eastAsia="宋体" w:cs="Times New Roman"/>
          <w:snapToGrid/>
          <w:color w:val="auto"/>
          <w:sz w:val="24"/>
          <w:szCs w:val="28"/>
          <w:lang w:eastAsia="zh-CN" w:bidi="ar"/>
        </w:rPr>
        <w:t>假设一辆20 m</w:t>
      </w:r>
      <w:r>
        <w:rPr>
          <w:rFonts w:ascii="Times New Roman" w:hAnsi="Times New Roman" w:eastAsia="宋体" w:cs="Times New Roman"/>
          <w:snapToGrid/>
          <w:color w:val="auto"/>
          <w:sz w:val="24"/>
          <w:szCs w:val="28"/>
          <w:vertAlign w:val="superscript"/>
          <w:lang w:eastAsia="zh-CN" w:bidi="ar"/>
        </w:rPr>
        <w:t>3</w:t>
      </w:r>
      <w:r>
        <w:rPr>
          <w:rFonts w:ascii="Times New Roman" w:hAnsi="Times New Roman" w:eastAsia="宋体" w:cs="Times New Roman"/>
          <w:snapToGrid/>
          <w:color w:val="auto"/>
          <w:sz w:val="24"/>
          <w:szCs w:val="28"/>
          <w:lang w:eastAsia="zh-CN" w:bidi="ar"/>
        </w:rPr>
        <w:t>的汽油运输车发生交通事故侧翻</w:t>
      </w:r>
      <w:r>
        <w:rPr>
          <w:rFonts w:hint="eastAsia" w:ascii="Times New Roman" w:hAnsi="Times New Roman" w:eastAsia="宋体" w:cs="Times New Roman"/>
          <w:snapToGrid/>
          <w:color w:val="auto"/>
          <w:sz w:val="24"/>
          <w:szCs w:val="28"/>
          <w:lang w:eastAsia="zh-CN" w:bidi="ar"/>
        </w:rPr>
        <w:t>，</w:t>
      </w:r>
      <w:r>
        <w:rPr>
          <w:rFonts w:ascii="Times New Roman" w:hAnsi="Times New Roman" w:eastAsia="宋体" w:cs="Times New Roman"/>
          <w:snapToGrid/>
          <w:color w:val="auto"/>
          <w:kern w:val="2"/>
          <w:sz w:val="24"/>
          <w:szCs w:val="28"/>
          <w:lang w:eastAsia="zh-CN"/>
        </w:rPr>
        <w:t>根据《建设项目环境风险评价技术导则》（HJ169-2018）附录F推荐公式计算</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假设泄漏孔径为10 mm</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计算得</w:t>
      </w:r>
      <w:r>
        <w:rPr>
          <w:rFonts w:ascii="Times New Roman" w:hAnsi="Times New Roman" w:eastAsia="宋体" w:cs="Times New Roman"/>
          <w:snapToGrid/>
          <w:color w:val="auto"/>
          <w:sz w:val="24"/>
          <w:szCs w:val="28"/>
          <w:lang w:eastAsia="zh-CN" w:bidi="ar"/>
        </w:rPr>
        <w:t>泄漏源强0.284 kg/s</w:t>
      </w:r>
      <w:r>
        <w:rPr>
          <w:rFonts w:hint="eastAsia" w:ascii="Times New Roman" w:hAnsi="Times New Roman" w:eastAsia="宋体" w:cs="Times New Roman"/>
          <w:snapToGrid/>
          <w:color w:val="auto"/>
          <w:sz w:val="24"/>
          <w:szCs w:val="28"/>
          <w:lang w:eastAsia="zh-CN" w:bidi="ar"/>
        </w:rPr>
        <w:t>，</w:t>
      </w:r>
      <w:r>
        <w:rPr>
          <w:rFonts w:ascii="Times New Roman" w:hAnsi="Times New Roman" w:eastAsia="宋体" w:cs="Times New Roman"/>
          <w:snapToGrid/>
          <w:color w:val="auto"/>
          <w:sz w:val="24"/>
          <w:szCs w:val="28"/>
          <w:lang w:eastAsia="zh-CN" w:bidi="ar"/>
        </w:rPr>
        <w:t>泄漏30 min汽油泄漏量为0.705 m</w:t>
      </w:r>
      <w:r>
        <w:rPr>
          <w:rFonts w:ascii="Times New Roman" w:hAnsi="Times New Roman" w:eastAsia="宋体" w:cs="Times New Roman"/>
          <w:snapToGrid/>
          <w:color w:val="auto"/>
          <w:sz w:val="24"/>
          <w:szCs w:val="28"/>
          <w:vertAlign w:val="superscript"/>
          <w:lang w:eastAsia="zh-CN" w:bidi="ar"/>
        </w:rPr>
        <w:t>3</w:t>
      </w:r>
      <w:r>
        <w:rPr>
          <w:rFonts w:ascii="Times New Roman" w:hAnsi="Times New Roman" w:eastAsia="宋体" w:cs="Times New Roman"/>
          <w:snapToGrid/>
          <w:color w:val="auto"/>
          <w:sz w:val="24"/>
          <w:szCs w:val="28"/>
          <w:lang w:eastAsia="zh-CN" w:bidi="ar"/>
        </w:rPr>
        <w:t>。</w:t>
      </w:r>
    </w:p>
    <w:p w14:paraId="5BBCDAAF">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lang w:eastAsia="zh-CN" w:bidi="ar"/>
        </w:rPr>
      </w:pPr>
      <w:r>
        <w:rPr>
          <w:rFonts w:ascii="Times New Roman" w:hAnsi="Times New Roman" w:eastAsia="宋体" w:cs="Times New Roman"/>
          <w:b/>
          <w:snapToGrid/>
          <w:color w:val="auto"/>
          <w:kern w:val="2"/>
          <w:sz w:val="24"/>
          <w:szCs w:val="28"/>
          <w:lang w:eastAsia="zh-CN" w:bidi="ar"/>
        </w:rPr>
        <w:t xml:space="preserve">表5.3-5  </w:t>
      </w:r>
      <w:r>
        <w:rPr>
          <w:rFonts w:hint="eastAsia" w:ascii="Times New Roman" w:hAnsi="Times New Roman" w:eastAsia="宋体" w:cs="Times New Roman"/>
          <w:b/>
          <w:snapToGrid/>
          <w:color w:val="auto"/>
          <w:kern w:val="2"/>
          <w:sz w:val="24"/>
          <w:szCs w:val="28"/>
          <w:lang w:eastAsia="zh-CN" w:bidi="ar"/>
        </w:rPr>
        <w:t>泄漏</w:t>
      </w:r>
      <w:r>
        <w:rPr>
          <w:rFonts w:ascii="Times New Roman" w:hAnsi="Times New Roman" w:eastAsia="宋体" w:cs="Times New Roman"/>
          <w:b/>
          <w:snapToGrid/>
          <w:color w:val="auto"/>
          <w:kern w:val="2"/>
          <w:sz w:val="24"/>
          <w:szCs w:val="28"/>
          <w:lang w:eastAsia="zh-CN" w:bidi="ar"/>
        </w:rPr>
        <w:t>源强涉及相关参数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1533"/>
        <w:gridCol w:w="1356"/>
        <w:gridCol w:w="1711"/>
        <w:gridCol w:w="1082"/>
        <w:gridCol w:w="908"/>
      </w:tblGrid>
      <w:tr w14:paraId="153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1" w:type="dxa"/>
            <w:noWrap w:val="0"/>
            <w:vAlign w:val="center"/>
          </w:tcPr>
          <w:p w14:paraId="69035A1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情景</w:t>
            </w:r>
          </w:p>
        </w:tc>
        <w:tc>
          <w:tcPr>
            <w:tcW w:w="1533" w:type="dxa"/>
            <w:noWrap w:val="0"/>
            <w:vAlign w:val="center"/>
          </w:tcPr>
          <w:p w14:paraId="51A7C62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评估因子</w:t>
            </w:r>
          </w:p>
        </w:tc>
        <w:tc>
          <w:tcPr>
            <w:tcW w:w="1356" w:type="dxa"/>
            <w:noWrap w:val="0"/>
            <w:vAlign w:val="center"/>
          </w:tcPr>
          <w:p w14:paraId="6DAD358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储罐类型</w:t>
            </w:r>
          </w:p>
        </w:tc>
        <w:tc>
          <w:tcPr>
            <w:tcW w:w="1711" w:type="dxa"/>
            <w:noWrap w:val="0"/>
            <w:vAlign w:val="center"/>
          </w:tcPr>
          <w:p w14:paraId="10F2D4C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单罐容量</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r>
              <w:rPr>
                <w:rFonts w:ascii="Times New Roman" w:hAnsi="Times New Roman" w:eastAsia="宋体" w:cs="Times New Roman"/>
                <w:bCs/>
                <w:color w:val="auto"/>
                <w:szCs w:val="24"/>
                <w:vertAlign w:val="superscript"/>
                <w:lang w:eastAsia="zh-CN"/>
              </w:rPr>
              <w:t>3</w:t>
            </w:r>
            <w:r>
              <w:rPr>
                <w:rFonts w:ascii="Times New Roman" w:hAnsi="Times New Roman" w:eastAsia="宋体" w:cs="Times New Roman"/>
                <w:bCs/>
                <w:color w:val="auto"/>
                <w:szCs w:val="24"/>
                <w:lang w:eastAsia="zh-CN"/>
              </w:rPr>
              <w:t>)</w:t>
            </w:r>
          </w:p>
        </w:tc>
        <w:tc>
          <w:tcPr>
            <w:tcW w:w="1082" w:type="dxa"/>
            <w:noWrap w:val="0"/>
            <w:vAlign w:val="center"/>
          </w:tcPr>
          <w:p w14:paraId="0F78AA0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压力</w:t>
            </w:r>
          </w:p>
          <w:p w14:paraId="4F352C6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(MPa)</w:t>
            </w:r>
          </w:p>
        </w:tc>
        <w:tc>
          <w:tcPr>
            <w:tcW w:w="908" w:type="dxa"/>
            <w:noWrap w:val="0"/>
            <w:vAlign w:val="center"/>
          </w:tcPr>
          <w:p w14:paraId="2BDD0D1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温度</w:t>
            </w:r>
          </w:p>
          <w:p w14:paraId="546D748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w:t>
            </w:r>
          </w:p>
        </w:tc>
      </w:tr>
      <w:tr w14:paraId="7AD0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2471" w:type="dxa"/>
            <w:noWrap w:val="0"/>
            <w:vAlign w:val="center"/>
          </w:tcPr>
          <w:p w14:paraId="2D53285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汽油运输车泄漏</w:t>
            </w:r>
          </w:p>
        </w:tc>
        <w:tc>
          <w:tcPr>
            <w:tcW w:w="1533" w:type="dxa"/>
            <w:noWrap w:val="0"/>
            <w:vAlign w:val="center"/>
          </w:tcPr>
          <w:p w14:paraId="78A5260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汽油</w:t>
            </w:r>
          </w:p>
        </w:tc>
        <w:tc>
          <w:tcPr>
            <w:tcW w:w="1356" w:type="dxa"/>
            <w:noWrap w:val="0"/>
            <w:vAlign w:val="center"/>
          </w:tcPr>
          <w:p w14:paraId="389A34E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卧式</w:t>
            </w:r>
          </w:p>
        </w:tc>
        <w:tc>
          <w:tcPr>
            <w:tcW w:w="1711" w:type="dxa"/>
            <w:noWrap w:val="0"/>
            <w:vAlign w:val="center"/>
          </w:tcPr>
          <w:p w14:paraId="3B0C846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20</w:t>
            </w:r>
          </w:p>
        </w:tc>
        <w:tc>
          <w:tcPr>
            <w:tcW w:w="1082" w:type="dxa"/>
            <w:noWrap w:val="0"/>
            <w:vAlign w:val="center"/>
          </w:tcPr>
          <w:p w14:paraId="473700C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常压</w:t>
            </w:r>
          </w:p>
        </w:tc>
        <w:tc>
          <w:tcPr>
            <w:tcW w:w="908" w:type="dxa"/>
            <w:noWrap w:val="0"/>
            <w:vAlign w:val="center"/>
          </w:tcPr>
          <w:p w14:paraId="6AB435C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常温</w:t>
            </w:r>
          </w:p>
        </w:tc>
      </w:tr>
    </w:tbl>
    <w:p w14:paraId="64E330C3">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模型计算参数如下表：</w:t>
      </w:r>
    </w:p>
    <w:p w14:paraId="63A2652C">
      <w:pPr>
        <w:widowControl w:val="0"/>
        <w:overflowPunct w:val="0"/>
        <w:autoSpaceDE/>
        <w:autoSpaceDN/>
        <w:adjustRightInd/>
        <w:snapToGrid/>
        <w:spacing w:line="360" w:lineRule="auto"/>
        <w:jc w:val="center"/>
        <w:textAlignment w:val="auto"/>
        <w:rPr>
          <w:rFonts w:ascii="Times New Roman" w:hAnsi="Times New Roman" w:eastAsia="宋体" w:cs="Times New Roman"/>
          <w:b/>
          <w:snapToGrid/>
          <w:color w:val="auto"/>
          <w:kern w:val="2"/>
          <w:sz w:val="24"/>
          <w:szCs w:val="28"/>
          <w:lang w:eastAsia="zh-CN" w:bidi="ar"/>
        </w:rPr>
      </w:pPr>
      <w:r>
        <w:rPr>
          <w:rFonts w:ascii="Times New Roman" w:hAnsi="Times New Roman" w:eastAsia="宋体" w:cs="Times New Roman"/>
          <w:b/>
          <w:snapToGrid/>
          <w:color w:val="auto"/>
          <w:kern w:val="2"/>
          <w:sz w:val="24"/>
          <w:szCs w:val="28"/>
          <w:lang w:eastAsia="zh-CN" w:bidi="ar"/>
        </w:rPr>
        <w:t>表5.3-6  地表水预测模型参数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942"/>
        <w:gridCol w:w="1256"/>
        <w:gridCol w:w="1386"/>
        <w:gridCol w:w="1118"/>
        <w:gridCol w:w="1709"/>
        <w:gridCol w:w="1129"/>
        <w:gridCol w:w="691"/>
      </w:tblGrid>
      <w:tr w14:paraId="2099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dxa"/>
            <w:noWrap w:val="0"/>
            <w:vAlign w:val="center"/>
          </w:tcPr>
          <w:p w14:paraId="3373A262">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模型</w:t>
            </w:r>
          </w:p>
          <w:p w14:paraId="325168C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参数</w:t>
            </w:r>
          </w:p>
        </w:tc>
        <w:tc>
          <w:tcPr>
            <w:tcW w:w="942" w:type="dxa"/>
            <w:noWrap w:val="0"/>
            <w:vAlign w:val="center"/>
          </w:tcPr>
          <w:p w14:paraId="378DF85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u</w:t>
            </w:r>
          </w:p>
        </w:tc>
        <w:tc>
          <w:tcPr>
            <w:tcW w:w="1256" w:type="dxa"/>
            <w:noWrap w:val="0"/>
            <w:vAlign w:val="center"/>
          </w:tcPr>
          <w:p w14:paraId="2BCDEF5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72"/>
            </w:r>
            <w:r>
              <w:rPr>
                <w:rFonts w:ascii="Times New Roman" w:hAnsi="Times New Roman" w:eastAsia="宋体" w:cs="Times New Roman"/>
                <w:i/>
                <w:snapToGrid/>
                <w:color w:val="auto"/>
                <w:kern w:val="2"/>
                <w:sz w:val="24"/>
                <w:szCs w:val="22"/>
                <w:vertAlign w:val="subscript"/>
                <w:lang w:eastAsia="zh-CN"/>
              </w:rPr>
              <w:t>0</w:t>
            </w:r>
          </w:p>
        </w:tc>
        <w:tc>
          <w:tcPr>
            <w:tcW w:w="1386" w:type="dxa"/>
            <w:noWrap w:val="0"/>
            <w:vAlign w:val="center"/>
          </w:tcPr>
          <w:p w14:paraId="7E59F44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72"/>
            </w:r>
            <w:r>
              <w:rPr>
                <w:rFonts w:ascii="Times New Roman" w:hAnsi="Times New Roman" w:eastAsia="宋体" w:cs="Times New Roman"/>
                <w:i/>
                <w:snapToGrid/>
                <w:color w:val="auto"/>
                <w:kern w:val="2"/>
                <w:sz w:val="24"/>
                <w:szCs w:val="22"/>
                <w:vertAlign w:val="subscript"/>
                <w:lang w:eastAsia="zh-CN"/>
              </w:rPr>
              <w:t>w</w:t>
            </w:r>
          </w:p>
        </w:tc>
        <w:tc>
          <w:tcPr>
            <w:tcW w:w="1118" w:type="dxa"/>
            <w:noWrap w:val="0"/>
            <w:vAlign w:val="center"/>
          </w:tcPr>
          <w:p w14:paraId="421E711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W</w:t>
            </w:r>
          </w:p>
        </w:tc>
        <w:tc>
          <w:tcPr>
            <w:tcW w:w="1709" w:type="dxa"/>
            <w:noWrap w:val="0"/>
            <w:vAlign w:val="center"/>
          </w:tcPr>
          <w:p w14:paraId="52A4302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67"/>
            </w:r>
            <w:r>
              <w:rPr>
                <w:rFonts w:ascii="Times New Roman" w:hAnsi="Times New Roman" w:eastAsia="宋体" w:cs="Times New Roman"/>
                <w:i/>
                <w:snapToGrid/>
                <w:color w:val="auto"/>
                <w:kern w:val="2"/>
                <w:sz w:val="24"/>
                <w:szCs w:val="22"/>
                <w:vertAlign w:val="subscript"/>
                <w:lang w:eastAsia="zh-CN"/>
              </w:rPr>
              <w:t>w</w:t>
            </w:r>
          </w:p>
        </w:tc>
        <w:tc>
          <w:tcPr>
            <w:tcW w:w="1129" w:type="dxa"/>
            <w:noWrap w:val="0"/>
            <w:vAlign w:val="center"/>
          </w:tcPr>
          <w:p w14:paraId="69E5629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sym w:font="Symbol" w:char="F073"/>
            </w:r>
          </w:p>
        </w:tc>
        <w:tc>
          <w:tcPr>
            <w:tcW w:w="691" w:type="dxa"/>
            <w:noWrap w:val="0"/>
            <w:vAlign w:val="center"/>
          </w:tcPr>
          <w:p w14:paraId="7978B8F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i/>
                <w:snapToGrid/>
                <w:color w:val="auto"/>
                <w:kern w:val="2"/>
                <w:sz w:val="24"/>
                <w:szCs w:val="22"/>
                <w:lang w:eastAsia="zh-CN"/>
              </w:rPr>
              <w:t>t</w:t>
            </w:r>
          </w:p>
        </w:tc>
      </w:tr>
      <w:tr w14:paraId="551B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0" w:type="dxa"/>
            <w:noWrap w:val="0"/>
            <w:vAlign w:val="center"/>
          </w:tcPr>
          <w:p w14:paraId="02BF0E5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取值</w:t>
            </w:r>
          </w:p>
        </w:tc>
        <w:tc>
          <w:tcPr>
            <w:tcW w:w="942" w:type="dxa"/>
            <w:noWrap w:val="0"/>
            <w:vAlign w:val="center"/>
          </w:tcPr>
          <w:p w14:paraId="5563B5D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1.5 m/s</w:t>
            </w:r>
          </w:p>
        </w:tc>
        <w:tc>
          <w:tcPr>
            <w:tcW w:w="1256" w:type="dxa"/>
            <w:noWrap w:val="0"/>
            <w:vAlign w:val="center"/>
          </w:tcPr>
          <w:p w14:paraId="78E3F9B9">
            <w:pPr>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725 kg/m</w:t>
            </w:r>
            <w:r>
              <w:rPr>
                <w:rFonts w:ascii="Times New Roman" w:hAnsi="Times New Roman" w:eastAsia="宋体" w:cs="Times New Roman"/>
                <w:snapToGrid/>
                <w:color w:val="auto"/>
                <w:kern w:val="2"/>
                <w:sz w:val="24"/>
                <w:szCs w:val="22"/>
                <w:vertAlign w:val="superscript"/>
                <w:lang w:eastAsia="zh-CN"/>
              </w:rPr>
              <w:t>3</w:t>
            </w:r>
          </w:p>
        </w:tc>
        <w:tc>
          <w:tcPr>
            <w:tcW w:w="1386" w:type="dxa"/>
            <w:noWrap w:val="0"/>
            <w:vAlign w:val="center"/>
          </w:tcPr>
          <w:p w14:paraId="50C60B8B">
            <w:pPr>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1000 kg/m</w:t>
            </w:r>
            <w:r>
              <w:rPr>
                <w:rFonts w:ascii="Times New Roman" w:hAnsi="Times New Roman" w:eastAsia="宋体" w:cs="Times New Roman"/>
                <w:snapToGrid/>
                <w:color w:val="auto"/>
                <w:kern w:val="2"/>
                <w:sz w:val="24"/>
                <w:szCs w:val="22"/>
                <w:vertAlign w:val="superscript"/>
                <w:lang w:eastAsia="zh-CN"/>
              </w:rPr>
              <w:t>3</w:t>
            </w:r>
          </w:p>
        </w:tc>
        <w:tc>
          <w:tcPr>
            <w:tcW w:w="1118" w:type="dxa"/>
            <w:noWrap w:val="0"/>
            <w:vAlign w:val="center"/>
          </w:tcPr>
          <w:p w14:paraId="1DA89B8B">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0.705 m</w:t>
            </w:r>
            <w:r>
              <w:rPr>
                <w:rFonts w:ascii="Times New Roman" w:hAnsi="Times New Roman" w:eastAsia="宋体" w:cs="Times New Roman"/>
                <w:snapToGrid/>
                <w:color w:val="auto"/>
                <w:kern w:val="2"/>
                <w:sz w:val="24"/>
                <w:szCs w:val="22"/>
                <w:vertAlign w:val="superscript"/>
                <w:lang w:eastAsia="zh-CN"/>
              </w:rPr>
              <w:t>3</w:t>
            </w:r>
          </w:p>
        </w:tc>
        <w:tc>
          <w:tcPr>
            <w:tcW w:w="1709" w:type="dxa"/>
            <w:noWrap w:val="0"/>
            <w:vAlign w:val="center"/>
          </w:tcPr>
          <w:p w14:paraId="7BB7F64B">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1.01×10</w:t>
            </w:r>
            <w:r>
              <w:rPr>
                <w:rFonts w:ascii="Times New Roman" w:hAnsi="Times New Roman" w:eastAsia="宋体" w:cs="Times New Roman"/>
                <w:snapToGrid/>
                <w:color w:val="auto"/>
                <w:kern w:val="2"/>
                <w:sz w:val="24"/>
                <w:szCs w:val="22"/>
                <w:vertAlign w:val="superscript"/>
                <w:lang w:eastAsia="zh-CN"/>
              </w:rPr>
              <w:t xml:space="preserve">-6 </w:t>
            </w:r>
            <w:r>
              <w:rPr>
                <w:rFonts w:ascii="Times New Roman" w:hAnsi="Times New Roman" w:eastAsia="宋体" w:cs="Times New Roman"/>
                <w:snapToGrid/>
                <w:color w:val="auto"/>
                <w:kern w:val="2"/>
                <w:sz w:val="24"/>
                <w:szCs w:val="22"/>
                <w:lang w:eastAsia="zh-CN"/>
              </w:rPr>
              <w:t>m</w:t>
            </w:r>
            <w:r>
              <w:rPr>
                <w:rFonts w:ascii="Times New Roman" w:hAnsi="Times New Roman" w:eastAsia="宋体" w:cs="Times New Roman"/>
                <w:snapToGrid/>
                <w:color w:val="auto"/>
                <w:kern w:val="2"/>
                <w:sz w:val="24"/>
                <w:szCs w:val="22"/>
                <w:vertAlign w:val="superscript"/>
                <w:lang w:eastAsia="zh-CN"/>
              </w:rPr>
              <w:t>2</w:t>
            </w:r>
            <w:r>
              <w:rPr>
                <w:rFonts w:ascii="Times New Roman" w:hAnsi="Times New Roman" w:eastAsia="宋体" w:cs="Times New Roman"/>
                <w:snapToGrid/>
                <w:color w:val="auto"/>
                <w:kern w:val="2"/>
                <w:sz w:val="24"/>
                <w:szCs w:val="22"/>
                <w:lang w:eastAsia="zh-CN"/>
              </w:rPr>
              <w:t>/s</w:t>
            </w:r>
          </w:p>
        </w:tc>
        <w:tc>
          <w:tcPr>
            <w:tcW w:w="1129" w:type="dxa"/>
            <w:noWrap w:val="0"/>
            <w:vAlign w:val="center"/>
          </w:tcPr>
          <w:p w14:paraId="568B9FB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0.3 N/m</w:t>
            </w:r>
          </w:p>
        </w:tc>
        <w:tc>
          <w:tcPr>
            <w:tcW w:w="691" w:type="dxa"/>
            <w:noWrap w:val="0"/>
            <w:vAlign w:val="center"/>
          </w:tcPr>
          <w:p w14:paraId="541ABE1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5 h</w:t>
            </w:r>
          </w:p>
        </w:tc>
      </w:tr>
    </w:tbl>
    <w:p w14:paraId="347E055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bookmarkStart w:id="325" w:name="_Toc6550"/>
      <w:r>
        <w:rPr>
          <w:rFonts w:ascii="Times New Roman" w:hAnsi="Times New Roman" w:eastAsia="宋体" w:cs="Times New Roman"/>
          <w:snapToGrid/>
          <w:color w:val="auto"/>
          <w:kern w:val="2"/>
          <w:sz w:val="24"/>
          <w:szCs w:val="22"/>
          <w:lang w:eastAsia="zh-CN"/>
        </w:rPr>
        <w:t>3、预测结果分析</w:t>
      </w:r>
      <w:bookmarkEnd w:id="325"/>
    </w:p>
    <w:p w14:paraId="6E52918B">
      <w:pPr>
        <w:widowControl w:val="0"/>
        <w:kinsoku/>
        <w:adjustRightInd/>
        <w:snapToGrid/>
        <w:spacing w:line="360" w:lineRule="auto"/>
        <w:ind w:firstLine="480" w:firstLineChars="200"/>
        <w:jc w:val="both"/>
        <w:textAlignment w:val="auto"/>
        <w:rPr>
          <w:rFonts w:ascii="Times New Roman" w:hAnsi="Times New Roman" w:eastAsia="宋体" w:cs="Times New Roman"/>
          <w:snapToGrid/>
          <w:color w:val="auto"/>
          <w:sz w:val="24"/>
          <w:szCs w:val="28"/>
          <w:lang w:eastAsia="zh-CN"/>
        </w:rPr>
      </w:pPr>
      <w:r>
        <w:rPr>
          <w:rFonts w:ascii="Times New Roman" w:hAnsi="Times New Roman" w:eastAsia="宋体" w:cs="Times New Roman"/>
          <w:snapToGrid/>
          <w:color w:val="auto"/>
          <w:sz w:val="24"/>
          <w:szCs w:val="28"/>
          <w:lang w:eastAsia="zh-CN"/>
        </w:rPr>
        <w:t>预测汽油运输车在沿河路段发生</w:t>
      </w:r>
      <w:r>
        <w:rPr>
          <w:rFonts w:hint="eastAsia" w:ascii="Times New Roman" w:hAnsi="Times New Roman" w:eastAsia="宋体" w:cs="Times New Roman"/>
          <w:snapToGrid/>
          <w:color w:val="auto"/>
          <w:sz w:val="24"/>
          <w:szCs w:val="28"/>
          <w:lang w:eastAsia="zh-CN"/>
        </w:rPr>
        <w:t>泄漏</w:t>
      </w:r>
      <w:r>
        <w:rPr>
          <w:rFonts w:ascii="Times New Roman" w:hAnsi="Times New Roman" w:eastAsia="宋体" w:cs="Times New Roman"/>
          <w:snapToGrid/>
          <w:color w:val="auto"/>
          <w:sz w:val="24"/>
          <w:szCs w:val="28"/>
          <w:lang w:eastAsia="zh-CN"/>
        </w:rPr>
        <w:t>后</w:t>
      </w:r>
      <w:r>
        <w:rPr>
          <w:rFonts w:hint="eastAsia" w:ascii="Times New Roman" w:hAnsi="Times New Roman" w:eastAsia="宋体" w:cs="Times New Roman"/>
          <w:snapToGrid/>
          <w:color w:val="auto"/>
          <w:sz w:val="24"/>
          <w:szCs w:val="28"/>
          <w:lang w:eastAsia="zh-CN"/>
        </w:rPr>
        <w:t>，</w:t>
      </w:r>
      <w:r>
        <w:rPr>
          <w:rFonts w:ascii="Times New Roman" w:hAnsi="Times New Roman" w:eastAsia="宋体" w:cs="Times New Roman"/>
          <w:snapToGrid/>
          <w:color w:val="auto"/>
          <w:sz w:val="24"/>
          <w:szCs w:val="28"/>
          <w:lang w:eastAsia="zh-CN"/>
        </w:rPr>
        <w:t>油膜随时间推移对河道产生影响的长度</w:t>
      </w:r>
      <w:r>
        <w:rPr>
          <w:rFonts w:hint="eastAsia" w:ascii="Times New Roman" w:hAnsi="Times New Roman" w:eastAsia="宋体" w:cs="Times New Roman"/>
          <w:snapToGrid/>
          <w:color w:val="auto"/>
          <w:sz w:val="24"/>
          <w:szCs w:val="28"/>
          <w:lang w:eastAsia="zh-CN"/>
        </w:rPr>
        <w:t>，</w:t>
      </w:r>
      <w:r>
        <w:rPr>
          <w:rFonts w:ascii="Times New Roman" w:hAnsi="Times New Roman" w:eastAsia="宋体" w:cs="Times New Roman"/>
          <w:snapToGrid/>
          <w:color w:val="auto"/>
          <w:sz w:val="24"/>
          <w:szCs w:val="28"/>
          <w:lang w:eastAsia="zh-CN"/>
        </w:rPr>
        <w:t>如表5.3-7所示。</w:t>
      </w:r>
    </w:p>
    <w:p w14:paraId="435A23FD">
      <w:pPr>
        <w:widowControl w:val="0"/>
        <w:overflowPunct w:val="0"/>
        <w:autoSpaceDE/>
        <w:autoSpaceDN/>
        <w:adjustRightInd/>
        <w:snapToGrid/>
        <w:jc w:val="center"/>
        <w:textAlignment w:val="auto"/>
        <w:rPr>
          <w:rFonts w:ascii="Times New Roman" w:hAnsi="Times New Roman" w:eastAsia="宋体" w:cs="Times New Roman"/>
          <w:b/>
          <w:snapToGrid/>
          <w:color w:val="auto"/>
          <w:kern w:val="2"/>
          <w:sz w:val="24"/>
          <w:szCs w:val="28"/>
          <w:lang w:eastAsia="zh-CN" w:bidi="ar"/>
        </w:rPr>
      </w:pPr>
      <w:r>
        <w:rPr>
          <w:rFonts w:ascii="Times New Roman" w:hAnsi="Times New Roman" w:eastAsia="宋体" w:cs="Times New Roman"/>
          <w:b/>
          <w:snapToGrid/>
          <w:color w:val="auto"/>
          <w:kern w:val="2"/>
          <w:sz w:val="24"/>
          <w:szCs w:val="28"/>
          <w:lang w:eastAsia="zh-CN" w:bidi="ar"/>
        </w:rPr>
        <w:t>表5.3-7  油品泄漏事故油膜在河面的扩展距离</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258"/>
        <w:gridCol w:w="1258"/>
        <w:gridCol w:w="1258"/>
        <w:gridCol w:w="1258"/>
        <w:gridCol w:w="1258"/>
        <w:gridCol w:w="1258"/>
      </w:tblGrid>
      <w:tr w14:paraId="21C6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509" w:type="dxa"/>
            <w:noWrap w:val="0"/>
            <w:vAlign w:val="center"/>
          </w:tcPr>
          <w:p w14:paraId="1E42706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时间</w:t>
            </w:r>
          </w:p>
        </w:tc>
        <w:tc>
          <w:tcPr>
            <w:tcW w:w="1258" w:type="dxa"/>
            <w:noWrap w:val="0"/>
            <w:vAlign w:val="center"/>
          </w:tcPr>
          <w:p w14:paraId="30E9BB1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300 s</w:t>
            </w:r>
          </w:p>
        </w:tc>
        <w:tc>
          <w:tcPr>
            <w:tcW w:w="1258" w:type="dxa"/>
            <w:noWrap w:val="0"/>
            <w:vAlign w:val="center"/>
          </w:tcPr>
          <w:p w14:paraId="2B38ABF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600 s</w:t>
            </w:r>
          </w:p>
        </w:tc>
        <w:tc>
          <w:tcPr>
            <w:tcW w:w="1258" w:type="dxa"/>
            <w:noWrap w:val="0"/>
            <w:vAlign w:val="center"/>
          </w:tcPr>
          <w:p w14:paraId="0EDE6C8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900 s</w:t>
            </w:r>
          </w:p>
        </w:tc>
        <w:tc>
          <w:tcPr>
            <w:tcW w:w="1258" w:type="dxa"/>
            <w:noWrap w:val="0"/>
            <w:vAlign w:val="center"/>
          </w:tcPr>
          <w:p w14:paraId="6471F730">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1200 s</w:t>
            </w:r>
          </w:p>
        </w:tc>
        <w:tc>
          <w:tcPr>
            <w:tcW w:w="1258" w:type="dxa"/>
            <w:noWrap w:val="0"/>
            <w:vAlign w:val="center"/>
          </w:tcPr>
          <w:p w14:paraId="07F7327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1500 s</w:t>
            </w:r>
          </w:p>
        </w:tc>
        <w:tc>
          <w:tcPr>
            <w:tcW w:w="1258" w:type="dxa"/>
            <w:noWrap w:val="0"/>
            <w:vAlign w:val="center"/>
          </w:tcPr>
          <w:p w14:paraId="350C72E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0.5 h</w:t>
            </w:r>
          </w:p>
        </w:tc>
      </w:tr>
      <w:tr w14:paraId="32A1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9" w:type="dxa"/>
            <w:noWrap w:val="0"/>
            <w:vAlign w:val="center"/>
          </w:tcPr>
          <w:p w14:paraId="62E0A35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距离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258" w:type="dxa"/>
            <w:noWrap w:val="0"/>
            <w:vAlign w:val="center"/>
          </w:tcPr>
          <w:p w14:paraId="0FD4EE1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180.23</w:t>
            </w:r>
          </w:p>
        </w:tc>
        <w:tc>
          <w:tcPr>
            <w:tcW w:w="1258" w:type="dxa"/>
            <w:noWrap w:val="0"/>
            <w:vAlign w:val="center"/>
          </w:tcPr>
          <w:p w14:paraId="2F5A9E97">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270.17</w:t>
            </w:r>
          </w:p>
        </w:tc>
        <w:tc>
          <w:tcPr>
            <w:tcW w:w="1258" w:type="dxa"/>
            <w:noWrap w:val="0"/>
            <w:vAlign w:val="center"/>
          </w:tcPr>
          <w:p w14:paraId="4675203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343.52</w:t>
            </w:r>
          </w:p>
        </w:tc>
        <w:tc>
          <w:tcPr>
            <w:tcW w:w="1258" w:type="dxa"/>
            <w:noWrap w:val="0"/>
            <w:vAlign w:val="center"/>
          </w:tcPr>
          <w:p w14:paraId="6B50756A">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407.94</w:t>
            </w:r>
          </w:p>
        </w:tc>
        <w:tc>
          <w:tcPr>
            <w:tcW w:w="1258" w:type="dxa"/>
            <w:noWrap w:val="0"/>
            <w:vAlign w:val="center"/>
          </w:tcPr>
          <w:p w14:paraId="641876C8">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466.49</w:t>
            </w:r>
          </w:p>
        </w:tc>
        <w:tc>
          <w:tcPr>
            <w:tcW w:w="1258" w:type="dxa"/>
            <w:noWrap w:val="0"/>
            <w:vAlign w:val="center"/>
          </w:tcPr>
          <w:p w14:paraId="5F7182D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520.77</w:t>
            </w:r>
          </w:p>
        </w:tc>
      </w:tr>
      <w:tr w14:paraId="1631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509" w:type="dxa"/>
            <w:noWrap w:val="0"/>
            <w:vAlign w:val="center"/>
          </w:tcPr>
          <w:p w14:paraId="04E0372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时间</w:t>
            </w:r>
          </w:p>
        </w:tc>
        <w:tc>
          <w:tcPr>
            <w:tcW w:w="1258" w:type="dxa"/>
            <w:noWrap w:val="0"/>
            <w:vAlign w:val="center"/>
          </w:tcPr>
          <w:p w14:paraId="68B6381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 h</w:t>
            </w:r>
          </w:p>
        </w:tc>
        <w:tc>
          <w:tcPr>
            <w:tcW w:w="1258" w:type="dxa"/>
            <w:noWrap w:val="0"/>
            <w:vAlign w:val="center"/>
          </w:tcPr>
          <w:p w14:paraId="49A498A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 h</w:t>
            </w:r>
          </w:p>
        </w:tc>
        <w:tc>
          <w:tcPr>
            <w:tcW w:w="1258" w:type="dxa"/>
            <w:noWrap w:val="0"/>
            <w:vAlign w:val="center"/>
          </w:tcPr>
          <w:p w14:paraId="6F73C5D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 h</w:t>
            </w:r>
          </w:p>
        </w:tc>
        <w:tc>
          <w:tcPr>
            <w:tcW w:w="1258" w:type="dxa"/>
            <w:noWrap w:val="0"/>
            <w:vAlign w:val="center"/>
          </w:tcPr>
          <w:p w14:paraId="4BC52EE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 h</w:t>
            </w:r>
          </w:p>
        </w:tc>
        <w:tc>
          <w:tcPr>
            <w:tcW w:w="1258" w:type="dxa"/>
            <w:noWrap w:val="0"/>
            <w:vAlign w:val="center"/>
          </w:tcPr>
          <w:p w14:paraId="05D7EFE2">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 h</w:t>
            </w:r>
          </w:p>
        </w:tc>
        <w:tc>
          <w:tcPr>
            <w:tcW w:w="1258" w:type="dxa"/>
            <w:noWrap w:val="0"/>
            <w:vAlign w:val="center"/>
          </w:tcPr>
          <w:p w14:paraId="334EEAE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6 h</w:t>
            </w:r>
          </w:p>
        </w:tc>
      </w:tr>
      <w:tr w14:paraId="6820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509" w:type="dxa"/>
            <w:noWrap w:val="0"/>
            <w:vAlign w:val="center"/>
          </w:tcPr>
          <w:p w14:paraId="5DEDD7AE">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距离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258" w:type="dxa"/>
            <w:noWrap w:val="0"/>
            <w:vAlign w:val="center"/>
          </w:tcPr>
          <w:p w14:paraId="28535206">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794.39</w:t>
            </w:r>
          </w:p>
        </w:tc>
        <w:tc>
          <w:tcPr>
            <w:tcW w:w="1258" w:type="dxa"/>
            <w:noWrap w:val="0"/>
            <w:vAlign w:val="center"/>
          </w:tcPr>
          <w:p w14:paraId="5A66930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1218.55</w:t>
            </w:r>
          </w:p>
        </w:tc>
        <w:tc>
          <w:tcPr>
            <w:tcW w:w="1258" w:type="dxa"/>
            <w:noWrap w:val="0"/>
            <w:vAlign w:val="center"/>
          </w:tcPr>
          <w:p w14:paraId="1BFA25D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1568.69</w:t>
            </w:r>
          </w:p>
        </w:tc>
        <w:tc>
          <w:tcPr>
            <w:tcW w:w="1258" w:type="dxa"/>
            <w:noWrap w:val="0"/>
            <w:vAlign w:val="center"/>
          </w:tcPr>
          <w:p w14:paraId="58EC4064">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1878.35</w:t>
            </w:r>
          </w:p>
        </w:tc>
        <w:tc>
          <w:tcPr>
            <w:tcW w:w="1258" w:type="dxa"/>
            <w:noWrap w:val="0"/>
            <w:vAlign w:val="center"/>
          </w:tcPr>
          <w:p w14:paraId="6F31258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2161.16</w:t>
            </w:r>
          </w:p>
        </w:tc>
        <w:tc>
          <w:tcPr>
            <w:tcW w:w="1258" w:type="dxa"/>
            <w:noWrap w:val="0"/>
            <w:vAlign w:val="center"/>
          </w:tcPr>
          <w:p w14:paraId="5715D03D">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2424.33</w:t>
            </w:r>
          </w:p>
        </w:tc>
      </w:tr>
      <w:tr w14:paraId="36B0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509" w:type="dxa"/>
            <w:noWrap w:val="0"/>
            <w:vAlign w:val="center"/>
          </w:tcPr>
          <w:p w14:paraId="7CC560E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时间</w:t>
            </w:r>
          </w:p>
        </w:tc>
        <w:tc>
          <w:tcPr>
            <w:tcW w:w="1258" w:type="dxa"/>
            <w:noWrap w:val="0"/>
            <w:vAlign w:val="center"/>
          </w:tcPr>
          <w:p w14:paraId="72B787F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9 h</w:t>
            </w:r>
          </w:p>
        </w:tc>
        <w:tc>
          <w:tcPr>
            <w:tcW w:w="1258" w:type="dxa"/>
            <w:noWrap w:val="0"/>
            <w:vAlign w:val="center"/>
          </w:tcPr>
          <w:p w14:paraId="50BD59C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12 h</w:t>
            </w:r>
          </w:p>
        </w:tc>
        <w:tc>
          <w:tcPr>
            <w:tcW w:w="1258" w:type="dxa"/>
            <w:noWrap w:val="0"/>
            <w:vAlign w:val="center"/>
          </w:tcPr>
          <w:p w14:paraId="239CF3A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15 h</w:t>
            </w:r>
          </w:p>
        </w:tc>
        <w:tc>
          <w:tcPr>
            <w:tcW w:w="1258" w:type="dxa"/>
            <w:noWrap w:val="0"/>
            <w:vAlign w:val="center"/>
          </w:tcPr>
          <w:p w14:paraId="77ED4161">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18 h</w:t>
            </w:r>
          </w:p>
        </w:tc>
        <w:tc>
          <w:tcPr>
            <w:tcW w:w="1258" w:type="dxa"/>
            <w:noWrap w:val="0"/>
            <w:vAlign w:val="center"/>
          </w:tcPr>
          <w:p w14:paraId="5192CD23">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24 h</w:t>
            </w:r>
          </w:p>
        </w:tc>
        <w:tc>
          <w:tcPr>
            <w:tcW w:w="1258" w:type="dxa"/>
            <w:noWrap w:val="0"/>
            <w:vAlign w:val="center"/>
          </w:tcPr>
          <w:p w14:paraId="2B7C0E0E">
            <w:pPr>
              <w:widowControl w:val="0"/>
              <w:overflowPunct w:val="0"/>
              <w:jc w:val="center"/>
              <w:rPr>
                <w:rFonts w:ascii="Times New Roman" w:hAnsi="Times New Roman" w:eastAsia="宋体" w:cs="Times New Roman"/>
                <w:bCs/>
                <w:color w:val="auto"/>
                <w:szCs w:val="24"/>
                <w:lang w:eastAsia="zh-CN"/>
              </w:rPr>
            </w:pPr>
          </w:p>
        </w:tc>
      </w:tr>
      <w:tr w14:paraId="4F63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509" w:type="dxa"/>
            <w:noWrap w:val="0"/>
            <w:vAlign w:val="center"/>
          </w:tcPr>
          <w:p w14:paraId="5389CD0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距离</w:t>
            </w:r>
            <w:r>
              <w:rPr>
                <w:rFonts w:hint="eastAsia" w:ascii="Times New Roman" w:hAnsi="Times New Roman" w:eastAsia="宋体" w:cs="Times New Roman"/>
                <w:bCs/>
                <w:color w:val="auto"/>
                <w:szCs w:val="24"/>
                <w:lang w:eastAsia="zh-CN"/>
              </w:rPr>
              <w:t>（</w:t>
            </w:r>
            <w:r>
              <w:rPr>
                <w:rFonts w:ascii="Times New Roman" w:hAnsi="Times New Roman" w:eastAsia="宋体" w:cs="Times New Roman"/>
                <w:bCs/>
                <w:color w:val="auto"/>
                <w:szCs w:val="24"/>
                <w:lang w:eastAsia="zh-CN"/>
              </w:rPr>
              <w:t>m)</w:t>
            </w:r>
          </w:p>
        </w:tc>
        <w:tc>
          <w:tcPr>
            <w:tcW w:w="1258" w:type="dxa"/>
            <w:noWrap w:val="0"/>
            <w:vAlign w:val="center"/>
          </w:tcPr>
          <w:p w14:paraId="59B518B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3133.23</w:t>
            </w:r>
          </w:p>
        </w:tc>
        <w:tc>
          <w:tcPr>
            <w:tcW w:w="1258" w:type="dxa"/>
            <w:noWrap w:val="0"/>
            <w:vAlign w:val="center"/>
          </w:tcPr>
          <w:p w14:paraId="6ACDAB79">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3761.5</w:t>
            </w:r>
          </w:p>
        </w:tc>
        <w:tc>
          <w:tcPr>
            <w:tcW w:w="1258" w:type="dxa"/>
            <w:noWrap w:val="0"/>
            <w:vAlign w:val="center"/>
          </w:tcPr>
          <w:p w14:paraId="1F425B4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4336.12</w:t>
            </w:r>
          </w:p>
        </w:tc>
        <w:tc>
          <w:tcPr>
            <w:tcW w:w="1258" w:type="dxa"/>
            <w:noWrap w:val="0"/>
            <w:vAlign w:val="center"/>
          </w:tcPr>
          <w:p w14:paraId="437BCFC5">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4871.42</w:t>
            </w:r>
          </w:p>
        </w:tc>
        <w:tc>
          <w:tcPr>
            <w:tcW w:w="1258" w:type="dxa"/>
            <w:noWrap w:val="0"/>
            <w:vAlign w:val="center"/>
          </w:tcPr>
          <w:p w14:paraId="7E1467EF">
            <w:pPr>
              <w:widowControl w:val="0"/>
              <w:overflowPunct w:val="0"/>
              <w:jc w:val="center"/>
              <w:rPr>
                <w:rFonts w:ascii="Times New Roman" w:hAnsi="Times New Roman" w:eastAsia="宋体" w:cs="Times New Roman"/>
                <w:bCs/>
                <w:color w:val="auto"/>
                <w:szCs w:val="24"/>
                <w:lang w:eastAsia="zh-CN"/>
              </w:rPr>
            </w:pPr>
            <w:r>
              <w:rPr>
                <w:rFonts w:ascii="Times New Roman" w:hAnsi="Times New Roman" w:eastAsia="宋体" w:cs="Times New Roman"/>
                <w:bCs/>
                <w:color w:val="auto"/>
                <w:szCs w:val="24"/>
                <w:lang w:eastAsia="zh-CN"/>
              </w:rPr>
              <w:t>5856.18</w:t>
            </w:r>
          </w:p>
        </w:tc>
        <w:tc>
          <w:tcPr>
            <w:tcW w:w="1258" w:type="dxa"/>
            <w:noWrap w:val="0"/>
            <w:vAlign w:val="center"/>
          </w:tcPr>
          <w:p w14:paraId="26350527">
            <w:pPr>
              <w:widowControl w:val="0"/>
              <w:overflowPunct w:val="0"/>
              <w:jc w:val="center"/>
              <w:rPr>
                <w:rFonts w:ascii="Times New Roman" w:hAnsi="Times New Roman" w:eastAsia="宋体" w:cs="Times New Roman"/>
                <w:bCs/>
                <w:color w:val="auto"/>
                <w:szCs w:val="24"/>
                <w:lang w:eastAsia="zh-CN"/>
              </w:rPr>
            </w:pPr>
          </w:p>
        </w:tc>
      </w:tr>
    </w:tbl>
    <w:p w14:paraId="1AA136FD">
      <w:pPr>
        <w:widowControl w:val="0"/>
        <w:kinsoku/>
        <w:autoSpaceDE/>
        <w:autoSpaceDN/>
        <w:adjustRightInd/>
        <w:snapToGrid/>
        <w:spacing w:line="360" w:lineRule="auto"/>
        <w:ind w:firstLine="561"/>
        <w:textAlignment w:val="auto"/>
        <w:rPr>
          <w:rFonts w:ascii="Times New Roman" w:hAnsi="Times New Roman" w:eastAsia="宋体" w:cs="Times New Roman"/>
          <w:color w:val="auto"/>
          <w:lang w:eastAsia="zh-CN"/>
        </w:rPr>
        <w:sectPr>
          <w:pgSz w:w="11906" w:h="16838"/>
          <w:pgMar w:top="1984" w:right="1474" w:bottom="1871" w:left="1587" w:header="851" w:footer="1587" w:gutter="0"/>
          <w:cols w:space="720" w:num="1"/>
          <w:titlePg/>
          <w:docGrid w:linePitch="312" w:charSpace="0"/>
        </w:sectPr>
      </w:pPr>
      <w:r>
        <w:rPr>
          <w:rFonts w:ascii="Times New Roman" w:hAnsi="Times New Roman" w:eastAsia="宋体" w:cs="Times New Roman"/>
          <w:snapToGrid/>
          <w:color w:val="auto"/>
          <w:kern w:val="2"/>
          <w:sz w:val="24"/>
          <w:szCs w:val="22"/>
          <w:lang w:eastAsia="zh-CN"/>
        </w:rPr>
        <w:t>根据预测计算</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汽油运输车发生溢油事故后汽油入河流30 min后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油膜在事故发生地点下游扩展约520.77 m；在泄漏溢油24 h后</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油膜在事故发生地点下游扩展约5856.18 m；影响范围较广。</w:t>
      </w:r>
    </w:p>
    <w:p w14:paraId="2BB76982">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326" w:name="_Toc10251"/>
      <w:bookmarkStart w:id="327" w:name="_Toc29586"/>
      <w:bookmarkStart w:id="328" w:name="_Toc11260"/>
      <w:bookmarkStart w:id="329" w:name="_Toc11962"/>
      <w:bookmarkStart w:id="330" w:name="_Toc32245"/>
      <w:bookmarkStart w:id="331" w:name="_Toc27552282"/>
      <w:r>
        <w:rPr>
          <w:rFonts w:ascii="Times New Roman" w:hAnsi="Times New Roman" w:eastAsia="宋体" w:cs="Times New Roman"/>
          <w:b/>
          <w:bCs/>
          <w:snapToGrid/>
          <w:color w:val="auto"/>
          <w:kern w:val="44"/>
          <w:sz w:val="32"/>
          <w:szCs w:val="44"/>
          <w:lang w:eastAsia="zh-CN"/>
        </w:rPr>
        <w:t>6  环境风险防控与应急措施差距分析</w:t>
      </w:r>
      <w:bookmarkEnd w:id="326"/>
      <w:bookmarkEnd w:id="327"/>
      <w:bookmarkEnd w:id="328"/>
      <w:bookmarkEnd w:id="329"/>
      <w:bookmarkEnd w:id="330"/>
      <w:bookmarkEnd w:id="331"/>
    </w:p>
    <w:p w14:paraId="6A0AB8A4">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332" w:name="_Toc23584"/>
      <w:bookmarkStart w:id="333" w:name="_Toc26665"/>
      <w:bookmarkStart w:id="334" w:name="_Toc32411"/>
      <w:bookmarkStart w:id="335" w:name="_Toc27552283"/>
      <w:bookmarkStart w:id="336" w:name="_Toc16242"/>
      <w:bookmarkStart w:id="337" w:name="_Toc25088"/>
      <w:r>
        <w:rPr>
          <w:rFonts w:ascii="Times New Roman" w:hAnsi="Times New Roman" w:eastAsia="宋体" w:cs="Times New Roman"/>
          <w:b/>
          <w:bCs/>
          <w:snapToGrid/>
          <w:color w:val="auto"/>
          <w:kern w:val="2"/>
          <w:sz w:val="30"/>
          <w:szCs w:val="32"/>
          <w:lang w:eastAsia="zh-CN"/>
        </w:rPr>
        <w:t>6.1 环境风险受体管理差距分析</w:t>
      </w:r>
      <w:bookmarkEnd w:id="332"/>
      <w:bookmarkEnd w:id="333"/>
      <w:bookmarkEnd w:id="334"/>
      <w:bookmarkEnd w:id="335"/>
      <w:bookmarkEnd w:id="336"/>
      <w:bookmarkEnd w:id="337"/>
    </w:p>
    <w:p w14:paraId="453DF21E">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38" w:name="_Toc27552284"/>
      <w:bookmarkStart w:id="339" w:name="_Toc4456"/>
      <w:bookmarkStart w:id="340" w:name="_Toc23585"/>
      <w:bookmarkStart w:id="341" w:name="_Toc3779"/>
      <w:bookmarkStart w:id="342" w:name="_Toc11273"/>
      <w:bookmarkStart w:id="343" w:name="_Toc25847"/>
      <w:r>
        <w:rPr>
          <w:rFonts w:ascii="Times New Roman" w:hAnsi="Times New Roman" w:eastAsia="宋体" w:cs="Times New Roman"/>
          <w:b/>
          <w:bCs/>
          <w:snapToGrid/>
          <w:color w:val="auto"/>
          <w:kern w:val="2"/>
          <w:sz w:val="24"/>
          <w:szCs w:val="32"/>
          <w:lang w:eastAsia="zh-CN"/>
        </w:rPr>
        <w:t>6.1.1 饮用水水源保护区</w:t>
      </w:r>
      <w:bookmarkEnd w:id="338"/>
      <w:bookmarkEnd w:id="339"/>
      <w:bookmarkEnd w:id="340"/>
      <w:bookmarkEnd w:id="341"/>
      <w:bookmarkEnd w:id="342"/>
      <w:bookmarkEnd w:id="343"/>
    </w:p>
    <w:p w14:paraId="006F6B2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8"/>
          <w:lang w:eastAsia="zh-CN"/>
        </w:rPr>
      </w:pPr>
      <w:r>
        <w:rPr>
          <w:rFonts w:ascii="Times New Roman" w:hAnsi="Times New Roman" w:eastAsia="宋体" w:cs="Times New Roman"/>
          <w:snapToGrid/>
          <w:color w:val="auto"/>
          <w:kern w:val="2"/>
          <w:sz w:val="24"/>
          <w:szCs w:val="28"/>
          <w:lang w:eastAsia="zh-CN"/>
        </w:rPr>
        <w:t>炎陵县行政区域内有千吨万人规模饮用水水源保护区</w:t>
      </w:r>
      <w:r>
        <w:rPr>
          <w:rFonts w:hint="eastAsia" w:ascii="Times New Roman" w:hAnsi="Times New Roman" w:eastAsia="宋体" w:cs="Times New Roman"/>
          <w:snapToGrid/>
          <w:color w:val="auto"/>
          <w:kern w:val="2"/>
          <w:sz w:val="24"/>
          <w:szCs w:val="28"/>
          <w:lang w:eastAsia="zh-CN"/>
        </w:rPr>
        <w:t>3</w:t>
      </w:r>
      <w:r>
        <w:rPr>
          <w:rFonts w:ascii="Times New Roman" w:hAnsi="Times New Roman" w:eastAsia="宋体" w:cs="Times New Roman"/>
          <w:snapToGrid/>
          <w:color w:val="auto"/>
          <w:kern w:val="2"/>
          <w:sz w:val="24"/>
          <w:szCs w:val="28"/>
          <w:lang w:eastAsia="zh-CN"/>
        </w:rPr>
        <w:t>处</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县级饮用水水源保护区</w:t>
      </w:r>
      <w:r>
        <w:rPr>
          <w:rFonts w:hint="eastAsia" w:ascii="Times New Roman" w:hAnsi="Times New Roman" w:eastAsia="宋体" w:cs="Times New Roman"/>
          <w:snapToGrid/>
          <w:color w:val="auto"/>
          <w:kern w:val="2"/>
          <w:sz w:val="24"/>
          <w:szCs w:val="28"/>
          <w:lang w:eastAsia="zh-CN"/>
        </w:rPr>
        <w:t>1</w:t>
      </w:r>
      <w:r>
        <w:rPr>
          <w:rFonts w:ascii="Times New Roman" w:hAnsi="Times New Roman" w:eastAsia="宋体" w:cs="Times New Roman"/>
          <w:snapToGrid/>
          <w:color w:val="auto"/>
          <w:kern w:val="2"/>
          <w:sz w:val="24"/>
          <w:szCs w:val="28"/>
          <w:lang w:eastAsia="zh-CN"/>
        </w:rPr>
        <w:t>处。经调查</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水源保护区管理相对规范</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水质稳定</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保护区及上游风险源、污染源清理彻底</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未见明显风险隐患。</w:t>
      </w:r>
    </w:p>
    <w:p w14:paraId="2612EC79">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44" w:name="_Toc28524"/>
      <w:bookmarkStart w:id="345" w:name="_Toc27552286"/>
      <w:bookmarkStart w:id="346" w:name="_Toc31137"/>
      <w:bookmarkStart w:id="347" w:name="_Toc23562"/>
      <w:bookmarkStart w:id="348" w:name="_Toc31070"/>
      <w:bookmarkStart w:id="349" w:name="_Toc16159"/>
      <w:r>
        <w:rPr>
          <w:rFonts w:ascii="Times New Roman" w:hAnsi="Times New Roman" w:eastAsia="宋体" w:cs="Times New Roman"/>
          <w:b/>
          <w:bCs/>
          <w:snapToGrid/>
          <w:color w:val="auto"/>
          <w:kern w:val="2"/>
          <w:sz w:val="24"/>
          <w:szCs w:val="32"/>
          <w:lang w:eastAsia="zh-CN"/>
        </w:rPr>
        <w:t>6.1.2 大气环境风险受体</w:t>
      </w:r>
      <w:bookmarkEnd w:id="344"/>
      <w:bookmarkEnd w:id="345"/>
      <w:bookmarkEnd w:id="346"/>
      <w:bookmarkEnd w:id="347"/>
      <w:bookmarkEnd w:id="348"/>
      <w:bookmarkEnd w:id="349"/>
    </w:p>
    <w:p w14:paraId="0117741C">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8"/>
          <w:lang w:eastAsia="zh-CN"/>
        </w:rPr>
        <w:t>根据对炎陵县内环境调查情况</w:t>
      </w:r>
      <w:r>
        <w:rPr>
          <w:rFonts w:hint="eastAsia" w:ascii="Times New Roman" w:hAnsi="Times New Roman" w:eastAsia="宋体" w:cs="Times New Roman"/>
          <w:snapToGrid/>
          <w:color w:val="auto"/>
          <w:kern w:val="2"/>
          <w:sz w:val="24"/>
          <w:szCs w:val="28"/>
          <w:lang w:eastAsia="zh-CN"/>
        </w:rPr>
        <w:t>，</w:t>
      </w:r>
      <w:r>
        <w:rPr>
          <w:rFonts w:ascii="Times New Roman" w:hAnsi="Times New Roman" w:eastAsia="宋体" w:cs="Times New Roman"/>
          <w:snapToGrid/>
          <w:color w:val="auto"/>
          <w:kern w:val="2"/>
          <w:sz w:val="24"/>
          <w:szCs w:val="28"/>
          <w:lang w:eastAsia="zh-CN"/>
        </w:rPr>
        <w:t>大气环境风险受体主要为</w:t>
      </w:r>
      <w:r>
        <w:rPr>
          <w:rFonts w:ascii="Times New Roman" w:hAnsi="Times New Roman" w:eastAsia="宋体" w:cs="Times New Roman"/>
          <w:snapToGrid/>
          <w:color w:val="auto"/>
          <w:kern w:val="2"/>
          <w:sz w:val="24"/>
          <w:szCs w:val="22"/>
          <w:lang w:eastAsia="zh-CN"/>
        </w:rPr>
        <w:t>炎陵县内行政机关、居民生活区、学校及医疗机构等。根据炎陵县内主要环境风险源环境影响评价文件及批复可知</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炎陵县内的大气环境风险受体能满足环境风险源的防护距离要求。</w:t>
      </w:r>
    </w:p>
    <w:p w14:paraId="497CC2CF">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350" w:name="_Toc6567"/>
      <w:bookmarkStart w:id="351" w:name="_Toc14953"/>
      <w:bookmarkStart w:id="352" w:name="_Toc27286"/>
      <w:bookmarkStart w:id="353" w:name="_Toc27552287"/>
      <w:bookmarkStart w:id="354" w:name="_Toc25715"/>
      <w:bookmarkStart w:id="355" w:name="_Toc18741"/>
      <w:r>
        <w:rPr>
          <w:rFonts w:ascii="Times New Roman" w:hAnsi="Times New Roman" w:eastAsia="宋体" w:cs="Times New Roman"/>
          <w:b/>
          <w:bCs/>
          <w:snapToGrid/>
          <w:color w:val="auto"/>
          <w:kern w:val="2"/>
          <w:sz w:val="30"/>
          <w:szCs w:val="32"/>
          <w:lang w:eastAsia="zh-CN"/>
        </w:rPr>
        <w:t>6.2 环境风险源管理差距分析</w:t>
      </w:r>
      <w:bookmarkEnd w:id="350"/>
      <w:bookmarkEnd w:id="351"/>
      <w:bookmarkEnd w:id="352"/>
      <w:bookmarkEnd w:id="353"/>
      <w:bookmarkEnd w:id="354"/>
      <w:bookmarkEnd w:id="355"/>
    </w:p>
    <w:p w14:paraId="59A774C7">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56" w:name="_Toc30678"/>
      <w:bookmarkStart w:id="357" w:name="_Toc17337"/>
      <w:bookmarkStart w:id="358" w:name="_Toc19704"/>
      <w:bookmarkStart w:id="359" w:name="_Toc30953"/>
      <w:bookmarkStart w:id="360" w:name="_Toc27552288"/>
      <w:bookmarkStart w:id="361" w:name="_Toc7397"/>
      <w:r>
        <w:rPr>
          <w:rFonts w:ascii="Times New Roman" w:hAnsi="Times New Roman" w:eastAsia="宋体" w:cs="Times New Roman"/>
          <w:b/>
          <w:bCs/>
          <w:snapToGrid/>
          <w:color w:val="auto"/>
          <w:kern w:val="2"/>
          <w:sz w:val="24"/>
          <w:szCs w:val="32"/>
          <w:lang w:eastAsia="zh-CN"/>
        </w:rPr>
        <w:t>6.2.1 重点环境风险企业</w:t>
      </w:r>
      <w:bookmarkEnd w:id="356"/>
      <w:bookmarkEnd w:id="357"/>
      <w:bookmarkEnd w:id="358"/>
      <w:bookmarkEnd w:id="359"/>
      <w:bookmarkEnd w:id="360"/>
      <w:bookmarkEnd w:id="361"/>
    </w:p>
    <w:p w14:paraId="332AEB82">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1、应急预案演练、环境安全培训、隐患排查</w:t>
      </w:r>
    </w:p>
    <w:p w14:paraId="74753B14">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炎陵县重点环境风险企业中大部分企业已编制了环境应急预案并在市生态环境局炎陵县分局备案</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开展了环境风险评估</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确定了风险等级；重点环境风险企业已按要求建立一系列安全管理制度</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加强对生产过程中的安全管理</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减少突发环境污染事故的发生概率。企业通过安全管理制度的落实</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企业领导、部门负责人和员工各司其职</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减少生产过程中的事故发生。</w:t>
      </w:r>
    </w:p>
    <w:p w14:paraId="5B42E45B">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重点环境风险企业每年至少进行一次全员应急预案培训。根据年度应急演练计划</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每年至少分别安排一次桌面演练和综合演练</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强化职工应急意识</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提高应急队伍的反应速度和实战能力</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并做好演练记录和总结。</w:t>
      </w:r>
    </w:p>
    <w:p w14:paraId="4AB6A680">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企业根据各自的环境风险等级及风险类型</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分别配备了必要的环境应急装备和物资</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详见应急资源调查报告。</w:t>
      </w:r>
    </w:p>
    <w:p w14:paraId="0D5D5A3C">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企业建立环境事故隐患定期排查机制。对泄漏、爆炸、运输、非正常排放以及自然灾害引发的突发性事故的隐患进行监控和预警</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并且建设事故应急池等设施防控突发水环境事件</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建立有效的信息通报渠道。</w:t>
      </w:r>
    </w:p>
    <w:p w14:paraId="1B8C8F82">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62" w:name="_Toc32438"/>
      <w:bookmarkStart w:id="363" w:name="_Toc5307"/>
      <w:bookmarkStart w:id="364" w:name="_Toc27552289"/>
      <w:bookmarkStart w:id="365" w:name="_Toc5943"/>
      <w:bookmarkStart w:id="366" w:name="_Toc6568"/>
      <w:bookmarkStart w:id="367" w:name="_Toc32580"/>
      <w:r>
        <w:rPr>
          <w:rFonts w:ascii="Times New Roman" w:hAnsi="Times New Roman" w:eastAsia="宋体" w:cs="Times New Roman"/>
          <w:b/>
          <w:bCs/>
          <w:snapToGrid/>
          <w:color w:val="auto"/>
          <w:kern w:val="2"/>
          <w:sz w:val="24"/>
          <w:szCs w:val="32"/>
          <w:lang w:eastAsia="zh-CN"/>
        </w:rPr>
        <w:t>6.2.2 移动源</w:t>
      </w:r>
      <w:bookmarkEnd w:id="362"/>
      <w:bookmarkEnd w:id="363"/>
      <w:bookmarkEnd w:id="364"/>
      <w:bookmarkEnd w:id="365"/>
      <w:bookmarkEnd w:id="366"/>
      <w:bookmarkEnd w:id="367"/>
    </w:p>
    <w:p w14:paraId="14C1C21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炎陵县内危险化学品运输车辆已按照《危险化学品安全管理条例》《道路危险货物运输管理规定》等有关规定</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均已安装GPS设备</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并按照专用路线行驶。</w:t>
      </w:r>
    </w:p>
    <w:p w14:paraId="569828C5">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368" w:name="_Toc22951"/>
      <w:bookmarkStart w:id="369" w:name="_Toc16028"/>
      <w:bookmarkStart w:id="370" w:name="_Toc16895"/>
      <w:bookmarkStart w:id="371" w:name="_Toc27552290"/>
      <w:bookmarkStart w:id="372" w:name="_Toc5631"/>
      <w:bookmarkStart w:id="373" w:name="_Toc20431"/>
      <w:r>
        <w:rPr>
          <w:rFonts w:ascii="Times New Roman" w:hAnsi="Times New Roman" w:eastAsia="宋体" w:cs="Times New Roman"/>
          <w:b/>
          <w:bCs/>
          <w:snapToGrid/>
          <w:color w:val="auto"/>
          <w:kern w:val="2"/>
          <w:sz w:val="30"/>
          <w:szCs w:val="32"/>
          <w:lang w:eastAsia="zh-CN"/>
        </w:rPr>
        <w:t>6.3 区域环境风险管理与应急能力差距分析</w:t>
      </w:r>
      <w:bookmarkEnd w:id="368"/>
      <w:bookmarkEnd w:id="369"/>
      <w:bookmarkEnd w:id="370"/>
      <w:bookmarkEnd w:id="371"/>
      <w:bookmarkEnd w:id="372"/>
      <w:bookmarkEnd w:id="373"/>
    </w:p>
    <w:p w14:paraId="3B4163E8">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74" w:name="_Toc25589"/>
      <w:bookmarkStart w:id="375" w:name="_Toc1879"/>
      <w:bookmarkStart w:id="376" w:name="_Toc26892"/>
      <w:bookmarkStart w:id="377" w:name="_Toc27552291"/>
      <w:bookmarkStart w:id="378" w:name="_Toc12795"/>
      <w:bookmarkStart w:id="379" w:name="_Toc25864"/>
      <w:r>
        <w:rPr>
          <w:rFonts w:ascii="Times New Roman" w:hAnsi="Times New Roman" w:eastAsia="宋体" w:cs="Times New Roman"/>
          <w:b/>
          <w:bCs/>
          <w:snapToGrid/>
          <w:color w:val="auto"/>
          <w:kern w:val="2"/>
          <w:sz w:val="24"/>
          <w:szCs w:val="32"/>
          <w:lang w:eastAsia="zh-CN"/>
        </w:rPr>
        <w:t>6.3.1 环境风险源布局与管理</w:t>
      </w:r>
      <w:bookmarkEnd w:id="374"/>
      <w:bookmarkEnd w:id="375"/>
      <w:bookmarkEnd w:id="376"/>
      <w:bookmarkEnd w:id="377"/>
      <w:bookmarkEnd w:id="378"/>
      <w:bookmarkEnd w:id="379"/>
    </w:p>
    <w:p w14:paraId="355520B3">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2"/>
          <w:lang w:eastAsia="zh-CN"/>
        </w:rPr>
        <w:t>炎陵县内环境风险等级为较大及以上的企业</w:t>
      </w:r>
      <w:r>
        <w:rPr>
          <w:rFonts w:hint="eastAsia" w:ascii="Times New Roman" w:hAnsi="Times New Roman" w:eastAsia="宋体" w:cs="Times New Roman"/>
          <w:snapToGrid/>
          <w:color w:val="auto"/>
          <w:kern w:val="2"/>
          <w:sz w:val="24"/>
          <w:szCs w:val="22"/>
          <w:lang w:eastAsia="zh-CN"/>
        </w:rPr>
        <w:t>有2家，</w:t>
      </w:r>
      <w:r>
        <w:rPr>
          <w:rFonts w:ascii="Times New Roman" w:hAnsi="Times New Roman" w:eastAsia="宋体" w:cs="Times New Roman"/>
          <w:snapToGrid/>
          <w:color w:val="auto"/>
          <w:kern w:val="2"/>
          <w:sz w:val="24"/>
          <w:szCs w:val="22"/>
          <w:lang w:eastAsia="zh-CN"/>
        </w:rPr>
        <w:t>市生态环境局炎陵分局定期对涉及环境风险的企业开展风险隐患排查。</w:t>
      </w:r>
      <w:r>
        <w:rPr>
          <w:rFonts w:ascii="Times New Roman" w:hAnsi="Times New Roman" w:eastAsia="宋体" w:cs="Times New Roman"/>
          <w:snapToGrid/>
          <w:color w:val="auto"/>
          <w:kern w:val="2"/>
          <w:sz w:val="24"/>
          <w:szCs w:val="20"/>
          <w:lang w:eastAsia="zh-CN"/>
        </w:rPr>
        <w:t>炎陵县涉及环境风险源的企业布局于工业区内。整体而言</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炎陵县内较大及以上环境风险企业较少</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区域环境风险受体分布较多</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在应急资源充沛基础上</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风险可控。</w:t>
      </w:r>
    </w:p>
    <w:p w14:paraId="224B9DC4">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80" w:name="_Toc27552292"/>
      <w:bookmarkStart w:id="381" w:name="_Toc19821"/>
      <w:bookmarkStart w:id="382" w:name="_Toc10736"/>
      <w:bookmarkStart w:id="383" w:name="_Toc15617"/>
      <w:bookmarkStart w:id="384" w:name="_Toc3382"/>
      <w:bookmarkStart w:id="385" w:name="_Toc21850"/>
      <w:r>
        <w:rPr>
          <w:rFonts w:ascii="Times New Roman" w:hAnsi="Times New Roman" w:eastAsia="宋体" w:cs="Times New Roman"/>
          <w:b/>
          <w:bCs/>
          <w:snapToGrid/>
          <w:color w:val="auto"/>
          <w:kern w:val="2"/>
          <w:sz w:val="24"/>
          <w:szCs w:val="32"/>
          <w:lang w:eastAsia="zh-CN"/>
        </w:rPr>
        <w:t>6.3.2 环境应急处置能力</w:t>
      </w:r>
      <w:bookmarkEnd w:id="380"/>
      <w:bookmarkEnd w:id="381"/>
      <w:bookmarkEnd w:id="382"/>
      <w:bookmarkEnd w:id="383"/>
      <w:bookmarkEnd w:id="384"/>
      <w:bookmarkEnd w:id="385"/>
    </w:p>
    <w:p w14:paraId="0ABE6A99">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（1）突发水环境事件的应急处置能力</w:t>
      </w:r>
    </w:p>
    <w:p w14:paraId="441EC96D">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炎陵县集中式污水处理厂均已编制了突发环境事件应急预案</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并建立了可靠的运行监控系统（包括计量、采样、监测、报警等设施）</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关键设备均设置有备用</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厂内设有事故应急缓冲调节池。一旦发生事故</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通过监控系统能快速通知相关人员</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并可及时将事故废水导入到应急池中</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迅速组织抢修</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排除故障</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将风险控制在可控范围内</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若出现无法收纳部分污水时</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污水处理公司将请求市生态环境局炎陵分局通知</w:t>
      </w:r>
      <w:r>
        <w:rPr>
          <w:rFonts w:hint="eastAsia" w:ascii="Times New Roman" w:hAnsi="Times New Roman" w:eastAsia="宋体" w:cs="Times New Roman"/>
          <w:snapToGrid/>
          <w:color w:val="auto"/>
          <w:kern w:val="2"/>
          <w:sz w:val="24"/>
          <w:szCs w:val="20"/>
          <w:lang w:eastAsia="zh-CN"/>
        </w:rPr>
        <w:t>污水处理厂</w:t>
      </w:r>
      <w:r>
        <w:rPr>
          <w:rFonts w:ascii="Times New Roman" w:hAnsi="Times New Roman" w:eastAsia="宋体" w:cs="Times New Roman"/>
          <w:snapToGrid/>
          <w:color w:val="auto"/>
          <w:kern w:val="2"/>
          <w:sz w:val="24"/>
          <w:szCs w:val="20"/>
          <w:lang w:eastAsia="zh-CN"/>
        </w:rPr>
        <w:t>纳污范围内废水重点应急对象</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要求企业启动厂区污水处理应急预案</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停止或减少纳管污水产生量。</w:t>
      </w:r>
    </w:p>
    <w:p w14:paraId="34C18561">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若发生水突发环境事件时</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应急救援队伍可采用合适的救援物资通过筑坝、导流等方式对污染物进行拦截</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或投加反应剂、吸附剂等方式对污染物就地或异地处置。</w:t>
      </w:r>
    </w:p>
    <w:p w14:paraId="23A47814">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2"/>
          <w:lang w:eastAsia="zh-CN"/>
        </w:rPr>
        <w:t>（2）</w:t>
      </w:r>
      <w:r>
        <w:rPr>
          <w:rFonts w:ascii="Times New Roman" w:hAnsi="Times New Roman" w:eastAsia="宋体" w:cs="Times New Roman"/>
          <w:snapToGrid/>
          <w:color w:val="auto"/>
          <w:kern w:val="2"/>
          <w:sz w:val="24"/>
          <w:szCs w:val="20"/>
          <w:lang w:eastAsia="zh-CN"/>
        </w:rPr>
        <w:t>突发大气环境事件的应急防护能力</w:t>
      </w:r>
    </w:p>
    <w:p w14:paraId="52525043">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重大突发大气环境事件发生后</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由应急指挥部向生态环境、应急管理等上级部门汇报</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根据上级政府部门指令要求</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确定是否需要进行疏散。若明确疏散范围</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则在上级政府部门领导下</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应急指挥部配合参与人员疏散。</w:t>
      </w:r>
    </w:p>
    <w:p w14:paraId="10038227">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事故现场人员向上风或侧向风方向转移</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负责疏散、撤离的现场工作人员引导和护送疏散人群到安全区</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并逐一清点人数</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并在厂区门口设岗执勤</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实行交通管制</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阻止无关人员及车辆进入</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并保持急救道路畅通。</w:t>
      </w:r>
    </w:p>
    <w:p w14:paraId="72C67335">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在疏散和撤离的路线上可设立指示牌</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指明方向</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人员不要在低洼处滞留</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要查清是否有人留在泄漏区或污染区。如发现有人未及时撤离</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应由佩戴适宜防护装备的抢险队员两人进入现场搜寻</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并实施救助。</w:t>
      </w:r>
    </w:p>
    <w:p w14:paraId="27A33137">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当事故威胁到周边地区的群众时</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及时向上级环保部门、当地政府部门报告</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由公安、民政部门、组织抽调力量负责组织实施。</w:t>
      </w:r>
    </w:p>
    <w:p w14:paraId="30E841F0">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0"/>
          <w:lang w:eastAsia="zh-CN"/>
        </w:rPr>
      </w:pPr>
      <w:r>
        <w:rPr>
          <w:rFonts w:ascii="Times New Roman" w:hAnsi="Times New Roman" w:eastAsia="宋体" w:cs="Times New Roman"/>
          <w:snapToGrid/>
          <w:color w:val="auto"/>
          <w:kern w:val="2"/>
          <w:sz w:val="24"/>
          <w:szCs w:val="20"/>
          <w:lang w:eastAsia="zh-CN"/>
        </w:rPr>
        <w:t>事故处于失控状态或发生事故的后果可能十分严重时</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由炎陵县突发环境事件应急指挥部向政府及周边单位发出报警</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并提出要疏散和请求支援。并通过适当方法</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通报有可能发生事故的后果和程度</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以及疏散的路线。</w:t>
      </w:r>
    </w:p>
    <w:p w14:paraId="1C4DEACD">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86" w:name="_Toc15980"/>
      <w:bookmarkStart w:id="387" w:name="_Toc13087"/>
      <w:bookmarkStart w:id="388" w:name="_Toc17971"/>
      <w:bookmarkStart w:id="389" w:name="_Toc27552293"/>
      <w:bookmarkStart w:id="390" w:name="_Toc135"/>
      <w:bookmarkStart w:id="391" w:name="_Toc25744"/>
      <w:r>
        <w:rPr>
          <w:rFonts w:ascii="Times New Roman" w:hAnsi="Times New Roman" w:eastAsia="宋体" w:cs="Times New Roman"/>
          <w:b/>
          <w:bCs/>
          <w:snapToGrid/>
          <w:color w:val="auto"/>
          <w:kern w:val="2"/>
          <w:sz w:val="24"/>
          <w:szCs w:val="32"/>
          <w:lang w:eastAsia="zh-CN"/>
        </w:rPr>
        <w:t>6.3.3 环境监测预警能力</w:t>
      </w:r>
      <w:bookmarkEnd w:id="386"/>
      <w:bookmarkEnd w:id="387"/>
      <w:bookmarkEnd w:id="388"/>
      <w:bookmarkEnd w:id="389"/>
      <w:bookmarkEnd w:id="390"/>
      <w:bookmarkEnd w:id="391"/>
    </w:p>
    <w:p w14:paraId="173B20B4">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目前</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市生态环境局炎陵分局现状监测监控能力须进一步提高。在以各企业监控平台、在线监控中心、大气自动监测区域及地表水常规断面及交界断面监测等污染源、风险源、环境质量监控平台</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缺少数字化、信息化的监测预警平台。</w:t>
      </w:r>
    </w:p>
    <w:p w14:paraId="54D9A9B4">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92" w:name="_Toc7815"/>
      <w:bookmarkStart w:id="393" w:name="_Toc27552294"/>
      <w:bookmarkStart w:id="394" w:name="_Toc1548"/>
      <w:bookmarkStart w:id="395" w:name="_Toc26530"/>
      <w:bookmarkStart w:id="396" w:name="_Toc10360"/>
      <w:bookmarkStart w:id="397" w:name="_Toc18880"/>
      <w:r>
        <w:rPr>
          <w:rFonts w:ascii="Times New Roman" w:hAnsi="Times New Roman" w:eastAsia="宋体" w:cs="Times New Roman"/>
          <w:b/>
          <w:bCs/>
          <w:snapToGrid/>
          <w:color w:val="auto"/>
          <w:kern w:val="2"/>
          <w:sz w:val="24"/>
          <w:szCs w:val="32"/>
          <w:lang w:eastAsia="zh-CN"/>
        </w:rPr>
        <w:t>6.3.4 环境应急预案管理</w:t>
      </w:r>
      <w:bookmarkEnd w:id="392"/>
      <w:bookmarkEnd w:id="393"/>
      <w:bookmarkEnd w:id="394"/>
      <w:bookmarkEnd w:id="395"/>
      <w:bookmarkEnd w:id="396"/>
      <w:bookmarkEnd w:id="397"/>
    </w:p>
    <w:p w14:paraId="0304BD3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0"/>
          <w:lang w:eastAsia="zh-CN"/>
        </w:rPr>
        <w:t>根据企业已备案的应急预案资料</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炎陵县内重点环境风险企业均按要求编制了环境风险应急预案</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各企业储罐区均建立了相应的围堰</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并按要求建有足够存放事故废水的事故应急池</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配备了安全生产、危化品和环境污染等事故应急队伍、装备、物资和设施</w:t>
      </w:r>
      <w:r>
        <w:rPr>
          <w:rFonts w:hint="eastAsia" w:ascii="Times New Roman" w:hAnsi="Times New Roman" w:eastAsia="宋体" w:cs="Times New Roman"/>
          <w:snapToGrid/>
          <w:color w:val="auto"/>
          <w:kern w:val="2"/>
          <w:sz w:val="24"/>
          <w:szCs w:val="20"/>
          <w:lang w:eastAsia="zh-CN"/>
        </w:rPr>
        <w:t>，</w:t>
      </w:r>
      <w:r>
        <w:rPr>
          <w:rFonts w:ascii="Times New Roman" w:hAnsi="Times New Roman" w:eastAsia="宋体" w:cs="Times New Roman"/>
          <w:snapToGrid/>
          <w:color w:val="auto"/>
          <w:kern w:val="2"/>
          <w:sz w:val="24"/>
          <w:szCs w:val="20"/>
          <w:lang w:eastAsia="zh-CN"/>
        </w:rPr>
        <w:t>并进行定期培训和演练。</w:t>
      </w:r>
    </w:p>
    <w:p w14:paraId="1F1FEA2F">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398" w:name="_Toc19951"/>
      <w:bookmarkStart w:id="399" w:name="_Toc21647"/>
      <w:bookmarkStart w:id="400" w:name="_Toc1083"/>
      <w:bookmarkStart w:id="401" w:name="_Toc17704"/>
      <w:bookmarkStart w:id="402" w:name="_Toc27552295"/>
      <w:bookmarkStart w:id="403" w:name="_Toc21035"/>
      <w:r>
        <w:rPr>
          <w:rFonts w:ascii="Times New Roman" w:hAnsi="Times New Roman" w:eastAsia="宋体" w:cs="Times New Roman"/>
          <w:b/>
          <w:bCs/>
          <w:snapToGrid/>
          <w:color w:val="auto"/>
          <w:kern w:val="2"/>
          <w:sz w:val="24"/>
          <w:szCs w:val="32"/>
          <w:lang w:eastAsia="zh-CN"/>
        </w:rPr>
        <w:t>6.3.5 环境应急队伍建设</w:t>
      </w:r>
      <w:bookmarkEnd w:id="398"/>
      <w:bookmarkEnd w:id="399"/>
      <w:bookmarkEnd w:id="400"/>
      <w:bookmarkEnd w:id="401"/>
      <w:bookmarkEnd w:id="402"/>
      <w:bookmarkEnd w:id="403"/>
    </w:p>
    <w:p w14:paraId="66AA773F">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（1）内部救援力量</w:t>
      </w:r>
    </w:p>
    <w:p w14:paraId="2DCF40B2">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根据企业应急预案</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企业组建了应急救援组</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并明确事故状态下各人员的具体职责和任务</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在发生突发环境事件时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在统一指挥下</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快速、有序、高效地展开应急处置行动</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尽快处置事故</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使事故的危害降到最低。</w:t>
      </w:r>
    </w:p>
    <w:p w14:paraId="3DF5526B">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（2）外部救援力量</w:t>
      </w:r>
    </w:p>
    <w:p w14:paraId="1CF1E7A1">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请求政府协调应急救援力量。当事故扩大需要外部力量救援时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按照炎陵县突发环境事件应急预案的程序</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可以发布支援命令</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调动相关政府部门进行全力支持和救护</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主要参与部门有：</w:t>
      </w:r>
    </w:p>
    <w:p w14:paraId="403C996E">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公安部门协助企业进行警戒</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封锁相关要道</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防止无关人员进入事故现场和污染区。</w:t>
      </w:r>
    </w:p>
    <w:p w14:paraId="558266C7">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消防队发生突发环境事故时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进行遇险人员的救护。</w:t>
      </w:r>
    </w:p>
    <w:p w14:paraId="0C909D68">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生态环境部门提供事故时的实时监测和污染区的善后处理建议。</w:t>
      </w:r>
    </w:p>
    <w:p w14:paraId="106354C6">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医疗单位提供伤员治疗服务和现场救护需要的药品和人员。</w:t>
      </w:r>
    </w:p>
    <w:p w14:paraId="1FFBEF66">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04" w:name="_Toc27552296"/>
      <w:bookmarkStart w:id="405" w:name="_Toc17379"/>
      <w:bookmarkStart w:id="406" w:name="_Toc21880"/>
      <w:bookmarkStart w:id="407" w:name="_Toc22201"/>
      <w:bookmarkStart w:id="408" w:name="_Toc18347"/>
      <w:bookmarkStart w:id="409" w:name="_Toc20655"/>
      <w:r>
        <w:rPr>
          <w:rFonts w:ascii="Times New Roman" w:hAnsi="Times New Roman" w:eastAsia="宋体" w:cs="Times New Roman"/>
          <w:b/>
          <w:bCs/>
          <w:snapToGrid/>
          <w:color w:val="auto"/>
          <w:kern w:val="2"/>
          <w:sz w:val="24"/>
          <w:szCs w:val="32"/>
          <w:lang w:eastAsia="zh-CN"/>
        </w:rPr>
        <w:t>6.3.6 环境应急物资储备</w:t>
      </w:r>
      <w:bookmarkEnd w:id="404"/>
      <w:bookmarkEnd w:id="405"/>
      <w:bookmarkEnd w:id="406"/>
      <w:bookmarkEnd w:id="407"/>
      <w:bookmarkEnd w:id="408"/>
      <w:bookmarkEnd w:id="409"/>
    </w:p>
    <w:p w14:paraId="3270B7A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炎陵县内企业发生突发环境事件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事发企业应开展先期处置。炎陵县内企业配备有相当的环境应急物资和设施。</w:t>
      </w:r>
    </w:p>
    <w:p w14:paraId="28A29F6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炎陵</w:t>
      </w:r>
      <w:r>
        <w:rPr>
          <w:rFonts w:hint="eastAsia" w:ascii="Times New Roman" w:hAnsi="Times New Roman" w:eastAsia="宋体" w:cs="Times New Roman"/>
          <w:snapToGrid/>
          <w:color w:val="auto"/>
          <w:kern w:val="2"/>
          <w:sz w:val="24"/>
          <w:szCs w:val="22"/>
          <w:lang w:eastAsia="zh-CN"/>
        </w:rPr>
        <w:t>县人民政府</w:t>
      </w:r>
      <w:r>
        <w:rPr>
          <w:rFonts w:ascii="Times New Roman" w:hAnsi="Times New Roman" w:eastAsia="宋体" w:cs="Times New Roman"/>
          <w:snapToGrid/>
          <w:color w:val="auto"/>
          <w:kern w:val="2"/>
          <w:sz w:val="24"/>
          <w:szCs w:val="22"/>
          <w:lang w:eastAsia="zh-CN"/>
        </w:rPr>
        <w:t>配备了一定的环境应急物资</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对于一般突发环境事件按照有关规定启动《炎陵县突发环境事件应急预案》；对于发生超出炎陵</w:t>
      </w:r>
      <w:r>
        <w:rPr>
          <w:rFonts w:hint="eastAsia" w:ascii="Times New Roman" w:hAnsi="Times New Roman" w:eastAsia="宋体" w:cs="Times New Roman"/>
          <w:snapToGrid/>
          <w:color w:val="auto"/>
          <w:kern w:val="2"/>
          <w:sz w:val="24"/>
          <w:szCs w:val="22"/>
          <w:lang w:eastAsia="zh-CN"/>
        </w:rPr>
        <w:t>县人民政府</w:t>
      </w:r>
      <w:r>
        <w:rPr>
          <w:rFonts w:ascii="Times New Roman" w:hAnsi="Times New Roman" w:eastAsia="宋体" w:cs="Times New Roman"/>
          <w:snapToGrid/>
          <w:color w:val="auto"/>
          <w:kern w:val="2"/>
          <w:sz w:val="24"/>
          <w:szCs w:val="22"/>
          <w:lang w:eastAsia="zh-CN"/>
        </w:rPr>
        <w:t>应对能力的较大及以上突发环境事件</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由炎陵县突发环境事件应急指挥部报请启动株洲市突发环境事件应急预案。</w:t>
      </w:r>
    </w:p>
    <w:p w14:paraId="66060A2E">
      <w:pPr>
        <w:widowControl w:val="0"/>
        <w:kinsoku/>
        <w:autoSpaceDE/>
        <w:autoSpaceDN/>
        <w:spacing w:line="360" w:lineRule="auto"/>
        <w:textAlignment w:val="auto"/>
        <w:rPr>
          <w:rFonts w:ascii="Times New Roman" w:hAnsi="Times New Roman" w:eastAsia="宋体" w:cs="Times New Roman"/>
          <w:color w:val="auto"/>
          <w:lang w:eastAsia="zh-CN"/>
        </w:rPr>
        <w:sectPr>
          <w:pgSz w:w="11906" w:h="16838"/>
          <w:pgMar w:top="1984" w:right="1474" w:bottom="1871" w:left="1587" w:header="851" w:footer="1587" w:gutter="0"/>
          <w:cols w:space="720" w:num="1"/>
          <w:titlePg/>
          <w:docGrid w:linePitch="312" w:charSpace="0"/>
        </w:sectPr>
      </w:pPr>
    </w:p>
    <w:p w14:paraId="1B655388">
      <w:pPr>
        <w:keepNext/>
        <w:keepLines/>
        <w:widowControl w:val="0"/>
        <w:kinsoku/>
        <w:autoSpaceDE/>
        <w:autoSpaceDN/>
        <w:adjustRightInd/>
        <w:snapToGrid/>
        <w:spacing w:line="360" w:lineRule="auto"/>
        <w:jc w:val="both"/>
        <w:textAlignment w:val="auto"/>
        <w:outlineLvl w:val="0"/>
        <w:rPr>
          <w:rFonts w:ascii="Times New Roman" w:hAnsi="Times New Roman" w:eastAsia="宋体" w:cs="Times New Roman"/>
          <w:b/>
          <w:bCs/>
          <w:snapToGrid/>
          <w:color w:val="auto"/>
          <w:kern w:val="44"/>
          <w:sz w:val="32"/>
          <w:szCs w:val="44"/>
          <w:lang w:eastAsia="zh-CN"/>
        </w:rPr>
      </w:pPr>
      <w:bookmarkStart w:id="410" w:name="_Toc10892"/>
      <w:bookmarkStart w:id="411" w:name="_Toc18699"/>
      <w:bookmarkStart w:id="412" w:name="_Toc25342"/>
      <w:bookmarkStart w:id="413" w:name="_Toc24027"/>
      <w:bookmarkStart w:id="414" w:name="_Toc27552297"/>
      <w:bookmarkStart w:id="415" w:name="_Toc13451"/>
      <w:r>
        <w:rPr>
          <w:rFonts w:ascii="Times New Roman" w:hAnsi="Times New Roman" w:eastAsia="宋体" w:cs="Times New Roman"/>
          <w:b/>
          <w:bCs/>
          <w:snapToGrid/>
          <w:color w:val="auto"/>
          <w:kern w:val="44"/>
          <w:sz w:val="32"/>
          <w:szCs w:val="44"/>
          <w:lang w:eastAsia="zh-CN"/>
        </w:rPr>
        <w:t>7  行政区域环境风险管理措施建议</w:t>
      </w:r>
      <w:bookmarkEnd w:id="410"/>
      <w:bookmarkEnd w:id="411"/>
      <w:bookmarkEnd w:id="412"/>
      <w:bookmarkEnd w:id="413"/>
      <w:bookmarkEnd w:id="414"/>
      <w:bookmarkEnd w:id="415"/>
    </w:p>
    <w:p w14:paraId="5734A916">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416" w:name="_Toc27682"/>
      <w:bookmarkStart w:id="417" w:name="_Toc5968"/>
      <w:bookmarkStart w:id="418" w:name="_Toc20522"/>
      <w:bookmarkStart w:id="419" w:name="_Toc27552298"/>
      <w:bookmarkStart w:id="420" w:name="_Toc15007"/>
      <w:bookmarkStart w:id="421" w:name="_Toc20858"/>
      <w:r>
        <w:rPr>
          <w:rFonts w:ascii="Times New Roman" w:hAnsi="Times New Roman" w:eastAsia="宋体" w:cs="Times New Roman"/>
          <w:b/>
          <w:bCs/>
          <w:snapToGrid/>
          <w:color w:val="auto"/>
          <w:kern w:val="2"/>
          <w:sz w:val="30"/>
          <w:szCs w:val="32"/>
          <w:lang w:eastAsia="zh-CN"/>
        </w:rPr>
        <w:t>7.1 优先管控对象清单</w:t>
      </w:r>
      <w:bookmarkEnd w:id="416"/>
      <w:bookmarkEnd w:id="417"/>
      <w:bookmarkEnd w:id="418"/>
      <w:bookmarkEnd w:id="419"/>
      <w:bookmarkEnd w:id="420"/>
      <w:bookmarkEnd w:id="421"/>
    </w:p>
    <w:p w14:paraId="7FD3E712">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22" w:name="_Toc27552299"/>
      <w:bookmarkStart w:id="423" w:name="_Toc15138"/>
      <w:bookmarkStart w:id="424" w:name="_Toc12439"/>
      <w:bookmarkStart w:id="425" w:name="_Toc4985"/>
      <w:bookmarkStart w:id="426" w:name="_Toc15011"/>
      <w:bookmarkStart w:id="427" w:name="_Toc12858"/>
      <w:r>
        <w:rPr>
          <w:rFonts w:ascii="Times New Roman" w:hAnsi="Times New Roman" w:eastAsia="宋体" w:cs="Times New Roman"/>
          <w:b/>
          <w:bCs/>
          <w:snapToGrid/>
          <w:color w:val="auto"/>
          <w:kern w:val="2"/>
          <w:sz w:val="24"/>
          <w:szCs w:val="32"/>
          <w:lang w:eastAsia="zh-CN"/>
        </w:rPr>
        <w:t>7.1.1 重点环境风险源清单</w:t>
      </w:r>
      <w:bookmarkEnd w:id="422"/>
      <w:bookmarkEnd w:id="423"/>
      <w:bookmarkEnd w:id="424"/>
      <w:bookmarkEnd w:id="425"/>
      <w:bookmarkEnd w:id="426"/>
      <w:bookmarkEnd w:id="427"/>
    </w:p>
    <w:p w14:paraId="4129B375">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根据环境风险源识别的结果</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将其中风险较大及以上环境风险源作为重点管控风险源</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列入重点环境风险源管控清单里</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共</w:t>
      </w:r>
      <w:r>
        <w:rPr>
          <w:rFonts w:hint="eastAsia" w:ascii="Times New Roman" w:hAnsi="Times New Roman" w:eastAsia="宋体" w:cs="Times New Roman"/>
          <w:snapToGrid/>
          <w:color w:val="auto"/>
          <w:kern w:val="2"/>
          <w:sz w:val="24"/>
          <w:szCs w:val="22"/>
          <w:lang w:eastAsia="zh-CN"/>
        </w:rPr>
        <w:t>2</w:t>
      </w:r>
      <w:r>
        <w:rPr>
          <w:rFonts w:ascii="Times New Roman" w:hAnsi="Times New Roman" w:eastAsia="宋体" w:cs="Times New Roman"/>
          <w:snapToGrid/>
          <w:color w:val="auto"/>
          <w:kern w:val="2"/>
          <w:sz w:val="24"/>
          <w:szCs w:val="22"/>
          <w:lang w:eastAsia="zh-CN"/>
        </w:rPr>
        <w:t>家。</w:t>
      </w:r>
    </w:p>
    <w:p w14:paraId="5866A020">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28" w:name="_Toc27552300"/>
      <w:bookmarkStart w:id="429" w:name="_Toc9034"/>
      <w:bookmarkStart w:id="430" w:name="_Toc27890"/>
      <w:bookmarkStart w:id="431" w:name="_Toc5151"/>
      <w:bookmarkStart w:id="432" w:name="_Toc13304"/>
      <w:bookmarkStart w:id="433" w:name="_Toc12297"/>
      <w:r>
        <w:rPr>
          <w:rFonts w:ascii="Times New Roman" w:hAnsi="Times New Roman" w:eastAsia="宋体" w:cs="Times New Roman"/>
          <w:b/>
          <w:bCs/>
          <w:snapToGrid/>
          <w:color w:val="auto"/>
          <w:kern w:val="2"/>
          <w:sz w:val="24"/>
          <w:szCs w:val="32"/>
          <w:lang w:eastAsia="zh-CN"/>
        </w:rPr>
        <w:t>7.1.2 重点环境风险受体清单</w:t>
      </w:r>
      <w:bookmarkEnd w:id="428"/>
      <w:bookmarkEnd w:id="429"/>
      <w:bookmarkEnd w:id="430"/>
      <w:bookmarkEnd w:id="431"/>
      <w:bookmarkEnd w:id="432"/>
      <w:bookmarkEnd w:id="433"/>
    </w:p>
    <w:p w14:paraId="6240F02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2"/>
          <w:lang w:eastAsia="zh-CN"/>
        </w:rPr>
      </w:pPr>
      <w:r>
        <w:rPr>
          <w:rFonts w:ascii="Times New Roman" w:hAnsi="Times New Roman" w:eastAsia="宋体" w:cs="Times New Roman"/>
          <w:snapToGrid/>
          <w:color w:val="auto"/>
          <w:kern w:val="2"/>
          <w:sz w:val="24"/>
          <w:szCs w:val="22"/>
          <w:lang w:eastAsia="zh-CN"/>
        </w:rPr>
        <w:t>根据网格化环境风险分析</w:t>
      </w:r>
      <w:r>
        <w:rPr>
          <w:rFonts w:hint="eastAsia" w:ascii="Times New Roman" w:hAnsi="Times New Roman" w:eastAsia="宋体" w:cs="Times New Roman"/>
          <w:snapToGrid/>
          <w:color w:val="auto"/>
          <w:kern w:val="2"/>
          <w:sz w:val="24"/>
          <w:szCs w:val="22"/>
          <w:lang w:eastAsia="zh-CN"/>
        </w:rPr>
        <w:t>，</w:t>
      </w:r>
      <w:r>
        <w:rPr>
          <w:rFonts w:ascii="Times New Roman" w:hAnsi="Times New Roman" w:eastAsia="宋体" w:cs="Times New Roman"/>
          <w:snapToGrid/>
          <w:color w:val="auto"/>
          <w:kern w:val="2"/>
          <w:sz w:val="24"/>
          <w:szCs w:val="22"/>
          <w:lang w:eastAsia="zh-CN"/>
        </w:rPr>
        <w:t>炎陵县无较高及以上等级的水环境或大气环境风险区域。</w:t>
      </w:r>
    </w:p>
    <w:p w14:paraId="3B91EDEA">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434" w:name="_Toc29890"/>
      <w:bookmarkStart w:id="435" w:name="_Toc8936"/>
      <w:bookmarkStart w:id="436" w:name="_Toc8391"/>
      <w:bookmarkStart w:id="437" w:name="_Toc27552302"/>
      <w:bookmarkStart w:id="438" w:name="_Toc2939"/>
      <w:bookmarkStart w:id="439" w:name="_Toc13417"/>
      <w:r>
        <w:rPr>
          <w:rFonts w:ascii="Times New Roman" w:hAnsi="Times New Roman" w:eastAsia="宋体" w:cs="Times New Roman"/>
          <w:b/>
          <w:bCs/>
          <w:snapToGrid/>
          <w:color w:val="auto"/>
          <w:kern w:val="2"/>
          <w:sz w:val="30"/>
          <w:szCs w:val="32"/>
          <w:lang w:eastAsia="zh-CN"/>
        </w:rPr>
        <w:t>7.2 区域环境风险空间布局优化</w:t>
      </w:r>
      <w:bookmarkEnd w:id="434"/>
      <w:bookmarkEnd w:id="435"/>
      <w:bookmarkEnd w:id="436"/>
      <w:bookmarkEnd w:id="437"/>
      <w:bookmarkEnd w:id="438"/>
      <w:bookmarkEnd w:id="439"/>
    </w:p>
    <w:p w14:paraId="56D4BF8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炎陵县危险源的规划布局应遵循以下几个原则：</w:t>
      </w:r>
    </w:p>
    <w:p w14:paraId="5A144F3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（1）系统功能和减少风险优化组合</w:t>
      </w:r>
    </w:p>
    <w:p w14:paraId="6CC46F6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区域危险源的规划布局是一项安全系统工程</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要根据规划区的环境条件、系统间的相互依赖和制约关系</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优化布局。</w:t>
      </w:r>
    </w:p>
    <w:p w14:paraId="3361341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（2）保护人群</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以人为本</w:t>
      </w:r>
    </w:p>
    <w:p w14:paraId="445E042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区域危险源规划布局</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要充分考虑到保护区内和周围居民安全</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一旦出现突发事件时</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对人员造成的伤害最小。重大危险源</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如危险废物的储罐区</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应规划在远离人群位置</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规划在非主导风向的上风向</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总体上区域风向频率和风速条件是有利的位置</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同时</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应加强对引进企业的审查。</w:t>
      </w:r>
    </w:p>
    <w:p w14:paraId="2C60CDFD">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440" w:name="_Toc24197"/>
      <w:bookmarkStart w:id="441" w:name="_Toc29481"/>
      <w:bookmarkStart w:id="442" w:name="_Toc27552303"/>
      <w:bookmarkStart w:id="443" w:name="_Toc21662"/>
      <w:bookmarkStart w:id="444" w:name="_Toc12688"/>
      <w:bookmarkStart w:id="445" w:name="_Toc1325"/>
      <w:r>
        <w:rPr>
          <w:rFonts w:ascii="Times New Roman" w:hAnsi="Times New Roman" w:eastAsia="宋体" w:cs="Times New Roman"/>
          <w:b/>
          <w:bCs/>
          <w:snapToGrid/>
          <w:color w:val="auto"/>
          <w:kern w:val="2"/>
          <w:sz w:val="30"/>
          <w:szCs w:val="32"/>
          <w:lang w:eastAsia="zh-CN"/>
        </w:rPr>
        <w:t>7.3 区域环境风险防控和应急救援能力建设</w:t>
      </w:r>
      <w:bookmarkEnd w:id="440"/>
      <w:bookmarkEnd w:id="441"/>
      <w:bookmarkEnd w:id="442"/>
      <w:bookmarkEnd w:id="443"/>
      <w:bookmarkEnd w:id="444"/>
      <w:bookmarkEnd w:id="445"/>
    </w:p>
    <w:p w14:paraId="217C1A4E">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46" w:name="_Toc27552304"/>
      <w:bookmarkStart w:id="447" w:name="_Toc27429"/>
      <w:bookmarkStart w:id="448" w:name="_Toc1335"/>
      <w:bookmarkStart w:id="449" w:name="_Toc9189"/>
      <w:bookmarkStart w:id="450" w:name="_Toc20531"/>
      <w:bookmarkStart w:id="451" w:name="_Toc27422"/>
      <w:r>
        <w:rPr>
          <w:rFonts w:ascii="Times New Roman" w:hAnsi="Times New Roman" w:eastAsia="宋体" w:cs="Times New Roman"/>
          <w:b/>
          <w:bCs/>
          <w:snapToGrid/>
          <w:color w:val="auto"/>
          <w:kern w:val="2"/>
          <w:sz w:val="24"/>
          <w:szCs w:val="32"/>
          <w:lang w:eastAsia="zh-CN"/>
        </w:rPr>
        <w:t>7.3.1 环境监测预警</w:t>
      </w:r>
      <w:bookmarkEnd w:id="446"/>
      <w:bookmarkEnd w:id="447"/>
      <w:bookmarkEnd w:id="448"/>
      <w:bookmarkEnd w:id="449"/>
      <w:bookmarkEnd w:id="450"/>
      <w:bookmarkEnd w:id="451"/>
    </w:p>
    <w:p w14:paraId="3904FEB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目前</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炎陵县环境监测预警能力尚不能完全满足应急需要</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建议按《全国环境监测站建设标准》中的相关级别要求配备满足应急监测需要的人员、仪器等</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不断加强对重要特征污染物的监测能力并按有关要求开展应急监测</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建设有毒有害气体监控预警设施</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并具备有毒有害气体实时分析预警能力</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提高水和大气环境应急监测预警能力。</w:t>
      </w:r>
    </w:p>
    <w:p w14:paraId="5348A762">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建议收集相应的环境风险系统信息</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并建立环境风险系统信息档案</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建设风险监控及预警平台</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对企业重大危险源进行实时监控</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积极开展环境风险和环境应急管理宣传、培训</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定期组织应急演练。</w:t>
      </w:r>
    </w:p>
    <w:p w14:paraId="4D31B195">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52" w:name="_Toc27673"/>
      <w:bookmarkStart w:id="453" w:name="_Toc13972"/>
      <w:bookmarkStart w:id="454" w:name="_Toc21303"/>
      <w:bookmarkStart w:id="455" w:name="_Toc20003"/>
      <w:bookmarkStart w:id="456" w:name="_Toc6847"/>
      <w:bookmarkStart w:id="457" w:name="_Toc27552305"/>
      <w:r>
        <w:rPr>
          <w:rFonts w:ascii="Times New Roman" w:hAnsi="Times New Roman" w:eastAsia="宋体" w:cs="Times New Roman"/>
          <w:b/>
          <w:bCs/>
          <w:snapToGrid/>
          <w:color w:val="auto"/>
          <w:kern w:val="2"/>
          <w:sz w:val="24"/>
          <w:szCs w:val="32"/>
          <w:lang w:eastAsia="zh-CN"/>
        </w:rPr>
        <w:t>7.3.2 环境应急防护工程</w:t>
      </w:r>
      <w:bookmarkEnd w:id="452"/>
      <w:bookmarkEnd w:id="453"/>
      <w:bookmarkEnd w:id="454"/>
      <w:bookmarkEnd w:id="455"/>
      <w:bookmarkEnd w:id="456"/>
      <w:bookmarkEnd w:id="457"/>
    </w:p>
    <w:p w14:paraId="469FF55D">
      <w:pPr>
        <w:widowControl w:val="0"/>
        <w:kinsoku/>
        <w:autoSpaceDE/>
        <w:autoSpaceDN/>
        <w:adjustRightInd/>
        <w:snapToGrid/>
        <w:spacing w:line="360" w:lineRule="auto"/>
        <w:ind w:firstLine="56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炎陵县内大部分重点环境风险企业按要求编制了环境风险应急预案</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各企业储罐区均建立了相应的围堰</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并按要求建有足够存放事故废水的事故应急池。配备了安全生产、危化品和环境污染等事故应急队伍、装备、物资和设施</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并进行日常培训和演练。</w:t>
      </w:r>
    </w:p>
    <w:p w14:paraId="1D216342">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58" w:name="_Toc27552306"/>
      <w:bookmarkStart w:id="459" w:name="_Toc8832"/>
      <w:bookmarkStart w:id="460" w:name="_Toc17367"/>
      <w:bookmarkStart w:id="461" w:name="_Toc29894"/>
      <w:bookmarkStart w:id="462" w:name="_Toc2517"/>
      <w:bookmarkStart w:id="463" w:name="_Toc13425"/>
      <w:r>
        <w:rPr>
          <w:rFonts w:ascii="Times New Roman" w:hAnsi="Times New Roman" w:eastAsia="宋体" w:cs="Times New Roman"/>
          <w:b/>
          <w:bCs/>
          <w:snapToGrid/>
          <w:color w:val="auto"/>
          <w:kern w:val="2"/>
          <w:sz w:val="24"/>
          <w:szCs w:val="32"/>
          <w:lang w:eastAsia="zh-CN"/>
        </w:rPr>
        <w:t>7.3.3 环境应急队伍建设</w:t>
      </w:r>
      <w:bookmarkEnd w:id="458"/>
      <w:bookmarkEnd w:id="459"/>
      <w:bookmarkEnd w:id="460"/>
      <w:bookmarkEnd w:id="461"/>
      <w:bookmarkEnd w:id="462"/>
      <w:bookmarkEnd w:id="463"/>
    </w:p>
    <w:p w14:paraId="77301A5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建议炎陵县内企业加强环境应急队伍的应急技能培训</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并适时开展应急演练</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提高实际应急处置能力；对于专职救援人员（企业消防队等）</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应加强环境应急相关理论和实践的教育和培训。</w:t>
      </w:r>
    </w:p>
    <w:p w14:paraId="3FA2FFB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建议市生态环境局炎陵分局相关人员积极参加环境应急管理培训</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健全环境应急管理机构等</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并加强与其他各职能部门的沟通联系</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完善市突发环境事件应急组织体系。</w:t>
      </w:r>
    </w:p>
    <w:p w14:paraId="355DF355">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64" w:name="_Toc27552307"/>
      <w:bookmarkStart w:id="465" w:name="_Toc16568"/>
      <w:bookmarkStart w:id="466" w:name="_Toc4353"/>
      <w:bookmarkStart w:id="467" w:name="_Toc20906"/>
      <w:bookmarkStart w:id="468" w:name="_Toc24937"/>
      <w:bookmarkStart w:id="469" w:name="_Toc13069"/>
      <w:r>
        <w:rPr>
          <w:rFonts w:ascii="Times New Roman" w:hAnsi="Times New Roman" w:eastAsia="宋体" w:cs="Times New Roman"/>
          <w:b/>
          <w:bCs/>
          <w:snapToGrid/>
          <w:color w:val="auto"/>
          <w:kern w:val="2"/>
          <w:sz w:val="24"/>
          <w:szCs w:val="32"/>
          <w:lang w:eastAsia="zh-CN"/>
        </w:rPr>
        <w:t>7.3.4 环境应急物资储备</w:t>
      </w:r>
      <w:bookmarkEnd w:id="464"/>
      <w:bookmarkEnd w:id="465"/>
      <w:bookmarkEnd w:id="466"/>
      <w:bookmarkEnd w:id="467"/>
      <w:bookmarkEnd w:id="468"/>
      <w:bookmarkEnd w:id="469"/>
    </w:p>
    <w:p w14:paraId="3119EA5B">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炎陵县企业配备有相应的环境应急物资和设施；建议炎陵县内企业进一步补充完善环境应急物资的配置</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并及时更新。</w:t>
      </w:r>
    </w:p>
    <w:p w14:paraId="0705BE5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建议市生态环境局炎陵分局加强对炎陵县内企业环境应急物资配备情况的检查</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督促企业不断完善和更新储备物资</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并恰当增加自身环境应急物资的配备；建议市生态环境局炎陵分局建立环境应急资源信息数据库</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提高区域综合保障能力。</w:t>
      </w:r>
    </w:p>
    <w:p w14:paraId="1E3F5FE7">
      <w:pPr>
        <w:keepNext/>
        <w:keepLines/>
        <w:widowControl w:val="0"/>
        <w:kinsoku/>
        <w:autoSpaceDE/>
        <w:autoSpaceDN/>
        <w:adjustRightInd/>
        <w:snapToGrid/>
        <w:spacing w:line="360" w:lineRule="auto"/>
        <w:jc w:val="both"/>
        <w:textAlignment w:val="auto"/>
        <w:outlineLvl w:val="2"/>
        <w:rPr>
          <w:rFonts w:ascii="Times New Roman" w:hAnsi="Times New Roman" w:eastAsia="宋体" w:cs="Times New Roman"/>
          <w:b/>
          <w:bCs/>
          <w:snapToGrid/>
          <w:color w:val="auto"/>
          <w:kern w:val="2"/>
          <w:sz w:val="24"/>
          <w:szCs w:val="32"/>
          <w:lang w:eastAsia="zh-CN"/>
        </w:rPr>
      </w:pPr>
      <w:bookmarkStart w:id="470" w:name="_Toc20798"/>
      <w:bookmarkStart w:id="471" w:name="_Toc21653"/>
      <w:bookmarkStart w:id="472" w:name="_Toc30479"/>
      <w:bookmarkStart w:id="473" w:name="_Toc16131"/>
      <w:bookmarkStart w:id="474" w:name="_Toc27552308"/>
      <w:bookmarkStart w:id="475" w:name="_Toc16592"/>
      <w:r>
        <w:rPr>
          <w:rFonts w:ascii="Times New Roman" w:hAnsi="Times New Roman" w:eastAsia="宋体" w:cs="Times New Roman"/>
          <w:b/>
          <w:bCs/>
          <w:snapToGrid/>
          <w:color w:val="auto"/>
          <w:kern w:val="2"/>
          <w:sz w:val="24"/>
          <w:szCs w:val="32"/>
          <w:lang w:eastAsia="zh-CN"/>
        </w:rPr>
        <w:t>7.3.5 环境应急联动机制建设</w:t>
      </w:r>
      <w:bookmarkEnd w:id="470"/>
      <w:bookmarkEnd w:id="471"/>
      <w:bookmarkEnd w:id="472"/>
      <w:bookmarkEnd w:id="473"/>
      <w:bookmarkEnd w:id="474"/>
      <w:bookmarkEnd w:id="475"/>
    </w:p>
    <w:p w14:paraId="2D7FE48B">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建议在市生态环境局炎陵分局的统一部署和协调下</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加强炎陵县突发环境事件区域联防联控演练</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市生态环境局炎陵分局应主动配合促成联防联控的有效落实</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加强与周边区县可提供应急援助的单位、部门的应急联动能力</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确保事故状态下</w:t>
      </w:r>
      <w:r>
        <w:rPr>
          <w:rFonts w:hint="eastAsia" w:ascii="Times New Roman" w:hAnsi="Times New Roman" w:eastAsia="宋体" w:cs="Times New Roman"/>
          <w:snapToGrid/>
          <w:color w:val="auto"/>
          <w:kern w:val="2"/>
          <w:sz w:val="24"/>
          <w:szCs w:val="24"/>
          <w:lang w:eastAsia="zh-CN"/>
        </w:rPr>
        <w:t>场区应急</w:t>
      </w:r>
      <w:r>
        <w:rPr>
          <w:rFonts w:ascii="Times New Roman" w:hAnsi="Times New Roman" w:eastAsia="宋体" w:cs="Times New Roman"/>
          <w:snapToGrid/>
          <w:color w:val="auto"/>
          <w:kern w:val="2"/>
          <w:sz w:val="24"/>
          <w:szCs w:val="24"/>
          <w:lang w:eastAsia="zh-CN"/>
        </w:rPr>
        <w:t>资源的及时到位。</w:t>
      </w:r>
    </w:p>
    <w:p w14:paraId="33E0C65E">
      <w:pPr>
        <w:keepNext/>
        <w:keepLines/>
        <w:widowControl w:val="0"/>
        <w:kinsoku/>
        <w:autoSpaceDE/>
        <w:autoSpaceDN/>
        <w:adjustRightInd/>
        <w:snapToGrid/>
        <w:spacing w:line="360" w:lineRule="auto"/>
        <w:jc w:val="both"/>
        <w:textAlignment w:val="auto"/>
        <w:outlineLvl w:val="1"/>
        <w:rPr>
          <w:rFonts w:ascii="Times New Roman" w:hAnsi="Times New Roman" w:eastAsia="宋体" w:cs="Times New Roman"/>
          <w:b/>
          <w:bCs/>
          <w:snapToGrid/>
          <w:color w:val="auto"/>
          <w:kern w:val="2"/>
          <w:sz w:val="30"/>
          <w:szCs w:val="32"/>
          <w:lang w:eastAsia="zh-CN"/>
        </w:rPr>
      </w:pPr>
      <w:bookmarkStart w:id="476" w:name="_Toc26315"/>
      <w:bookmarkStart w:id="477" w:name="_Toc904"/>
      <w:bookmarkStart w:id="478" w:name="_Toc31851"/>
      <w:bookmarkStart w:id="479" w:name="_Toc27552309"/>
      <w:bookmarkStart w:id="480" w:name="_Toc29878"/>
      <w:bookmarkStart w:id="481" w:name="_Toc4200"/>
      <w:r>
        <w:rPr>
          <w:rFonts w:ascii="Times New Roman" w:hAnsi="Times New Roman" w:eastAsia="宋体" w:cs="Times New Roman"/>
          <w:b/>
          <w:bCs/>
          <w:snapToGrid/>
          <w:color w:val="auto"/>
          <w:kern w:val="2"/>
          <w:sz w:val="30"/>
          <w:szCs w:val="32"/>
          <w:lang w:eastAsia="zh-CN"/>
        </w:rPr>
        <w:t>7.4 区域突发环境事件应急预案管理</w:t>
      </w:r>
      <w:bookmarkEnd w:id="476"/>
      <w:bookmarkEnd w:id="477"/>
      <w:bookmarkEnd w:id="478"/>
      <w:bookmarkEnd w:id="479"/>
      <w:bookmarkEnd w:id="480"/>
      <w:bookmarkEnd w:id="481"/>
    </w:p>
    <w:p w14:paraId="65E85B3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bookmarkStart w:id="482" w:name="_Toc2153177"/>
      <w:r>
        <w:rPr>
          <w:rFonts w:ascii="Times New Roman" w:hAnsi="Times New Roman" w:eastAsia="宋体" w:cs="Times New Roman"/>
          <w:snapToGrid/>
          <w:color w:val="auto"/>
          <w:kern w:val="2"/>
          <w:sz w:val="24"/>
          <w:szCs w:val="24"/>
          <w:lang w:eastAsia="zh-CN"/>
        </w:rPr>
        <w:t>（1）企业环境应急预案</w:t>
      </w:r>
      <w:bookmarkEnd w:id="482"/>
      <w:r>
        <w:rPr>
          <w:rFonts w:ascii="Times New Roman" w:hAnsi="Times New Roman" w:eastAsia="宋体" w:cs="Times New Roman"/>
          <w:snapToGrid/>
          <w:color w:val="auto"/>
          <w:kern w:val="2"/>
          <w:sz w:val="24"/>
          <w:szCs w:val="24"/>
          <w:lang w:eastAsia="zh-CN"/>
        </w:rPr>
        <w:t>：建议市生态环境局炎陵分局加强炎陵县内企业环境风险评估与环境应急预案的管理</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督促企业及时开展预案修编、指导企业适时开展预案的培训、演练等。</w:t>
      </w:r>
    </w:p>
    <w:p w14:paraId="005CF7B1">
      <w:pPr>
        <w:widowControl w:val="0"/>
        <w:kinsoku/>
        <w:autoSpaceDE/>
        <w:autoSpaceDN/>
        <w:spacing w:line="360" w:lineRule="auto"/>
        <w:ind w:firstLine="480" w:firstLineChars="200"/>
        <w:textAlignment w:val="auto"/>
        <w:rPr>
          <w:rFonts w:ascii="Times New Roman" w:hAnsi="Times New Roman" w:eastAsia="宋体" w:cs="Times New Roman"/>
          <w:color w:val="auto"/>
          <w:sz w:val="24"/>
          <w:szCs w:val="24"/>
          <w:lang w:eastAsia="zh-CN"/>
        </w:rPr>
        <w:sectPr>
          <w:footerReference r:id="rId13" w:type="default"/>
          <w:pgSz w:w="11906" w:h="16838"/>
          <w:pgMar w:top="1984" w:right="1474" w:bottom="1871" w:left="1587" w:header="851" w:footer="1587" w:gutter="0"/>
          <w:cols w:space="720" w:num="1"/>
          <w:titlePg/>
          <w:docGrid w:linePitch="590" w:charSpace="0"/>
        </w:sectPr>
      </w:pPr>
      <w:bookmarkStart w:id="483" w:name="_Toc2153178"/>
      <w:r>
        <w:rPr>
          <w:rFonts w:ascii="Times New Roman" w:hAnsi="Times New Roman" w:eastAsia="宋体" w:cs="Times New Roman"/>
          <w:snapToGrid/>
          <w:color w:val="auto"/>
          <w:kern w:val="2"/>
          <w:sz w:val="24"/>
          <w:szCs w:val="24"/>
          <w:lang w:eastAsia="zh-CN"/>
        </w:rPr>
        <w:t>（2）政府环境应急预案</w:t>
      </w:r>
      <w:bookmarkEnd w:id="483"/>
      <w:r>
        <w:rPr>
          <w:rFonts w:ascii="Times New Roman" w:hAnsi="Times New Roman" w:eastAsia="宋体" w:cs="Times New Roman"/>
          <w:snapToGrid/>
          <w:color w:val="auto"/>
          <w:kern w:val="2"/>
          <w:sz w:val="24"/>
          <w:szCs w:val="24"/>
          <w:lang w:eastAsia="zh-CN"/>
        </w:rPr>
        <w:t>：建议市生态环境局炎陵分局有以下情形之一的：①炎陵县突发环境事件评估已满三年；②有关炎陵县突发环境事件风险评估标准或规范发生变化的；③炎陵县发生重大及以上突发环境事件的；④炎陵县内部环境风险源、环境风险受体类型、数量、分布及环境风险防控与应急能力发生重大变化</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初步判断可能致使区域环境风险等级发生变化的</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及时重新评估突发环境事件风险并适时修编政府环境应急预案</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使风险评估和预案符合实际</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并会同其他政府职能部门适时开展演练</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通过演练检验并修正预案。</w:t>
      </w:r>
    </w:p>
    <w:p w14:paraId="3E5E2045">
      <w:pPr>
        <w:widowControl w:val="0"/>
        <w:kinsoku/>
        <w:autoSpaceDE/>
        <w:autoSpaceDN/>
        <w:adjustRightInd/>
        <w:snapToGrid/>
        <w:spacing w:line="580" w:lineRule="exact"/>
        <w:jc w:val="both"/>
        <w:textAlignment w:val="auto"/>
        <w:rPr>
          <w:rFonts w:ascii="Times New Roman" w:hAnsi="Times New Roman" w:eastAsia="仿宋_GB2312" w:cs="Times New Roman"/>
          <w:b/>
          <w:bCs/>
          <w:snapToGrid/>
          <w:color w:val="auto"/>
          <w:kern w:val="2"/>
          <w:sz w:val="32"/>
          <w:szCs w:val="32"/>
          <w:lang w:eastAsia="zh-CN"/>
        </w:rPr>
      </w:pPr>
      <w:r>
        <w:rPr>
          <w:rFonts w:ascii="Times New Roman" w:hAnsi="Times New Roman" w:eastAsia="黑体" w:cs="Times New Roman"/>
          <w:b/>
          <w:bCs/>
          <w:snapToGrid/>
          <w:color w:val="auto"/>
          <w:kern w:val="2"/>
          <w:sz w:val="32"/>
          <w:szCs w:val="32"/>
          <w:lang w:eastAsia="zh-CN"/>
        </w:rPr>
        <w:t>附件</w:t>
      </w:r>
      <w:r>
        <w:rPr>
          <w:rFonts w:ascii="Times New Roman" w:hAnsi="Times New Roman" w:eastAsia="仿宋_GB2312" w:cs="Times New Roman"/>
          <w:b/>
          <w:bCs/>
          <w:snapToGrid/>
          <w:color w:val="auto"/>
          <w:kern w:val="2"/>
          <w:sz w:val="32"/>
          <w:szCs w:val="32"/>
          <w:lang w:eastAsia="zh-CN"/>
        </w:rPr>
        <w:t>2</w:t>
      </w:r>
    </w:p>
    <w:p w14:paraId="5F0497B2">
      <w:pPr>
        <w:widowControl w:val="0"/>
        <w:kinsoku/>
        <w:autoSpaceDE/>
        <w:autoSpaceDN/>
        <w:adjustRightInd/>
        <w:snapToGrid/>
        <w:spacing w:line="580" w:lineRule="exact"/>
        <w:jc w:val="center"/>
        <w:textAlignment w:val="auto"/>
        <w:rPr>
          <w:rFonts w:ascii="Times New Roman" w:hAnsi="Times New Roman" w:eastAsia="仿宋" w:cs="Times New Roman"/>
          <w:b/>
          <w:bCs/>
          <w:snapToGrid/>
          <w:color w:val="auto"/>
          <w:kern w:val="2"/>
          <w:sz w:val="36"/>
          <w:szCs w:val="36"/>
          <w:lang w:eastAsia="zh-CN"/>
        </w:rPr>
      </w:pPr>
      <w:r>
        <w:rPr>
          <w:rFonts w:ascii="Times New Roman" w:hAnsi="Times New Roman" w:eastAsia="仿宋" w:cs="Times New Roman"/>
          <w:b/>
          <w:bCs/>
          <w:snapToGrid/>
          <w:color w:val="auto"/>
          <w:kern w:val="2"/>
          <w:sz w:val="36"/>
          <w:szCs w:val="36"/>
          <w:lang w:eastAsia="zh-CN"/>
        </w:rPr>
        <w:t>炎陵县突发环境事件应急指挥部成员</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4455"/>
        <w:gridCol w:w="2284"/>
      </w:tblGrid>
      <w:tr w14:paraId="5D01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80" w:type="pct"/>
            <w:noWrap w:val="0"/>
            <w:vAlign w:val="top"/>
          </w:tcPr>
          <w:p w14:paraId="42C818AF">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指挥部职务</w:t>
            </w:r>
          </w:p>
        </w:tc>
        <w:tc>
          <w:tcPr>
            <w:tcW w:w="2458" w:type="pct"/>
            <w:noWrap w:val="0"/>
            <w:vAlign w:val="top"/>
          </w:tcPr>
          <w:p w14:paraId="669F12E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工作单位及职务</w:t>
            </w:r>
          </w:p>
        </w:tc>
        <w:tc>
          <w:tcPr>
            <w:tcW w:w="1260" w:type="pct"/>
            <w:noWrap w:val="0"/>
            <w:vAlign w:val="top"/>
          </w:tcPr>
          <w:p w14:paraId="4C32D7A7">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职务</w:t>
            </w:r>
          </w:p>
        </w:tc>
      </w:tr>
      <w:tr w14:paraId="4E23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80" w:type="pct"/>
            <w:noWrap w:val="0"/>
            <w:vAlign w:val="center"/>
          </w:tcPr>
          <w:p w14:paraId="3B81F06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指挥长</w:t>
            </w:r>
          </w:p>
        </w:tc>
        <w:tc>
          <w:tcPr>
            <w:tcW w:w="2458" w:type="pct"/>
            <w:noWrap w:val="0"/>
            <w:vAlign w:val="center"/>
          </w:tcPr>
          <w:p w14:paraId="4613513C">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县人民政府</w:t>
            </w:r>
          </w:p>
        </w:tc>
        <w:tc>
          <w:tcPr>
            <w:tcW w:w="1260" w:type="pct"/>
            <w:noWrap w:val="0"/>
            <w:vAlign w:val="center"/>
          </w:tcPr>
          <w:p w14:paraId="73308513">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副县长</w:t>
            </w:r>
          </w:p>
        </w:tc>
      </w:tr>
      <w:tr w14:paraId="443F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80" w:type="pct"/>
            <w:vMerge w:val="restart"/>
            <w:noWrap w:val="0"/>
            <w:vAlign w:val="center"/>
          </w:tcPr>
          <w:p w14:paraId="753B728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副指挥长</w:t>
            </w:r>
          </w:p>
        </w:tc>
        <w:tc>
          <w:tcPr>
            <w:tcW w:w="2458" w:type="pct"/>
            <w:noWrap w:val="0"/>
            <w:vAlign w:val="center"/>
          </w:tcPr>
          <w:p w14:paraId="5AD52109">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hint="eastAsia" w:ascii="Times New Roman" w:hAnsi="Times New Roman" w:eastAsia="仿宋" w:cs="Times New Roman"/>
                <w:snapToGrid/>
                <w:color w:val="auto"/>
                <w:sz w:val="24"/>
                <w:szCs w:val="24"/>
                <w:lang w:eastAsia="zh-CN"/>
              </w:rPr>
              <w:t>县人民政府</w:t>
            </w:r>
            <w:r>
              <w:rPr>
                <w:rFonts w:ascii="Times New Roman" w:hAnsi="Times New Roman" w:eastAsia="仿宋" w:cs="Times New Roman"/>
                <w:snapToGrid/>
                <w:color w:val="auto"/>
                <w:sz w:val="24"/>
                <w:szCs w:val="24"/>
                <w:lang w:eastAsia="zh-CN"/>
              </w:rPr>
              <w:t>办</w:t>
            </w:r>
          </w:p>
        </w:tc>
        <w:tc>
          <w:tcPr>
            <w:tcW w:w="1260" w:type="pct"/>
            <w:noWrap w:val="0"/>
            <w:vAlign w:val="center"/>
          </w:tcPr>
          <w:p w14:paraId="74AAD4B5">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主任</w:t>
            </w:r>
          </w:p>
        </w:tc>
      </w:tr>
      <w:tr w14:paraId="1C79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vMerge w:val="continue"/>
            <w:noWrap w:val="0"/>
            <w:vAlign w:val="center"/>
          </w:tcPr>
          <w:p w14:paraId="15582EF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p>
        </w:tc>
        <w:tc>
          <w:tcPr>
            <w:tcW w:w="2458" w:type="pct"/>
            <w:noWrap w:val="0"/>
            <w:vAlign w:val="center"/>
          </w:tcPr>
          <w:p w14:paraId="759D71AA">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市生态环境局炎陵分局</w:t>
            </w:r>
          </w:p>
        </w:tc>
        <w:tc>
          <w:tcPr>
            <w:tcW w:w="1260" w:type="pct"/>
            <w:noWrap w:val="0"/>
            <w:vAlign w:val="center"/>
          </w:tcPr>
          <w:p w14:paraId="52665745">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59A4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pct"/>
            <w:vMerge w:val="continue"/>
            <w:noWrap w:val="0"/>
            <w:vAlign w:val="center"/>
          </w:tcPr>
          <w:p w14:paraId="55C4617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p>
        </w:tc>
        <w:tc>
          <w:tcPr>
            <w:tcW w:w="2458" w:type="pct"/>
            <w:noWrap w:val="0"/>
            <w:vAlign w:val="center"/>
          </w:tcPr>
          <w:p w14:paraId="31E9E16A">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县应急管理局</w:t>
            </w:r>
          </w:p>
        </w:tc>
        <w:tc>
          <w:tcPr>
            <w:tcW w:w="1260" w:type="pct"/>
            <w:noWrap w:val="0"/>
            <w:vAlign w:val="center"/>
          </w:tcPr>
          <w:p w14:paraId="0B80CFA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50B6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80" w:type="pct"/>
            <w:noWrap w:val="0"/>
            <w:vAlign w:val="center"/>
          </w:tcPr>
          <w:p w14:paraId="4AFEEA4F">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2216F14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县委宣传部</w:t>
            </w:r>
          </w:p>
        </w:tc>
        <w:tc>
          <w:tcPr>
            <w:tcW w:w="1260" w:type="pct"/>
            <w:noWrap w:val="0"/>
            <w:vAlign w:val="center"/>
          </w:tcPr>
          <w:p w14:paraId="48AE4501">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常务副部长</w:t>
            </w:r>
          </w:p>
        </w:tc>
      </w:tr>
      <w:tr w14:paraId="5732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BACC72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11B6C2F3">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县市场监督管理局</w:t>
            </w:r>
          </w:p>
        </w:tc>
        <w:tc>
          <w:tcPr>
            <w:tcW w:w="1260" w:type="pct"/>
            <w:noWrap w:val="0"/>
            <w:vAlign w:val="center"/>
          </w:tcPr>
          <w:p w14:paraId="031D760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0EC3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118170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5FB60571">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hint="eastAsia" w:ascii="Times New Roman" w:hAnsi="Times New Roman" w:eastAsia="仿宋" w:cs="Times New Roman"/>
                <w:snapToGrid/>
                <w:color w:val="auto"/>
                <w:kern w:val="2"/>
                <w:sz w:val="24"/>
                <w:szCs w:val="24"/>
                <w:lang w:eastAsia="zh-CN"/>
              </w:rPr>
              <w:t>县发展和改革局</w:t>
            </w:r>
          </w:p>
        </w:tc>
        <w:tc>
          <w:tcPr>
            <w:tcW w:w="1260" w:type="pct"/>
            <w:noWrap w:val="0"/>
            <w:vAlign w:val="center"/>
          </w:tcPr>
          <w:p w14:paraId="366FEE51">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4B2F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7C32E4A">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44E28A9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县城市管理和综合执法局</w:t>
            </w:r>
          </w:p>
        </w:tc>
        <w:tc>
          <w:tcPr>
            <w:tcW w:w="1260" w:type="pct"/>
            <w:noWrap w:val="0"/>
            <w:vAlign w:val="top"/>
          </w:tcPr>
          <w:p w14:paraId="09EC1BE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4E03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492D01F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709D1BF5">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县林业局</w:t>
            </w:r>
          </w:p>
        </w:tc>
        <w:tc>
          <w:tcPr>
            <w:tcW w:w="1260" w:type="pct"/>
            <w:noWrap w:val="0"/>
            <w:vAlign w:val="top"/>
          </w:tcPr>
          <w:p w14:paraId="2BA838F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13DC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486FC457">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val="en-US" w:eastAsia="zh-CN" w:bidi="ar-SA"/>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48081E7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val="en-US" w:eastAsia="zh-CN" w:bidi="ar-SA"/>
              </w:rPr>
            </w:pPr>
            <w:r>
              <w:rPr>
                <w:rFonts w:ascii="Times New Roman" w:hAnsi="Times New Roman" w:eastAsia="仿宋" w:cs="Times New Roman"/>
                <w:snapToGrid/>
                <w:color w:val="auto"/>
                <w:kern w:val="2"/>
                <w:sz w:val="24"/>
                <w:szCs w:val="24"/>
                <w:lang w:eastAsia="zh-CN"/>
              </w:rPr>
              <w:t>县</w:t>
            </w:r>
            <w:r>
              <w:rPr>
                <w:rFonts w:hint="eastAsia" w:ascii="Times New Roman" w:hAnsi="Times New Roman" w:eastAsia="仿宋" w:cs="Times New Roman"/>
                <w:snapToGrid/>
                <w:color w:val="auto"/>
                <w:kern w:val="2"/>
                <w:sz w:val="24"/>
                <w:szCs w:val="24"/>
                <w:lang w:val="en-US" w:eastAsia="zh-CN"/>
              </w:rPr>
              <w:t>农业农村局</w:t>
            </w:r>
          </w:p>
        </w:tc>
        <w:tc>
          <w:tcPr>
            <w:tcW w:w="1260" w:type="pct"/>
            <w:noWrap w:val="0"/>
            <w:vAlign w:val="top"/>
          </w:tcPr>
          <w:p w14:paraId="3F0BFED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val="en-US" w:eastAsia="zh-CN" w:bidi="ar-SA"/>
              </w:rPr>
            </w:pPr>
            <w:r>
              <w:rPr>
                <w:rFonts w:ascii="Times New Roman" w:hAnsi="Times New Roman" w:eastAsia="仿宋" w:cs="Times New Roman"/>
                <w:snapToGrid/>
                <w:color w:val="auto"/>
                <w:kern w:val="2"/>
                <w:sz w:val="24"/>
                <w:szCs w:val="24"/>
                <w:lang w:eastAsia="zh-CN"/>
              </w:rPr>
              <w:t>局长</w:t>
            </w:r>
          </w:p>
        </w:tc>
      </w:tr>
      <w:tr w14:paraId="2072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71A3265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072E047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hint="eastAsia" w:ascii="Times New Roman" w:hAnsi="Times New Roman" w:eastAsia="仿宋" w:cs="Times New Roman"/>
                <w:snapToGrid/>
                <w:color w:val="auto"/>
                <w:kern w:val="2"/>
                <w:sz w:val="24"/>
                <w:szCs w:val="24"/>
                <w:lang w:eastAsia="zh-CN"/>
              </w:rPr>
              <w:t>县商务局</w:t>
            </w:r>
          </w:p>
        </w:tc>
        <w:tc>
          <w:tcPr>
            <w:tcW w:w="1260" w:type="pct"/>
            <w:noWrap w:val="0"/>
            <w:vAlign w:val="top"/>
          </w:tcPr>
          <w:p w14:paraId="29835347">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44B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pct"/>
            <w:noWrap w:val="0"/>
            <w:vAlign w:val="center"/>
          </w:tcPr>
          <w:p w14:paraId="0F5DB097">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2070835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县财政局</w:t>
            </w:r>
          </w:p>
        </w:tc>
        <w:tc>
          <w:tcPr>
            <w:tcW w:w="1260" w:type="pct"/>
            <w:noWrap w:val="0"/>
            <w:vAlign w:val="top"/>
          </w:tcPr>
          <w:p w14:paraId="0F1784E2">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7924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835765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583FB6A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县自然资源局</w:t>
            </w:r>
          </w:p>
        </w:tc>
        <w:tc>
          <w:tcPr>
            <w:tcW w:w="1260" w:type="pct"/>
            <w:noWrap w:val="0"/>
            <w:vAlign w:val="top"/>
          </w:tcPr>
          <w:p w14:paraId="24C12253">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291E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AA110CF">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4FDFBAD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县交通运输局</w:t>
            </w:r>
          </w:p>
        </w:tc>
        <w:tc>
          <w:tcPr>
            <w:tcW w:w="1260" w:type="pct"/>
            <w:noWrap w:val="0"/>
            <w:vAlign w:val="top"/>
          </w:tcPr>
          <w:p w14:paraId="7169B623">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379E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01C4AF8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16AD341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县卫生健康局</w:t>
            </w:r>
          </w:p>
        </w:tc>
        <w:tc>
          <w:tcPr>
            <w:tcW w:w="1260" w:type="pct"/>
            <w:noWrap w:val="0"/>
            <w:vAlign w:val="top"/>
          </w:tcPr>
          <w:p w14:paraId="008446B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29E6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4C0AB322">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38E62B7F">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县科技和工业信息化局</w:t>
            </w:r>
          </w:p>
        </w:tc>
        <w:tc>
          <w:tcPr>
            <w:tcW w:w="1260" w:type="pct"/>
            <w:noWrap w:val="0"/>
            <w:vAlign w:val="top"/>
          </w:tcPr>
          <w:p w14:paraId="750EB40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16E7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0CF12003">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140AC28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县公安局</w:t>
            </w:r>
          </w:p>
        </w:tc>
        <w:tc>
          <w:tcPr>
            <w:tcW w:w="1260" w:type="pct"/>
            <w:noWrap w:val="0"/>
            <w:vAlign w:val="top"/>
          </w:tcPr>
          <w:p w14:paraId="11A66147">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常务副局长</w:t>
            </w:r>
          </w:p>
        </w:tc>
      </w:tr>
      <w:tr w14:paraId="2757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3912D6A">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56BED21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县住房和城乡规划建设局</w:t>
            </w:r>
          </w:p>
        </w:tc>
        <w:tc>
          <w:tcPr>
            <w:tcW w:w="1260" w:type="pct"/>
            <w:noWrap w:val="0"/>
            <w:vAlign w:val="top"/>
          </w:tcPr>
          <w:p w14:paraId="744DFCE9">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3D46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D6E9DDC">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4F45F8B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县水利局</w:t>
            </w:r>
          </w:p>
        </w:tc>
        <w:tc>
          <w:tcPr>
            <w:tcW w:w="1260" w:type="pct"/>
            <w:noWrap w:val="0"/>
            <w:vAlign w:val="top"/>
          </w:tcPr>
          <w:p w14:paraId="7A7B9D69">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6FD3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3AA86FD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val="en-US" w:eastAsia="zh-CN" w:bidi="ar-SA"/>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29DE56B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val="en-US" w:eastAsia="zh-CN" w:bidi="ar-SA"/>
              </w:rPr>
            </w:pPr>
            <w:r>
              <w:rPr>
                <w:rFonts w:ascii="Times New Roman" w:hAnsi="Times New Roman" w:eastAsia="仿宋" w:cs="Times New Roman"/>
                <w:snapToGrid/>
                <w:color w:val="auto"/>
                <w:kern w:val="2"/>
                <w:sz w:val="24"/>
                <w:szCs w:val="24"/>
                <w:lang w:eastAsia="zh-CN"/>
              </w:rPr>
              <w:t>县</w:t>
            </w:r>
            <w:r>
              <w:rPr>
                <w:rFonts w:hint="eastAsia" w:ascii="Times New Roman" w:hAnsi="Times New Roman" w:eastAsia="仿宋" w:cs="Times New Roman"/>
                <w:snapToGrid/>
                <w:color w:val="auto"/>
                <w:kern w:val="2"/>
                <w:sz w:val="24"/>
                <w:szCs w:val="24"/>
                <w:lang w:val="en-US" w:eastAsia="zh-CN"/>
              </w:rPr>
              <w:t>民政</w:t>
            </w:r>
            <w:r>
              <w:rPr>
                <w:rFonts w:ascii="Times New Roman" w:hAnsi="Times New Roman" w:eastAsia="仿宋" w:cs="Times New Roman"/>
                <w:snapToGrid/>
                <w:color w:val="auto"/>
                <w:kern w:val="2"/>
                <w:sz w:val="24"/>
                <w:szCs w:val="24"/>
                <w:lang w:eastAsia="zh-CN"/>
              </w:rPr>
              <w:t>局</w:t>
            </w:r>
          </w:p>
        </w:tc>
        <w:tc>
          <w:tcPr>
            <w:tcW w:w="1260" w:type="pct"/>
            <w:noWrap w:val="0"/>
            <w:vAlign w:val="top"/>
          </w:tcPr>
          <w:p w14:paraId="237AA31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val="en-US" w:eastAsia="zh-CN" w:bidi="ar-SA"/>
              </w:rPr>
            </w:pPr>
            <w:r>
              <w:rPr>
                <w:rFonts w:ascii="Times New Roman" w:hAnsi="Times New Roman" w:eastAsia="仿宋" w:cs="Times New Roman"/>
                <w:snapToGrid/>
                <w:color w:val="auto"/>
                <w:kern w:val="2"/>
                <w:sz w:val="24"/>
                <w:szCs w:val="24"/>
                <w:lang w:eastAsia="zh-CN"/>
              </w:rPr>
              <w:t>局长</w:t>
            </w:r>
          </w:p>
        </w:tc>
      </w:tr>
      <w:tr w14:paraId="1055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B6DEE34">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563CC224">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县气象局</w:t>
            </w:r>
          </w:p>
        </w:tc>
        <w:tc>
          <w:tcPr>
            <w:tcW w:w="1260" w:type="pct"/>
            <w:noWrap w:val="0"/>
            <w:vAlign w:val="top"/>
          </w:tcPr>
          <w:p w14:paraId="034B9858">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局长</w:t>
            </w:r>
          </w:p>
        </w:tc>
      </w:tr>
      <w:tr w14:paraId="3F7E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DFAFD9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43704F2E">
            <w:pPr>
              <w:widowControl w:val="0"/>
              <w:kinsoku/>
              <w:autoSpaceDE/>
              <w:autoSpaceDN/>
              <w:adjustRightInd/>
              <w:snapToGrid/>
              <w:spacing w:line="440" w:lineRule="exact"/>
              <w:jc w:val="center"/>
              <w:textAlignment w:val="auto"/>
              <w:rPr>
                <w:rFonts w:hint="eastAsia" w:ascii="Times New Roman" w:hAnsi="Times New Roman" w:eastAsia="仿宋" w:cs="Times New Roman"/>
                <w:snapToGrid/>
                <w:color w:val="auto"/>
                <w:kern w:val="2"/>
                <w:sz w:val="24"/>
                <w:szCs w:val="24"/>
                <w:lang w:eastAsia="zh-CN"/>
              </w:rPr>
            </w:pPr>
            <w:r>
              <w:rPr>
                <w:rFonts w:hint="eastAsia" w:ascii="Times New Roman" w:hAnsi="Times New Roman" w:eastAsia="仿宋" w:cs="Times New Roman"/>
                <w:snapToGrid/>
                <w:color w:val="auto"/>
                <w:kern w:val="2"/>
                <w:sz w:val="24"/>
                <w:szCs w:val="24"/>
                <w:lang w:eastAsia="zh-CN"/>
              </w:rPr>
              <w:t>县交警大队</w:t>
            </w:r>
          </w:p>
        </w:tc>
        <w:tc>
          <w:tcPr>
            <w:tcW w:w="1260" w:type="pct"/>
            <w:noWrap w:val="0"/>
            <w:vAlign w:val="top"/>
          </w:tcPr>
          <w:p w14:paraId="2E38309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大队长</w:t>
            </w:r>
          </w:p>
        </w:tc>
      </w:tr>
      <w:tr w14:paraId="0280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E197D8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76FD6396">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县消防救援大队</w:t>
            </w:r>
          </w:p>
        </w:tc>
        <w:tc>
          <w:tcPr>
            <w:tcW w:w="1260" w:type="pct"/>
            <w:noWrap w:val="0"/>
            <w:vAlign w:val="top"/>
          </w:tcPr>
          <w:p w14:paraId="1A9B3A0A">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大队长</w:t>
            </w:r>
          </w:p>
        </w:tc>
      </w:tr>
      <w:tr w14:paraId="57FE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11CEDA22">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top"/>
          </w:tcPr>
          <w:p w14:paraId="148A3929">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高新区管委会</w:t>
            </w:r>
          </w:p>
        </w:tc>
        <w:tc>
          <w:tcPr>
            <w:tcW w:w="1260" w:type="pct"/>
            <w:noWrap w:val="0"/>
            <w:vAlign w:val="top"/>
          </w:tcPr>
          <w:p w14:paraId="266C34D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hint="eastAsia" w:ascii="Times New Roman" w:hAnsi="Times New Roman" w:eastAsia="仿宋" w:cs="Times New Roman"/>
                <w:snapToGrid/>
                <w:color w:val="auto"/>
                <w:kern w:val="2"/>
                <w:sz w:val="24"/>
                <w:szCs w:val="24"/>
                <w:lang w:eastAsia="zh-CN"/>
              </w:rPr>
              <w:t>副</w:t>
            </w:r>
            <w:r>
              <w:rPr>
                <w:rFonts w:ascii="Times New Roman" w:hAnsi="Times New Roman" w:eastAsia="仿宋" w:cs="Times New Roman"/>
                <w:snapToGrid/>
                <w:color w:val="auto"/>
                <w:kern w:val="2"/>
                <w:sz w:val="24"/>
                <w:szCs w:val="24"/>
                <w:lang w:eastAsia="zh-CN"/>
              </w:rPr>
              <w:t>主任</w:t>
            </w:r>
          </w:p>
        </w:tc>
      </w:tr>
      <w:tr w14:paraId="5CBF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656D6E1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0BCCC5DE">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霞阳镇</w:t>
            </w:r>
          </w:p>
        </w:tc>
        <w:tc>
          <w:tcPr>
            <w:tcW w:w="1260" w:type="pct"/>
            <w:noWrap w:val="0"/>
            <w:vAlign w:val="center"/>
          </w:tcPr>
          <w:p w14:paraId="58B2ACB5">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镇 长</w:t>
            </w:r>
          </w:p>
        </w:tc>
      </w:tr>
      <w:tr w14:paraId="7EC7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7E20ABB0">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31385BFB">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沔渡镇</w:t>
            </w:r>
          </w:p>
        </w:tc>
        <w:tc>
          <w:tcPr>
            <w:tcW w:w="1260" w:type="pct"/>
            <w:noWrap w:val="0"/>
            <w:vAlign w:val="center"/>
          </w:tcPr>
          <w:p w14:paraId="5B12B822">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镇 长</w:t>
            </w:r>
          </w:p>
        </w:tc>
      </w:tr>
      <w:tr w14:paraId="1316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85C1034">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1850750D">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鹿原镇</w:t>
            </w:r>
          </w:p>
        </w:tc>
        <w:tc>
          <w:tcPr>
            <w:tcW w:w="1260" w:type="pct"/>
            <w:noWrap w:val="0"/>
            <w:vAlign w:val="center"/>
          </w:tcPr>
          <w:p w14:paraId="6E76850A">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镇 长</w:t>
            </w:r>
          </w:p>
        </w:tc>
      </w:tr>
      <w:tr w14:paraId="090B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645C568D">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76C2ED97">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十都镇</w:t>
            </w:r>
          </w:p>
        </w:tc>
        <w:tc>
          <w:tcPr>
            <w:tcW w:w="1260" w:type="pct"/>
            <w:noWrap w:val="0"/>
            <w:vAlign w:val="center"/>
          </w:tcPr>
          <w:p w14:paraId="71DAADC3">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镇 长</w:t>
            </w:r>
          </w:p>
        </w:tc>
      </w:tr>
      <w:tr w14:paraId="2154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66BBCD44">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1C28AF26">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水口镇</w:t>
            </w:r>
          </w:p>
        </w:tc>
        <w:tc>
          <w:tcPr>
            <w:tcW w:w="1260" w:type="pct"/>
            <w:noWrap w:val="0"/>
            <w:vAlign w:val="center"/>
          </w:tcPr>
          <w:p w14:paraId="114048B8">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镇 长</w:t>
            </w:r>
          </w:p>
        </w:tc>
      </w:tr>
      <w:tr w14:paraId="1E15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A215CEB">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1780C22C">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中村瑶族乡</w:t>
            </w:r>
          </w:p>
        </w:tc>
        <w:tc>
          <w:tcPr>
            <w:tcW w:w="1260" w:type="pct"/>
            <w:noWrap w:val="0"/>
            <w:vAlign w:val="center"/>
          </w:tcPr>
          <w:p w14:paraId="7123E41F">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乡 长</w:t>
            </w:r>
          </w:p>
        </w:tc>
      </w:tr>
      <w:tr w14:paraId="1D13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23541EF9">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1D54C7AF">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垄溪乡</w:t>
            </w:r>
          </w:p>
        </w:tc>
        <w:tc>
          <w:tcPr>
            <w:tcW w:w="1260" w:type="pct"/>
            <w:noWrap w:val="0"/>
            <w:vAlign w:val="center"/>
          </w:tcPr>
          <w:p w14:paraId="134AB569">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乡 长</w:t>
            </w:r>
          </w:p>
        </w:tc>
      </w:tr>
      <w:tr w14:paraId="3AC0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3371554E">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40A08D11">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策源乡</w:t>
            </w:r>
          </w:p>
        </w:tc>
        <w:tc>
          <w:tcPr>
            <w:tcW w:w="1260" w:type="pct"/>
            <w:noWrap w:val="0"/>
            <w:vAlign w:val="center"/>
          </w:tcPr>
          <w:p w14:paraId="254606B7">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乡 长</w:t>
            </w:r>
          </w:p>
        </w:tc>
      </w:tr>
      <w:tr w14:paraId="40CE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5C07AE71">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19D1EA8D">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下村乡</w:t>
            </w:r>
          </w:p>
        </w:tc>
        <w:tc>
          <w:tcPr>
            <w:tcW w:w="1260" w:type="pct"/>
            <w:noWrap w:val="0"/>
            <w:vAlign w:val="center"/>
          </w:tcPr>
          <w:p w14:paraId="6D18E0BE">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乡 长</w:t>
            </w:r>
          </w:p>
        </w:tc>
      </w:tr>
      <w:tr w14:paraId="7D3F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pct"/>
            <w:noWrap w:val="0"/>
            <w:vAlign w:val="center"/>
          </w:tcPr>
          <w:p w14:paraId="63A2C313">
            <w:pPr>
              <w:widowControl w:val="0"/>
              <w:kinsoku/>
              <w:autoSpaceDE/>
              <w:autoSpaceDN/>
              <w:adjustRightInd/>
              <w:snapToGrid/>
              <w:spacing w:line="440" w:lineRule="exact"/>
              <w:jc w:val="center"/>
              <w:textAlignment w:val="auto"/>
              <w:rPr>
                <w:rFonts w:ascii="Times New Roman" w:hAnsi="Times New Roman" w:eastAsia="仿宋" w:cs="Times New Roman"/>
                <w:snapToGrid/>
                <w:color w:val="auto"/>
                <w:kern w:val="2"/>
                <w:sz w:val="24"/>
                <w:szCs w:val="24"/>
                <w:lang w:eastAsia="zh-CN"/>
              </w:rPr>
            </w:pPr>
            <w:r>
              <w:rPr>
                <w:rFonts w:ascii="Times New Roman" w:hAnsi="Times New Roman" w:eastAsia="仿宋" w:cs="Times New Roman"/>
                <w:snapToGrid/>
                <w:color w:val="auto"/>
                <w:kern w:val="2"/>
                <w:sz w:val="24"/>
                <w:szCs w:val="24"/>
                <w:lang w:eastAsia="zh-CN"/>
              </w:rPr>
              <w:t>成员</w:t>
            </w:r>
          </w:p>
        </w:tc>
        <w:tc>
          <w:tcPr>
            <w:tcW w:w="2458" w:type="pct"/>
            <w:noWrap w:val="0"/>
            <w:vAlign w:val="center"/>
          </w:tcPr>
          <w:p w14:paraId="3097A0D2">
            <w:pPr>
              <w:widowControl w:val="0"/>
              <w:kinsoku/>
              <w:autoSpaceDE/>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船形乡</w:t>
            </w:r>
          </w:p>
        </w:tc>
        <w:tc>
          <w:tcPr>
            <w:tcW w:w="1260" w:type="pct"/>
            <w:noWrap w:val="0"/>
            <w:vAlign w:val="center"/>
          </w:tcPr>
          <w:p w14:paraId="0884DC90">
            <w:pPr>
              <w:kinsoku/>
              <w:autoSpaceDN/>
              <w:adjustRightInd/>
              <w:snapToGrid/>
              <w:spacing w:line="360" w:lineRule="exact"/>
              <w:jc w:val="center"/>
              <w:textAlignment w:val="auto"/>
              <w:rPr>
                <w:rFonts w:ascii="Times New Roman" w:hAnsi="Times New Roman" w:eastAsia="仿宋" w:cs="Times New Roman"/>
                <w:snapToGrid/>
                <w:color w:val="auto"/>
                <w:sz w:val="24"/>
                <w:szCs w:val="24"/>
                <w:lang w:eastAsia="zh-CN"/>
              </w:rPr>
            </w:pPr>
            <w:r>
              <w:rPr>
                <w:rFonts w:ascii="Times New Roman" w:hAnsi="Times New Roman" w:eastAsia="仿宋" w:cs="Times New Roman"/>
                <w:snapToGrid/>
                <w:color w:val="auto"/>
                <w:sz w:val="24"/>
                <w:szCs w:val="24"/>
                <w:lang w:eastAsia="zh-CN"/>
              </w:rPr>
              <w:t>乡 长</w:t>
            </w:r>
          </w:p>
        </w:tc>
      </w:tr>
    </w:tbl>
    <w:p w14:paraId="0AFEFACC">
      <w:pPr>
        <w:widowControl w:val="0"/>
        <w:kinsoku/>
        <w:autoSpaceDE/>
        <w:autoSpaceDN/>
        <w:adjustRightInd/>
        <w:snapToGrid/>
        <w:spacing w:line="580" w:lineRule="exact"/>
        <w:jc w:val="both"/>
        <w:textAlignment w:val="auto"/>
        <w:rPr>
          <w:rFonts w:ascii="Times New Roman" w:hAnsi="Times New Roman" w:eastAsia="仿宋_GB2312" w:cs="Times New Roman"/>
          <w:snapToGrid/>
          <w:color w:val="auto"/>
          <w:kern w:val="2"/>
          <w:sz w:val="32"/>
          <w:szCs w:val="32"/>
          <w:lang w:eastAsia="zh-CN"/>
        </w:rPr>
      </w:pPr>
    </w:p>
    <w:p w14:paraId="1AE67D3F">
      <w:pPr>
        <w:spacing w:line="580" w:lineRule="exact"/>
        <w:rPr>
          <w:rFonts w:ascii="Times New Roman" w:hAnsi="Times New Roman" w:eastAsia="仿宋_GB2312" w:cs="Times New Roman"/>
          <w:color w:val="auto"/>
          <w:szCs w:val="32"/>
        </w:rPr>
        <w:sectPr>
          <w:pgSz w:w="11906" w:h="16838"/>
          <w:pgMar w:top="1984" w:right="1474" w:bottom="1871" w:left="1587" w:header="851" w:footer="1587" w:gutter="0"/>
          <w:cols w:space="720" w:num="1"/>
          <w:titlePg/>
          <w:docGrid w:linePitch="590" w:charSpace="0"/>
        </w:sectPr>
      </w:pPr>
    </w:p>
    <w:p w14:paraId="033B2966">
      <w:pPr>
        <w:widowControl w:val="0"/>
        <w:kinsoku/>
        <w:autoSpaceDE/>
        <w:autoSpaceDN/>
        <w:adjustRightInd/>
        <w:snapToGrid/>
        <w:spacing w:line="580" w:lineRule="exact"/>
        <w:jc w:val="both"/>
        <w:textAlignment w:val="auto"/>
        <w:rPr>
          <w:rFonts w:ascii="Times New Roman" w:hAnsi="Times New Roman" w:eastAsia="仿宋_GB2312" w:cs="Times New Roman"/>
          <w:b/>
          <w:snapToGrid/>
          <w:color w:val="auto"/>
          <w:kern w:val="2"/>
          <w:sz w:val="32"/>
          <w:szCs w:val="32"/>
          <w:lang w:eastAsia="zh-CN"/>
        </w:rPr>
      </w:pPr>
      <w:r>
        <w:rPr>
          <w:rFonts w:ascii="Times New Roman" w:hAnsi="Times New Roman" w:eastAsia="仿宋_GB2312" w:cs="Times New Roman"/>
          <w:b/>
          <w:snapToGrid/>
          <w:color w:val="auto"/>
          <w:kern w:val="2"/>
          <w:sz w:val="32"/>
          <w:szCs w:val="32"/>
          <w:lang w:eastAsia="zh-CN"/>
        </w:rPr>
        <w:t>附件3</w:t>
      </w:r>
    </w:p>
    <w:p w14:paraId="73D868FE">
      <w:pPr>
        <w:widowControl w:val="0"/>
        <w:kinsoku/>
        <w:autoSpaceDE/>
        <w:autoSpaceDN/>
        <w:adjustRightInd/>
        <w:snapToGrid/>
        <w:spacing w:line="580" w:lineRule="exact"/>
        <w:jc w:val="center"/>
        <w:textAlignment w:val="auto"/>
        <w:rPr>
          <w:rFonts w:ascii="Times New Roman" w:hAnsi="Times New Roman" w:eastAsia="仿宋" w:cs="Times New Roman"/>
          <w:b/>
          <w:bCs/>
          <w:snapToGrid/>
          <w:color w:val="auto"/>
          <w:kern w:val="2"/>
          <w:sz w:val="44"/>
          <w:szCs w:val="44"/>
          <w:lang w:eastAsia="zh-CN"/>
        </w:rPr>
      </w:pPr>
      <w:r>
        <w:rPr>
          <w:rFonts w:ascii="Times New Roman" w:hAnsi="Times New Roman" w:eastAsia="仿宋" w:cs="Times New Roman"/>
          <w:b/>
          <w:bCs/>
          <w:snapToGrid/>
          <w:color w:val="auto"/>
          <w:kern w:val="2"/>
          <w:sz w:val="32"/>
          <w:szCs w:val="32"/>
          <w:lang w:eastAsia="zh-CN"/>
        </w:rPr>
        <w:t>炎陵县应急专家库成员名单</w:t>
      </w:r>
    </w:p>
    <w:tbl>
      <w:tblPr>
        <w:tblStyle w:val="14"/>
        <w:tblW w:w="4997" w:type="pct"/>
        <w:tblInd w:w="0" w:type="dxa"/>
        <w:tblLayout w:type="autofit"/>
        <w:tblCellMar>
          <w:top w:w="0" w:type="dxa"/>
          <w:left w:w="0" w:type="dxa"/>
          <w:bottom w:w="0" w:type="dxa"/>
          <w:right w:w="0" w:type="dxa"/>
        </w:tblCellMar>
      </w:tblPr>
      <w:tblGrid>
        <w:gridCol w:w="692"/>
        <w:gridCol w:w="861"/>
        <w:gridCol w:w="2024"/>
        <w:gridCol w:w="3840"/>
        <w:gridCol w:w="1453"/>
      </w:tblGrid>
      <w:tr w14:paraId="68A881F0">
        <w:tblPrEx>
          <w:tblCellMar>
            <w:top w:w="0" w:type="dxa"/>
            <w:left w:w="0" w:type="dxa"/>
            <w:bottom w:w="0" w:type="dxa"/>
            <w:right w:w="0" w:type="dxa"/>
          </w:tblCellMar>
        </w:tblPrEx>
        <w:trPr>
          <w:trHeight w:val="91" w:hRule="atLeast"/>
          <w:tblHeader/>
        </w:trPr>
        <w:tc>
          <w:tcPr>
            <w:tcW w:w="69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top"/>
          </w:tcPr>
          <w:p w14:paraId="3D7937C8">
            <w:pPr>
              <w:keepNext w:val="0"/>
              <w:keepLines w:val="0"/>
              <w:widowControl/>
              <w:suppressLineNumbers w:val="0"/>
              <w:jc w:val="center"/>
              <w:textAlignment w:val="top"/>
              <w:rPr>
                <w:rFonts w:ascii="Times New Roman" w:hAnsi="Times New Roman" w:eastAsia="仿宋" w:cs="Times New Roman"/>
                <w:b/>
                <w:snapToGrid/>
                <w:color w:val="auto"/>
                <w:kern w:val="2"/>
                <w:lang w:eastAsia="zh-CN"/>
              </w:rPr>
            </w:pPr>
            <w:r>
              <w:rPr>
                <w:rFonts w:hint="eastAsia" w:ascii="宋体" w:hAnsi="宋体" w:eastAsia="宋体" w:cs="宋体"/>
                <w:i w:val="0"/>
                <w:iCs w:val="0"/>
                <w:snapToGrid w:val="0"/>
                <w:color w:val="3D3D3D"/>
                <w:kern w:val="0"/>
                <w:sz w:val="24"/>
                <w:szCs w:val="24"/>
                <w:u w:val="none"/>
                <w:lang w:val="en-US" w:eastAsia="zh-CN" w:bidi="ar"/>
              </w:rPr>
              <w:t>序号</w:t>
            </w:r>
          </w:p>
        </w:tc>
        <w:tc>
          <w:tcPr>
            <w:tcW w:w="861"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14:paraId="10153DF5">
            <w:pPr>
              <w:keepNext w:val="0"/>
              <w:keepLines w:val="0"/>
              <w:widowControl/>
              <w:suppressLineNumbers w:val="0"/>
              <w:jc w:val="left"/>
              <w:textAlignment w:val="top"/>
              <w:rPr>
                <w:rFonts w:ascii="Times New Roman" w:hAnsi="Times New Roman" w:eastAsia="仿宋" w:cs="Times New Roman"/>
                <w:b/>
                <w:snapToGrid/>
                <w:color w:val="auto"/>
                <w:kern w:val="2"/>
                <w:lang w:eastAsia="zh-CN"/>
              </w:rPr>
            </w:pPr>
            <w:r>
              <w:rPr>
                <w:rFonts w:hint="eastAsia" w:ascii="宋体" w:hAnsi="宋体" w:eastAsia="宋体" w:cs="宋体"/>
                <w:i w:val="0"/>
                <w:iCs w:val="0"/>
                <w:snapToGrid w:val="0"/>
                <w:color w:val="3D3D3D"/>
                <w:kern w:val="0"/>
                <w:sz w:val="24"/>
                <w:szCs w:val="24"/>
                <w:u w:val="none"/>
                <w:lang w:val="en-US" w:eastAsia="zh-CN" w:bidi="ar"/>
              </w:rPr>
              <w:t>姓</w:t>
            </w:r>
            <w:r>
              <w:rPr>
                <w:rStyle w:val="30"/>
                <w:snapToGrid w:val="0"/>
                <w:lang w:val="en-US" w:eastAsia="zh-CN" w:bidi="ar"/>
              </w:rPr>
              <w:t>名</w:t>
            </w:r>
          </w:p>
        </w:tc>
        <w:tc>
          <w:tcPr>
            <w:tcW w:w="2024"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14:paraId="07D06EDE">
            <w:pPr>
              <w:keepNext w:val="0"/>
              <w:keepLines w:val="0"/>
              <w:widowControl/>
              <w:suppressLineNumbers w:val="0"/>
              <w:jc w:val="center"/>
              <w:textAlignment w:val="top"/>
              <w:rPr>
                <w:rFonts w:ascii="Times New Roman" w:hAnsi="Times New Roman" w:eastAsia="仿宋" w:cs="Times New Roman"/>
                <w:b/>
                <w:snapToGrid/>
                <w:color w:val="auto"/>
                <w:kern w:val="2"/>
                <w:lang w:eastAsia="zh-CN"/>
              </w:rPr>
            </w:pPr>
            <w:r>
              <w:rPr>
                <w:rFonts w:hint="eastAsia" w:ascii="宋体" w:hAnsi="宋体" w:eastAsia="宋体" w:cs="宋体"/>
                <w:i w:val="0"/>
                <w:iCs w:val="0"/>
                <w:snapToGrid w:val="0"/>
                <w:color w:val="3D3D3D"/>
                <w:kern w:val="0"/>
                <w:sz w:val="24"/>
                <w:szCs w:val="24"/>
                <w:u w:val="none"/>
                <w:lang w:val="en-US" w:eastAsia="zh-CN" w:bidi="ar"/>
              </w:rPr>
              <w:t>单位</w:t>
            </w:r>
          </w:p>
        </w:tc>
        <w:tc>
          <w:tcPr>
            <w:tcW w:w="3840"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14:paraId="62728CF6">
            <w:pPr>
              <w:keepNext w:val="0"/>
              <w:keepLines w:val="0"/>
              <w:widowControl/>
              <w:suppressLineNumbers w:val="0"/>
              <w:jc w:val="center"/>
              <w:textAlignment w:val="top"/>
              <w:rPr>
                <w:rFonts w:ascii="Times New Roman" w:hAnsi="Times New Roman" w:eastAsia="仿宋" w:cs="Times New Roman"/>
                <w:b/>
                <w:snapToGrid/>
                <w:color w:val="auto"/>
                <w:kern w:val="2"/>
                <w:lang w:eastAsia="zh-CN"/>
              </w:rPr>
            </w:pPr>
            <w:r>
              <w:rPr>
                <w:rFonts w:hint="eastAsia" w:ascii="宋体" w:hAnsi="宋体" w:eastAsia="宋体" w:cs="宋体"/>
                <w:i w:val="0"/>
                <w:iCs w:val="0"/>
                <w:snapToGrid w:val="0"/>
                <w:color w:val="3D3D3D"/>
                <w:kern w:val="0"/>
                <w:sz w:val="24"/>
                <w:szCs w:val="24"/>
                <w:u w:val="none"/>
                <w:lang w:val="en-US" w:eastAsia="zh-CN" w:bidi="ar"/>
              </w:rPr>
              <w:t>专业领域</w:t>
            </w:r>
          </w:p>
        </w:tc>
        <w:tc>
          <w:tcPr>
            <w:tcW w:w="1453"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14:paraId="11EBDA2A">
            <w:pPr>
              <w:keepNext w:val="0"/>
              <w:keepLines w:val="0"/>
              <w:widowControl/>
              <w:suppressLineNumbers w:val="0"/>
              <w:jc w:val="center"/>
              <w:textAlignment w:val="top"/>
              <w:rPr>
                <w:rFonts w:ascii="Times New Roman" w:hAnsi="Times New Roman" w:eastAsia="仿宋" w:cs="Times New Roman"/>
                <w:b/>
                <w:snapToGrid/>
                <w:color w:val="auto"/>
                <w:kern w:val="2"/>
                <w:lang w:eastAsia="zh-CN"/>
              </w:rPr>
            </w:pPr>
            <w:r>
              <w:rPr>
                <w:rFonts w:hint="eastAsia" w:ascii="宋体" w:hAnsi="宋体" w:eastAsia="宋体" w:cs="宋体"/>
                <w:i w:val="0"/>
                <w:iCs w:val="0"/>
                <w:snapToGrid w:val="0"/>
                <w:color w:val="3D3D3D"/>
                <w:kern w:val="0"/>
                <w:sz w:val="24"/>
                <w:szCs w:val="24"/>
                <w:u w:val="none"/>
                <w:lang w:val="en-US" w:eastAsia="zh-CN" w:bidi="ar"/>
              </w:rPr>
              <w:t>技术职称</w:t>
            </w:r>
          </w:p>
        </w:tc>
      </w:tr>
      <w:tr w14:paraId="141FB505">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C92E876">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5E46E683">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郭正</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74D01038">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原长沙环境保护职</w:t>
            </w:r>
            <w:r>
              <w:rPr>
                <w:rFonts w:ascii="Times New Roman" w:hAnsi="Times New Roman" w:eastAsia="仿宋" w:cs="Times New Roman"/>
                <w:snapToGrid/>
                <w:color w:val="auto"/>
                <w:lang w:val="en-US" w:eastAsia="zh-CN" w:bidi="ar"/>
              </w:rPr>
              <w:t>业技术学院</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13619CB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w:t>
            </w:r>
            <w:r>
              <w:rPr>
                <w:rFonts w:ascii="Times New Roman" w:hAnsi="Times New Roman" w:eastAsia="仿宋" w:cs="Times New Roman"/>
                <w:snapToGrid/>
                <w:color w:val="auto"/>
                <w:lang w:val="en-US" w:eastAsia="zh-CN" w:bidi="ar"/>
              </w:rPr>
              <w:t>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465F7D5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4668ACD2">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543E894">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2</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3F7F63B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夏</w:t>
            </w:r>
            <w:r>
              <w:rPr>
                <w:rFonts w:ascii="Times New Roman" w:hAnsi="Times New Roman" w:eastAsia="仿宋" w:cs="Times New Roman"/>
                <w:snapToGrid/>
                <w:color w:val="auto"/>
                <w:lang w:val="en-US" w:eastAsia="zh-CN" w:bidi="ar"/>
              </w:rPr>
              <w:t>海</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7025BD14">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湖南省环境保护科</w:t>
            </w:r>
            <w:r>
              <w:rPr>
                <w:rFonts w:ascii="Times New Roman" w:hAnsi="Times New Roman" w:eastAsia="仿宋" w:cs="Times New Roman"/>
                <w:snapToGrid/>
                <w:color w:val="auto"/>
                <w:lang w:val="en-US" w:eastAsia="zh-CN" w:bidi="ar"/>
              </w:rPr>
              <w:t>学研究院</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28AE6B4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环境应急管理、环境损害评估</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70A04FE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6854BAA1">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5660003">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3</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485DD58C">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彭白阳</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1DA4E334">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湖南省国际工程咨</w:t>
            </w:r>
            <w:r>
              <w:rPr>
                <w:rFonts w:ascii="Times New Roman" w:hAnsi="Times New Roman" w:eastAsia="仿宋" w:cs="Times New Roman"/>
                <w:snapToGrid/>
                <w:color w:val="auto"/>
                <w:lang w:val="en-US" w:eastAsia="zh-CN" w:bidi="ar"/>
              </w:rPr>
              <w:t>询中心</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52035AE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w:t>
            </w:r>
            <w:r>
              <w:rPr>
                <w:rFonts w:ascii="Times New Roman" w:hAnsi="Times New Roman" w:eastAsia="仿宋" w:cs="Times New Roman"/>
                <w:snapToGrid/>
                <w:color w:val="auto"/>
                <w:lang w:val="en-US" w:eastAsia="zh-CN" w:bidi="ar"/>
              </w:rPr>
              <w:t>价、环境治理</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37F36DD5">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46026A90">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80A2622">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4</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744E1BE4">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李玉林</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2FDCABA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株洲市生态环境保</w:t>
            </w:r>
            <w:r>
              <w:rPr>
                <w:rFonts w:ascii="Times New Roman" w:hAnsi="Times New Roman" w:eastAsia="仿宋" w:cs="Times New Roman"/>
                <w:snapToGrid/>
                <w:color w:val="auto"/>
                <w:lang w:val="en-US" w:eastAsia="zh-CN" w:bidi="ar"/>
              </w:rPr>
              <w:t>护行政执法支队</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5DEABFC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w:t>
            </w:r>
            <w:r>
              <w:rPr>
                <w:rFonts w:ascii="Times New Roman" w:hAnsi="Times New Roman" w:eastAsia="仿宋" w:cs="Times New Roman"/>
                <w:snapToGrid/>
                <w:color w:val="auto"/>
                <w:lang w:val="en-US" w:eastAsia="zh-CN" w:bidi="ar"/>
              </w:rPr>
              <w:t>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2F9998B9">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79D78210">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BEF413">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5</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12B010A4">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汤炼</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3E730F8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株洲市生态环境局</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2980F1E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w:t>
            </w:r>
            <w:r>
              <w:rPr>
                <w:rFonts w:ascii="Times New Roman" w:hAnsi="Times New Roman" w:eastAsia="仿宋" w:cs="Times New Roman"/>
                <w:snapToGrid/>
                <w:color w:val="auto"/>
                <w:lang w:val="en-US" w:eastAsia="zh-CN" w:bidi="ar"/>
              </w:rPr>
              <w:t>价、环境监测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51A8E9F3">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591BA314">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1D3CADD">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6</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424A4C7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彭芸</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131211E1">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株洲市生态环境局</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73B065C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w:t>
            </w:r>
            <w:r>
              <w:rPr>
                <w:rFonts w:ascii="Times New Roman" w:hAnsi="Times New Roman" w:eastAsia="仿宋" w:cs="Times New Roman"/>
                <w:snapToGrid/>
                <w:color w:val="auto"/>
                <w:lang w:val="en-US" w:eastAsia="zh-CN" w:bidi="ar"/>
              </w:rPr>
              <w:t>价、环境治理</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1F54248D">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59785927">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78C277A">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7</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21C0C1D4">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谭祖琴</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036B085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株洲市生态环境局</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4EC8C64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w:t>
            </w:r>
            <w:r>
              <w:rPr>
                <w:rFonts w:ascii="Times New Roman" w:hAnsi="Times New Roman" w:eastAsia="仿宋" w:cs="Times New Roman"/>
                <w:snapToGrid/>
                <w:color w:val="auto"/>
                <w:lang w:val="en-US" w:eastAsia="zh-CN" w:bidi="ar"/>
              </w:rPr>
              <w:t>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5C148003">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166495A9">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6341E3C">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8</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1465BFCD">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曾珊珊</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4884FAA5">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株洲市生态环境事</w:t>
            </w:r>
            <w:r>
              <w:rPr>
                <w:rFonts w:ascii="Times New Roman" w:hAnsi="Times New Roman" w:eastAsia="仿宋" w:cs="Times New Roman"/>
                <w:snapToGrid/>
                <w:color w:val="auto"/>
                <w:lang w:val="en-US" w:eastAsia="zh-CN" w:bidi="ar"/>
              </w:rPr>
              <w:t>务中心</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5779C0E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w:t>
            </w:r>
            <w:r>
              <w:rPr>
                <w:rFonts w:ascii="Times New Roman" w:hAnsi="Times New Roman" w:eastAsia="仿宋" w:cs="Times New Roman"/>
                <w:snapToGrid/>
                <w:color w:val="auto"/>
                <w:lang w:val="en-US" w:eastAsia="zh-CN" w:bidi="ar"/>
              </w:rPr>
              <w:t>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6917AE49">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693FEF74">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44915A5">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9</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68E275A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包晓风</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6DF1627A">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株洲市生态环境事</w:t>
            </w:r>
            <w:r>
              <w:rPr>
                <w:rFonts w:ascii="Times New Roman" w:hAnsi="Times New Roman" w:eastAsia="仿宋" w:cs="Times New Roman"/>
                <w:snapToGrid/>
                <w:color w:val="auto"/>
                <w:lang w:val="en-US" w:eastAsia="zh-CN" w:bidi="ar"/>
              </w:rPr>
              <w:t>务中心</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6D6ECD48">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环境应急管理、环境治理、环境监测、环境损害评估</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0ED6062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005F2D0B">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FFB8C54">
            <w:pPr>
              <w:keepNext w:val="0"/>
              <w:keepLines w:val="0"/>
              <w:widowControl/>
              <w:suppressLineNumbers w:val="0"/>
              <w:jc w:val="center"/>
              <w:textAlignment w:val="center"/>
              <w:rPr>
                <w:rFonts w:ascii="Times New Roman" w:hAnsi="Times New Roman" w:eastAsia="仿宋" w:cs="Times New Roman"/>
                <w:snapToGrid/>
                <w:color w:val="auto"/>
                <w:lang w:eastAsia="zh-CN" w:bidi="ar"/>
              </w:rPr>
            </w:pPr>
            <w:r>
              <w:rPr>
                <w:rFonts w:hint="eastAsia" w:ascii="宋体" w:hAnsi="宋体" w:eastAsia="宋体" w:cs="宋体"/>
                <w:i w:val="0"/>
                <w:iCs w:val="0"/>
                <w:snapToGrid w:val="0"/>
                <w:color w:val="000000"/>
                <w:kern w:val="0"/>
                <w:sz w:val="22"/>
                <w:szCs w:val="22"/>
                <w:u w:val="none"/>
                <w:lang w:val="en-US" w:eastAsia="zh-CN" w:bidi="ar"/>
              </w:rPr>
              <w:t>10</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0A3BE24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张花</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594989F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株洲市生态环境事</w:t>
            </w:r>
            <w:r>
              <w:rPr>
                <w:rFonts w:ascii="Times New Roman" w:hAnsi="Times New Roman" w:eastAsia="仿宋" w:cs="Times New Roman"/>
                <w:snapToGrid/>
                <w:color w:val="auto"/>
                <w:lang w:val="en-US" w:eastAsia="zh-CN" w:bidi="ar"/>
              </w:rPr>
              <w:t>务中心</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2EA497F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w:t>
            </w:r>
            <w:r>
              <w:rPr>
                <w:rFonts w:ascii="Times New Roman" w:hAnsi="Times New Roman" w:eastAsia="仿宋" w:cs="Times New Roman"/>
                <w:snapToGrid/>
                <w:color w:val="auto"/>
                <w:lang w:val="en-US" w:eastAsia="zh-CN" w:bidi="ar"/>
              </w:rPr>
              <w:t>价、环境治理</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1E84DA99">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3D11A5AB">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5DFE9F7">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11</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10EB09D3">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李铁妹</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4459142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株洲市生态环境局炎陵分局</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2AFAE6D9">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环境监测、环境应急管理、环境损害评估</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23762B08">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163E44EE">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0485294">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12</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391C32F1">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陈自安</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7CA7342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株洲市环境科学学会</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59EA5B9A">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4153EFA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助理研究员</w:t>
            </w:r>
          </w:p>
        </w:tc>
      </w:tr>
      <w:tr w14:paraId="29ADB50E">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46C5781">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13</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69B1961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何</w:t>
            </w:r>
            <w:r>
              <w:rPr>
                <w:rFonts w:ascii="Times New Roman" w:hAnsi="Times New Roman" w:eastAsia="仿宋" w:cs="Times New Roman"/>
                <w:snapToGrid/>
                <w:color w:val="auto"/>
                <w:lang w:val="en-US" w:eastAsia="zh-CN" w:bidi="ar"/>
              </w:rPr>
              <w:t>冰</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237A7E9A">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株洲市环境科学学会</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4439D753">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环境应急管理、环境治理、环境损害评估</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01DFD42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副研究员</w:t>
            </w:r>
          </w:p>
        </w:tc>
      </w:tr>
      <w:tr w14:paraId="582CDFD5">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5E5B3E9">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14</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10DAF894">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杨毅刚</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07A816BB">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株洲市生态环境局</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1C6EE59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环境影响评价、环境治理、环</w:t>
            </w:r>
            <w:r>
              <w:rPr>
                <w:rFonts w:ascii="Times New Roman" w:hAnsi="Times New Roman" w:eastAsia="仿宋" w:cs="Times New Roman"/>
                <w:snapToGrid/>
                <w:color w:val="auto"/>
                <w:lang w:val="en-US" w:eastAsia="zh-CN" w:bidi="ar"/>
              </w:rPr>
              <w:t>境科学</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5EB2E01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24BA495A">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1A3CA06">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15</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5A76F52C">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宋京津</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219E7B6B">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株洲市环境科学学</w:t>
            </w:r>
            <w:r>
              <w:rPr>
                <w:rFonts w:ascii="Times New Roman" w:hAnsi="Times New Roman" w:eastAsia="仿宋" w:cs="Times New Roman"/>
                <w:snapToGrid/>
                <w:color w:val="auto"/>
                <w:lang w:val="en-US" w:eastAsia="zh-CN" w:bidi="ar"/>
              </w:rPr>
              <w:t>会</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130431D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w:t>
            </w:r>
            <w:r>
              <w:rPr>
                <w:rFonts w:ascii="Times New Roman" w:hAnsi="Times New Roman" w:eastAsia="仿宋" w:cs="Times New Roman"/>
                <w:snapToGrid/>
                <w:color w:val="auto"/>
                <w:lang w:val="en-US" w:eastAsia="zh-CN" w:bidi="ar"/>
              </w:rPr>
              <w:t>价、环境治理</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53B6FB9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7C664489">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0635AD8">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16</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2B9A497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周清华</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7F79604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湖南良讯环保科技有限公司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62F69D21">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w:t>
            </w:r>
            <w:r>
              <w:rPr>
                <w:rFonts w:ascii="Times New Roman" w:hAnsi="Times New Roman" w:eastAsia="仿宋" w:cs="Times New Roman"/>
                <w:snapToGrid/>
                <w:color w:val="auto"/>
                <w:lang w:val="en-US" w:eastAsia="zh-CN" w:bidi="ar"/>
              </w:rPr>
              <w:t>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4F7250A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5C722717">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59130B5">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17</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06DA95E8">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蒋名乐</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2BC0D5CB">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湖南君行安环咨询有限公司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3E8491B2">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环境应急管理、环境影响评价、环境治理</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5D3914F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41A14A75">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5C9242">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18</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1A617AF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钟细斌</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092026F9">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株洲汇丰环保科技咨询有限公司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659131F5">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环境应急管理、化工石化医药、环境影响评价</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519CB5B1">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高级工程师</w:t>
            </w:r>
          </w:p>
        </w:tc>
      </w:tr>
      <w:tr w14:paraId="2EB6EBE5">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C355B6C">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19</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3C8D3833">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左亚</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3219A3D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湖南宏康环境科技有限公司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0DEA58D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环境治理、环境影响评价</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28290906">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中级工程师</w:t>
            </w:r>
          </w:p>
        </w:tc>
      </w:tr>
      <w:tr w14:paraId="6169A352">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9EB72E2">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20</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76E4A601">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罗志刚</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4F1A17EB">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长沙健宁环保科技有限责任公司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4A6F2757">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环境应急管理、环境治理、环境影响评价</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1FCD9361">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5F1C2BB1">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16E8554">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21</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1FBA4D62">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陈志军</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7A3385A5">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湖南景新环保有限责任公司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2AB348DD">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环境应急管理、环境影响评价、环境损害评估</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0CBD52AF">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r w14:paraId="4764150D">
        <w:tblPrEx>
          <w:tblCellMar>
            <w:top w:w="0" w:type="dxa"/>
            <w:left w:w="0" w:type="dxa"/>
            <w:bottom w:w="0" w:type="dxa"/>
            <w:right w:w="0" w:type="dxa"/>
          </w:tblCellMar>
        </w:tblPrEx>
        <w:trPr>
          <w:trHeight w:val="91" w:hRule="atLeast"/>
        </w:trPr>
        <w:tc>
          <w:tcPr>
            <w:tcW w:w="69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9C822F5">
            <w:pPr>
              <w:keepNext w:val="0"/>
              <w:keepLines w:val="0"/>
              <w:widowControl/>
              <w:suppressLineNumbers w:val="0"/>
              <w:jc w:val="center"/>
              <w:textAlignment w:val="center"/>
              <w:rPr>
                <w:rFonts w:hint="default" w:ascii="Times New Roman" w:hAnsi="Times New Roman" w:eastAsia="仿宋" w:cs="Times New Roman"/>
                <w:snapToGrid/>
                <w:color w:val="auto"/>
                <w:lang w:val="en-US" w:eastAsia="zh-CN" w:bidi="ar"/>
              </w:rPr>
            </w:pPr>
            <w:r>
              <w:rPr>
                <w:rFonts w:hint="eastAsia" w:ascii="宋体" w:hAnsi="宋体" w:eastAsia="宋体" w:cs="宋体"/>
                <w:i w:val="0"/>
                <w:iCs w:val="0"/>
                <w:snapToGrid w:val="0"/>
                <w:color w:val="000000"/>
                <w:kern w:val="0"/>
                <w:sz w:val="22"/>
                <w:szCs w:val="22"/>
                <w:u w:val="none"/>
                <w:lang w:val="en-US" w:eastAsia="zh-CN" w:bidi="ar"/>
              </w:rPr>
              <w:t>22</w:t>
            </w:r>
          </w:p>
        </w:tc>
        <w:tc>
          <w:tcPr>
            <w:tcW w:w="861" w:type="dxa"/>
            <w:tcBorders>
              <w:top w:val="nil"/>
              <w:left w:val="nil"/>
              <w:bottom w:val="single" w:color="000000" w:sz="8" w:space="0"/>
              <w:right w:val="single" w:color="000000" w:sz="8" w:space="0"/>
            </w:tcBorders>
            <w:noWrap w:val="0"/>
            <w:tcMar>
              <w:top w:w="15" w:type="dxa"/>
              <w:left w:w="15" w:type="dxa"/>
              <w:right w:w="15" w:type="dxa"/>
            </w:tcMar>
            <w:vAlign w:val="center"/>
          </w:tcPr>
          <w:p w14:paraId="7D121C8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曾海霞</w:t>
            </w:r>
          </w:p>
        </w:tc>
        <w:tc>
          <w:tcPr>
            <w:tcW w:w="2024" w:type="dxa"/>
            <w:tcBorders>
              <w:top w:val="nil"/>
              <w:left w:val="nil"/>
              <w:bottom w:val="single" w:color="000000" w:sz="8" w:space="0"/>
              <w:right w:val="single" w:color="000000" w:sz="8" w:space="0"/>
            </w:tcBorders>
            <w:noWrap w:val="0"/>
            <w:tcMar>
              <w:top w:w="15" w:type="dxa"/>
              <w:left w:w="15" w:type="dxa"/>
              <w:right w:w="15" w:type="dxa"/>
            </w:tcMar>
            <w:vAlign w:val="center"/>
          </w:tcPr>
          <w:p w14:paraId="6E6FED6E">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湖南恒捷环保科技有限公司</w:t>
            </w:r>
          </w:p>
        </w:tc>
        <w:tc>
          <w:tcPr>
            <w:tcW w:w="3840" w:type="dxa"/>
            <w:tcBorders>
              <w:top w:val="nil"/>
              <w:left w:val="nil"/>
              <w:bottom w:val="single" w:color="000000" w:sz="8" w:space="0"/>
              <w:right w:val="single" w:color="000000" w:sz="8" w:space="0"/>
            </w:tcBorders>
            <w:noWrap w:val="0"/>
            <w:tcMar>
              <w:top w:w="15" w:type="dxa"/>
              <w:left w:w="15" w:type="dxa"/>
              <w:right w:w="15" w:type="dxa"/>
            </w:tcMar>
            <w:vAlign w:val="center"/>
          </w:tcPr>
          <w:p w14:paraId="271DC87A">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环境应急管理、环境治理、环境监测</w:t>
            </w:r>
          </w:p>
        </w:tc>
        <w:tc>
          <w:tcPr>
            <w:tcW w:w="1453" w:type="dxa"/>
            <w:tcBorders>
              <w:top w:val="nil"/>
              <w:left w:val="nil"/>
              <w:bottom w:val="single" w:color="000000" w:sz="8" w:space="0"/>
              <w:right w:val="single" w:color="000000" w:sz="8" w:space="0"/>
            </w:tcBorders>
            <w:noWrap w:val="0"/>
            <w:tcMar>
              <w:top w:w="15" w:type="dxa"/>
              <w:left w:w="15" w:type="dxa"/>
              <w:right w:w="15" w:type="dxa"/>
            </w:tcMar>
            <w:vAlign w:val="center"/>
          </w:tcPr>
          <w:p w14:paraId="3D3F0F00">
            <w:pPr>
              <w:kinsoku/>
              <w:autoSpaceDE/>
              <w:autoSpaceDN/>
              <w:adjustRightInd/>
              <w:snapToGrid/>
              <w:jc w:val="center"/>
              <w:textAlignment w:val="center"/>
              <w:rPr>
                <w:rFonts w:ascii="Times New Roman" w:hAnsi="Times New Roman" w:eastAsia="仿宋" w:cs="Times New Roman"/>
                <w:snapToGrid/>
                <w:color w:val="auto"/>
                <w:lang w:eastAsia="zh-CN" w:bidi="ar"/>
              </w:rPr>
            </w:pPr>
            <w:r>
              <w:rPr>
                <w:rFonts w:hint="eastAsia" w:ascii="Times New Roman" w:hAnsi="Times New Roman" w:eastAsia="仿宋" w:cs="Times New Roman"/>
                <w:snapToGrid/>
                <w:color w:val="auto"/>
                <w:lang w:val="en-US" w:eastAsia="zh-CN" w:bidi="ar"/>
              </w:rPr>
              <w:t>工程师</w:t>
            </w:r>
          </w:p>
        </w:tc>
      </w:tr>
    </w:tbl>
    <w:p w14:paraId="487EE3F3">
      <w:pPr>
        <w:widowControl w:val="0"/>
        <w:kinsoku/>
        <w:autoSpaceDE/>
        <w:autoSpaceDN/>
        <w:adjustRightInd/>
        <w:snapToGrid/>
        <w:spacing w:line="580" w:lineRule="exact"/>
        <w:jc w:val="both"/>
        <w:textAlignment w:val="auto"/>
        <w:rPr>
          <w:rFonts w:ascii="Times New Roman" w:hAnsi="Times New Roman" w:eastAsia="黑体" w:cs="Times New Roman"/>
          <w:b/>
          <w:bCs/>
          <w:snapToGrid/>
          <w:color w:val="auto"/>
          <w:kern w:val="2"/>
          <w:sz w:val="32"/>
          <w:szCs w:val="32"/>
          <w:lang w:eastAsia="zh-CN"/>
        </w:rPr>
        <w:sectPr>
          <w:pgSz w:w="11906" w:h="16838"/>
          <w:pgMar w:top="1984" w:right="1474" w:bottom="1871" w:left="1587" w:header="851" w:footer="1587" w:gutter="0"/>
          <w:cols w:space="720" w:num="1"/>
          <w:titlePg/>
          <w:docGrid w:linePitch="590" w:charSpace="0"/>
        </w:sectPr>
      </w:pPr>
    </w:p>
    <w:p w14:paraId="5C09A4E1">
      <w:pPr>
        <w:widowControl w:val="0"/>
        <w:kinsoku/>
        <w:autoSpaceDE/>
        <w:autoSpaceDN/>
        <w:adjustRightInd/>
        <w:snapToGrid/>
        <w:spacing w:line="580" w:lineRule="exact"/>
        <w:jc w:val="both"/>
        <w:textAlignment w:val="auto"/>
        <w:rPr>
          <w:rFonts w:ascii="Times New Roman" w:hAnsi="Times New Roman" w:eastAsia="仿宋_GB2312" w:cs="Times New Roman"/>
          <w:b/>
          <w:bCs/>
          <w:snapToGrid/>
          <w:color w:val="auto"/>
          <w:kern w:val="2"/>
          <w:sz w:val="32"/>
          <w:szCs w:val="32"/>
          <w:lang w:eastAsia="zh-CN"/>
        </w:rPr>
      </w:pPr>
      <w:r>
        <w:rPr>
          <w:rFonts w:ascii="Times New Roman" w:hAnsi="Times New Roman" w:eastAsia="黑体" w:cs="Times New Roman"/>
          <w:b/>
          <w:bCs/>
          <w:snapToGrid/>
          <w:color w:val="auto"/>
          <w:kern w:val="2"/>
          <w:sz w:val="32"/>
          <w:szCs w:val="32"/>
          <w:lang w:eastAsia="zh-CN"/>
        </w:rPr>
        <w:t>附件</w:t>
      </w:r>
      <w:r>
        <w:rPr>
          <w:rFonts w:ascii="Times New Roman" w:hAnsi="Times New Roman" w:eastAsia="仿宋_GB2312" w:cs="Times New Roman"/>
          <w:b/>
          <w:bCs/>
          <w:snapToGrid/>
          <w:color w:val="auto"/>
          <w:kern w:val="2"/>
          <w:sz w:val="32"/>
          <w:szCs w:val="32"/>
          <w:lang w:eastAsia="zh-CN"/>
        </w:rPr>
        <w:t>4</w:t>
      </w:r>
    </w:p>
    <w:p w14:paraId="2A742B3A">
      <w:pPr>
        <w:widowControl w:val="0"/>
        <w:tabs>
          <w:tab w:val="left" w:pos="900"/>
        </w:tabs>
        <w:kinsoku/>
        <w:autoSpaceDE/>
        <w:autoSpaceDN/>
        <w:adjustRightInd/>
        <w:snapToGrid/>
        <w:jc w:val="center"/>
        <w:textAlignment w:val="auto"/>
        <w:rPr>
          <w:rFonts w:ascii="Times New Roman" w:hAnsi="Times New Roman" w:eastAsia="仿宋" w:cs="Times New Roman"/>
          <w:b/>
          <w:bCs/>
          <w:snapToGrid/>
          <w:color w:val="auto"/>
          <w:kern w:val="2"/>
          <w:sz w:val="44"/>
          <w:szCs w:val="44"/>
          <w:lang w:eastAsia="zh-CN"/>
        </w:rPr>
      </w:pPr>
      <w:r>
        <w:rPr>
          <w:rFonts w:ascii="Times New Roman" w:hAnsi="Times New Roman" w:eastAsia="仿宋" w:cs="Times New Roman"/>
          <w:b/>
          <w:bCs/>
          <w:snapToGrid/>
          <w:color w:val="auto"/>
          <w:kern w:val="2"/>
          <w:sz w:val="44"/>
          <w:szCs w:val="44"/>
          <w:lang w:eastAsia="zh-CN"/>
        </w:rPr>
        <w:t>突发环境事件应急响应工作流程图</w:t>
      </w:r>
    </w:p>
    <w:p w14:paraId="61F54630">
      <w:pPr>
        <w:widowControl w:val="0"/>
        <w:kinsoku/>
        <w:autoSpaceDE/>
        <w:autoSpaceDN/>
        <w:adjustRightInd/>
        <w:snapToGrid/>
        <w:spacing w:line="580" w:lineRule="exact"/>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92032" behindDoc="0" locked="0" layoutInCell="1" allowOverlap="1">
                <wp:simplePos x="0" y="0"/>
                <wp:positionH relativeFrom="column">
                  <wp:posOffset>1452880</wp:posOffset>
                </wp:positionH>
                <wp:positionV relativeFrom="paragraph">
                  <wp:posOffset>2142490</wp:posOffset>
                </wp:positionV>
                <wp:extent cx="228600" cy="590550"/>
                <wp:effectExtent l="0" t="4445" r="0" b="14605"/>
                <wp:wrapNone/>
                <wp:docPr id="33" name="AutoShape 60"/>
                <wp:cNvGraphicFramePr/>
                <a:graphic xmlns:a="http://schemas.openxmlformats.org/drawingml/2006/main">
                  <a:graphicData uri="http://schemas.microsoft.com/office/word/2010/wordprocessingShape">
                    <wps:wsp>
                      <wps:cNvCnPr>
                        <a:stCxn id="2" idx="1"/>
                        <a:endCxn id="31" idx="3"/>
                      </wps:cNvCnPr>
                      <wps:spPr>
                        <a:xfrm rot="-10800000" flipV="1">
                          <a:off x="0" y="0"/>
                          <a:ext cx="228600" cy="590550"/>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AutoShape 60" o:spid="_x0000_s1026" o:spt="34" type="#_x0000_t34" style="position:absolute;left:0pt;flip:y;margin-left:114.4pt;margin-top:168.7pt;height:46.5pt;width:18pt;rotation:11796480f;z-index:251692032;mso-width-relative:page;mso-height-relative:page;" filled="f" stroked="t" coordsize="21600,21600" o:gfxdata="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PIkN9oAAAALAQAADwAAAAAAAAABACAAAAAiAAAAZHJzL2Rvd25yZXYueG1sUEsBAhQA&#10;FAAAAAgAh07iQORR0K4pAgAAdAQAAA4AAAAAAAAAAQAgAAAAKQEAAGRycy9lMm9Eb2MueG1sUEsF&#10;BgAAAAAGAAYAWQEAAMQFAAAAAA==&#10;" adj="10800">
                <v:fill on="f" focussize="0,0"/>
                <v:stroke color="#000000" joinstyle="miter"/>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7936" behindDoc="0" locked="0" layoutInCell="1" allowOverlap="1">
                <wp:simplePos x="0" y="0"/>
                <wp:positionH relativeFrom="column">
                  <wp:posOffset>5070475</wp:posOffset>
                </wp:positionH>
                <wp:positionV relativeFrom="paragraph">
                  <wp:posOffset>3462655</wp:posOffset>
                </wp:positionV>
                <wp:extent cx="86995" cy="4445"/>
                <wp:effectExtent l="0" t="0" r="0" b="0"/>
                <wp:wrapNone/>
                <wp:docPr id="29" name="AutoShape 56"/>
                <wp:cNvGraphicFramePr/>
                <a:graphic xmlns:a="http://schemas.openxmlformats.org/drawingml/2006/main">
                  <a:graphicData uri="http://schemas.microsoft.com/office/word/2010/wordprocessingShape">
                    <wps:wsp>
                      <wps:cNvCnPr>
                        <a:stCxn id="26" idx="3"/>
                        <a:endCxn id="28" idx="1"/>
                      </wps:cNvCnPr>
                      <wps:spPr>
                        <a:xfrm flipV="1">
                          <a:off x="0" y="0"/>
                          <a:ext cx="86995" cy="44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56" o:spid="_x0000_s1026" o:spt="32" type="#_x0000_t32" style="position:absolute;left:0pt;flip:y;margin-left:399.25pt;margin-top:272.65pt;height:0.35pt;width:6.85pt;z-index:251687936;mso-width-relative:page;mso-height-relative:page;" filled="f" stroked="t" coordsize="21600,21600" o:gfxdata="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fKOLZAAAACwEAAA8AAAAAAAAAAQAgAAAAIgAAAGRycy9k&#10;b3ducmV2LnhtbFBLAQIUABQAAAAIAIdO4kC1QNXGAQIAAC8EAAAOAAAAAAAAAAEAIAAAACgBAABk&#10;cnMvZTJvRG9jLnhtbFBLBQYAAAAABgAGAFkBAACbBQAAAAA=&#10;">
                <v:fill on="f" focussize="0,0"/>
                <v:stroke color="#000000" joinstyle="round"/>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5888" behindDoc="0" locked="0" layoutInCell="1" allowOverlap="1">
                <wp:simplePos x="0" y="0"/>
                <wp:positionH relativeFrom="column">
                  <wp:posOffset>3181985</wp:posOffset>
                </wp:positionH>
                <wp:positionV relativeFrom="paragraph">
                  <wp:posOffset>3462655</wp:posOffset>
                </wp:positionV>
                <wp:extent cx="855980" cy="4445"/>
                <wp:effectExtent l="0" t="34290" r="1270" b="37465"/>
                <wp:wrapNone/>
                <wp:docPr id="27" name="AutoShape 54"/>
                <wp:cNvGraphicFramePr/>
                <a:graphic xmlns:a="http://schemas.openxmlformats.org/drawingml/2006/main">
                  <a:graphicData uri="http://schemas.microsoft.com/office/word/2010/wordprocessingShape">
                    <wps:wsp>
                      <wps:cNvCnPr>
                        <a:stCxn id="10" idx="3"/>
                        <a:endCxn id="26" idx="1"/>
                      </wps:cNvCnPr>
                      <wps:spPr>
                        <a:xfrm>
                          <a:off x="0" y="0"/>
                          <a:ext cx="855980" cy="44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4" o:spid="_x0000_s1026" o:spt="32" type="#_x0000_t32" style="position:absolute;left:0pt;margin-left:250.55pt;margin-top:272.65pt;height:0.35pt;width:67.4pt;z-index:251685888;mso-width-relative:page;mso-height-relative:page;" filled="f" stroked="t" coordsize="21600,21600" o:gfxdata="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&#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S0YM9oAAAALAQAADwAAAAAAAAABACAAAAAiAAAA&#10;ZHJzL2Rvd25yZXYueG1sUEsBAhQAFAAAAAgAh07iQG04yLUFAgAAKgQAAA4AAAAAAAAAAQAgAAAA&#10;KQEAAGRycy9lMm9Eb2MueG1sUEsFBgAAAAAGAAYAWQEAAKAFAAAAAA==&#10;">
                <v:fill on="f" focussize="0,0"/>
                <v:stroke color="#000000" joinstyle="round"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3840" behindDoc="0" locked="0" layoutInCell="1" allowOverlap="1">
                <wp:simplePos x="0" y="0"/>
                <wp:positionH relativeFrom="column">
                  <wp:posOffset>1567180</wp:posOffset>
                </wp:positionH>
                <wp:positionV relativeFrom="paragraph">
                  <wp:posOffset>3462655</wp:posOffset>
                </wp:positionV>
                <wp:extent cx="681990" cy="0"/>
                <wp:effectExtent l="0" t="38100" r="3810" b="38100"/>
                <wp:wrapNone/>
                <wp:docPr id="25" name="AutoShape 52"/>
                <wp:cNvGraphicFramePr/>
                <a:graphic xmlns:a="http://schemas.openxmlformats.org/drawingml/2006/main">
                  <a:graphicData uri="http://schemas.microsoft.com/office/word/2010/wordprocessingShape">
                    <wps:wsp>
                      <wps:cNvCnPr>
                        <a:stCxn id="10" idx="1"/>
                        <a:endCxn id="24" idx="3"/>
                      </wps:cNvCnPr>
                      <wps:spPr>
                        <a:xfrm rot="10800000">
                          <a:off x="0" y="0"/>
                          <a:ext cx="6819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2" o:spid="_x0000_s1026" o:spt="32" type="#_x0000_t32" style="position:absolute;left:0pt;margin-left:123.4pt;margin-top:272.65pt;height:0pt;width:53.7pt;rotation:11796480f;z-index:251683840;mso-width-relative:page;mso-height-relative:page;" filled="f" stroked="t" coordsize="21600,21600" o:gfxdata="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sg/P9kAAAALAQAADwAAAAAAAAABACAAAAAi&#10;AAAAZHJzL2Rvd25yZXYueG1sUEsBAhQAFAAAAAgAh07iQAk1HDoJAgAANgQAAA4AAAAAAAAAAQAg&#10;AAAAKAEAAGRycy9lMm9Eb2MueG1sUEsFBgAAAAAGAAYAWQEAAKMFAAAAAA==&#10;">
                <v:fill on="f" focussize="0,0"/>
                <v:stroke color="#000000" joinstyle="round"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1792" behindDoc="0" locked="0" layoutInCell="1" allowOverlap="1">
                <wp:simplePos x="0" y="0"/>
                <wp:positionH relativeFrom="column">
                  <wp:posOffset>3288665</wp:posOffset>
                </wp:positionH>
                <wp:positionV relativeFrom="paragraph">
                  <wp:posOffset>4058920</wp:posOffset>
                </wp:positionV>
                <wp:extent cx="572770" cy="42545"/>
                <wp:effectExtent l="0" t="4445" r="17780" b="10160"/>
                <wp:wrapNone/>
                <wp:docPr id="23" name="AutoShape 33"/>
                <wp:cNvGraphicFramePr/>
                <a:graphic xmlns:a="http://schemas.openxmlformats.org/drawingml/2006/main">
                  <a:graphicData uri="http://schemas.microsoft.com/office/word/2010/wordprocessingShape">
                    <wps:wsp>
                      <wps:cNvCnPr>
                        <a:stCxn id="4" idx="3"/>
                        <a:endCxn id="22" idx="1"/>
                      </wps:cNvCnPr>
                      <wps:spPr>
                        <a:xfrm flipV="1">
                          <a:off x="0" y="0"/>
                          <a:ext cx="572770" cy="42545"/>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AutoShape 33" o:spid="_x0000_s1026" o:spt="34" type="#_x0000_t34" style="position:absolute;left:0pt;flip:y;margin-left:258.95pt;margin-top:319.6pt;height:3.35pt;width:45.1pt;z-index:251681792;mso-width-relative:page;mso-height-relative:page;" filled="f" stroked="t" coordsize="21600,21600" o:gfxdata="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ScoL3AAA&#10;AAsBAAAPAAAAAAAAAAEAIAAAACIAAABkcnMvZG93bnJldi54bWxQSwECFAAUAAAACACHTuJAEdbG&#10;rxoCAABjBAAADgAAAAAAAAABACAAAAArAQAAZHJzL2Uyb0RvYy54bWxQSwUGAAAAAAYABgBZAQAA&#10;twUAAAAA&#10;" adj="10800">
                <v:fill on="f" focussize="0,0"/>
                <v:stroke color="#000000" joinstyle="miter"/>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2576" behindDoc="0" locked="0" layoutInCell="1" allowOverlap="1">
                <wp:simplePos x="0" y="0"/>
                <wp:positionH relativeFrom="column">
                  <wp:posOffset>2516505</wp:posOffset>
                </wp:positionH>
                <wp:positionV relativeFrom="paragraph">
                  <wp:posOffset>3115310</wp:posOffset>
                </wp:positionV>
                <wp:extent cx="287020" cy="3810"/>
                <wp:effectExtent l="34290" t="0" r="38100" b="17780"/>
                <wp:wrapNone/>
                <wp:docPr id="14" name="AutoShape 18"/>
                <wp:cNvGraphicFramePr/>
                <a:graphic xmlns:a="http://schemas.openxmlformats.org/drawingml/2006/main">
                  <a:graphicData uri="http://schemas.microsoft.com/office/word/2010/wordprocessingShape">
                    <wps:wsp>
                      <wps:cNvCnPr>
                        <a:stCxn id="3" idx="2"/>
                        <a:endCxn id="10" idx="0"/>
                      </wps:cNvCnPr>
                      <wps:spPr>
                        <a:xfrm rot="-5400000" flipH="1">
                          <a:off x="0" y="0"/>
                          <a:ext cx="287020" cy="3810"/>
                        </a:xfrm>
                        <a:prstGeom prst="bentConnector3">
                          <a:avLst>
                            <a:gd name="adj1" fmla="val 4977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18" o:spid="_x0000_s1026" o:spt="34" type="#_x0000_t34" style="position:absolute;left:0pt;flip:x;margin-left:198.15pt;margin-top:245.3pt;height:0.3pt;width:22.6pt;rotation:5898240f;z-index:251672576;mso-width-relative:page;mso-height-relative:page;" filled="f" stroked="t" coordsize="21600,21600" o:gfxdata="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lHkzdkAAAALAQAADwAAAAAAAAABACAAAAAiAAAAZHJzL2Rvd25yZXYueG1s&#10;UEsBAhQAFAAAAAgAh07iQM6XQlcwAgAAdQQAAA4AAAAAAAAAAQAgAAAAKAEAAGRycy9lMm9Eb2Mu&#10;eG1sUEsFBgAAAAAGAAYAWQEAAMoFAAAAAA==&#10;" adj="10752">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1552" behindDoc="0" locked="0" layoutInCell="1" allowOverlap="1">
                <wp:simplePos x="0" y="0"/>
                <wp:positionH relativeFrom="column">
                  <wp:posOffset>2515870</wp:posOffset>
                </wp:positionH>
                <wp:positionV relativeFrom="paragraph">
                  <wp:posOffset>2534285</wp:posOffset>
                </wp:positionV>
                <wp:extent cx="286385" cy="1905"/>
                <wp:effectExtent l="38100" t="0" r="36195" b="18415"/>
                <wp:wrapNone/>
                <wp:docPr id="13" name="AutoShape 17"/>
                <wp:cNvGraphicFramePr/>
                <a:graphic xmlns:a="http://schemas.openxmlformats.org/drawingml/2006/main">
                  <a:graphicData uri="http://schemas.microsoft.com/office/word/2010/wordprocessingShape">
                    <wps:wsp>
                      <wps:cNvCnPr>
                        <a:stCxn id="2" idx="2"/>
                        <a:endCxn id="3" idx="0"/>
                      </wps:cNvCnPr>
                      <wps:spPr>
                        <a:xfrm rot="5400000">
                          <a:off x="0" y="0"/>
                          <a:ext cx="286385" cy="1905"/>
                        </a:xfrm>
                        <a:prstGeom prst="bentConnector3">
                          <a:avLst>
                            <a:gd name="adj1" fmla="val 49889"/>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17" o:spid="_x0000_s1026" o:spt="34" type="#_x0000_t34" style="position:absolute;left:0pt;margin-left:198.1pt;margin-top:199.55pt;height:0.15pt;width:22.55pt;rotation:5898240f;z-index:251671552;mso-width-relative:page;mso-height-relative:page;" filled="f" stroked="t" coordsize="21600,21600" o:gfxdata="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DMjOtkAAAALAQAADwAAAAAAAAABACAAAAAiAAAAZHJzL2Rvd25yZXYueG1sUEsBAhQAFAAA&#10;AAgAh07iQJ8PApEnAgAAaQQAAA4AAAAAAAAAAQAgAAAAKAEAAGRycy9lMm9Eb2MueG1sUEsFBgAA&#10;AAAGAAYAWQEAAMEFAAAAAA==&#10;" adj="10776">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0528" behindDoc="0" locked="0" layoutInCell="1" allowOverlap="1">
                <wp:simplePos x="0" y="0"/>
                <wp:positionH relativeFrom="column">
                  <wp:posOffset>2364740</wp:posOffset>
                </wp:positionH>
                <wp:positionV relativeFrom="paragraph">
                  <wp:posOffset>1489710</wp:posOffset>
                </wp:positionV>
                <wp:extent cx="590550" cy="0"/>
                <wp:effectExtent l="38100" t="0" r="38100" b="0"/>
                <wp:wrapNone/>
                <wp:docPr id="12" name="AutoShape 16"/>
                <wp:cNvGraphicFramePr/>
                <a:graphic xmlns:a="http://schemas.openxmlformats.org/drawingml/2006/main">
                  <a:graphicData uri="http://schemas.microsoft.com/office/word/2010/wordprocessingShape">
                    <wps:wsp>
                      <wps:cNvCnPr>
                        <a:stCxn id="1" idx="2"/>
                        <a:endCxn id="2" idx="0"/>
                      </wps:cNvCnPr>
                      <wps:spPr>
                        <a:xfrm rot="5400000">
                          <a:off x="0" y="0"/>
                          <a:ext cx="590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6" o:spid="_x0000_s1026" o:spt="32" type="#_x0000_t32" style="position:absolute;left:0pt;margin-left:186.2pt;margin-top:117.3pt;height:0pt;width:46.5pt;rotation:5898240f;z-index:251670528;mso-width-relative:page;mso-height-relative:page;" filled="f" stroked="t" coordsize="21600,21600" o:gfxdata="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RNGUjZAAAACwEAAA8AAAAAAAAAAQAgAAAAIgAA&#10;AGRycy9kb3ducmV2LnhtbFBLAQIUABQAAAAIAIdO4kDaJZxKBwIAADMEAAAOAAAAAAAAAAEAIAAA&#10;ACgBAABkcnMvZTJvRG9jLnhtbFBLBQYAAAAABgAGAFkBAAChBQAAAAA=&#10;">
                <v:fill on="f" focussize="0,0"/>
                <v:stroke color="#000000" joinstyle="round"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95104" behindDoc="0" locked="0" layoutInCell="1" allowOverlap="1">
                <wp:simplePos x="0" y="0"/>
                <wp:positionH relativeFrom="column">
                  <wp:posOffset>2011045</wp:posOffset>
                </wp:positionH>
                <wp:positionV relativeFrom="paragraph">
                  <wp:posOffset>43180</wp:posOffset>
                </wp:positionV>
                <wp:extent cx="1573530" cy="356870"/>
                <wp:effectExtent l="4445" t="4445" r="22225" b="19685"/>
                <wp:wrapNone/>
                <wp:docPr id="36" name="AutoShape 63"/>
                <wp:cNvGraphicFramePr/>
                <a:graphic xmlns:a="http://schemas.openxmlformats.org/drawingml/2006/main">
                  <a:graphicData uri="http://schemas.microsoft.com/office/word/2010/wordprocessingShape">
                    <wps:wsp>
                      <wps:cNvSpPr/>
                      <wps:spPr>
                        <a:xfrm>
                          <a:off x="0" y="0"/>
                          <a:ext cx="1573530" cy="3568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F547665">
                            <w:pPr>
                              <w:widowControl w:val="0"/>
                              <w:kinsoku/>
                              <w:autoSpaceDE/>
                              <w:autoSpaceDN/>
                              <w:adjustRightInd/>
                              <w:snapToGrid/>
                              <w:spacing w:line="40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突发环境事件</w:t>
                            </w:r>
                          </w:p>
                        </w:txbxContent>
                      </wps:txbx>
                      <wps:bodyPr wrap="square" lIns="91439" tIns="45719" rIns="91439" bIns="45719" upright="1"/>
                    </wps:wsp>
                  </a:graphicData>
                </a:graphic>
              </wp:anchor>
            </w:drawing>
          </mc:Choice>
          <mc:Fallback>
            <w:pict>
              <v:roundrect id="AutoShape 63" o:spid="_x0000_s1026" o:spt="2" style="position:absolute;left:0pt;margin-left:158.35pt;margin-top:3.4pt;height:28.1pt;width:123.9pt;z-index:251695104;mso-width-relative:page;mso-height-relative:page;" fillcolor="#FFFFFF" filled="t" stroked="t" coordsize="21600,21600" arcsize="0.166666666666667" o:gfxdata="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lhTTWAAAACAEAAA8AAAAAAAAAAQAgAAAAIgAAAGRycy9kb3ducmV2LnhtbFBL&#10;AQIUABQAAAAIAIdO4kDNhmwpMQIAAJcEAAAOAAAAAAAAAAEAIAAAACUBAABkcnMvZTJvRG9jLnht&#10;bFBLBQYAAAAABgAGAFkBAADIBQAAAAA=&#10;">
                <v:fill on="t" focussize="0,0"/>
                <v:stroke color="#000000" joinstyle="round"/>
                <v:imagedata o:title=""/>
                <o:lock v:ext="edit" aspectratio="f"/>
                <v:textbox inset="7.19992125984252pt,3.59992125984252pt,7.19992125984252pt,3.59992125984252pt">
                  <w:txbxContent>
                    <w:p w14:paraId="7F547665">
                      <w:pPr>
                        <w:widowControl w:val="0"/>
                        <w:kinsoku/>
                        <w:autoSpaceDE/>
                        <w:autoSpaceDN/>
                        <w:adjustRightInd/>
                        <w:snapToGrid/>
                        <w:spacing w:line="40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突发环境事件</w:t>
                      </w:r>
                    </w:p>
                  </w:txbxContent>
                </v:textbox>
              </v:roundrect>
            </w:pict>
          </mc:Fallback>
        </mc:AlternateContent>
      </w:r>
      <w:r>
        <w:rPr>
          <w:rFonts w:ascii="Times New Roman" w:hAnsi="Times New Roman" w:eastAsia="仿宋_GB2312" w:cs="Times New Roman"/>
          <w:snapToGrid/>
          <w:color w:val="auto"/>
          <w:kern w:val="2"/>
          <w:sz w:val="32"/>
          <w:szCs w:val="32"/>
          <w:lang w:eastAsia="zh-CN"/>
        </w:rPr>
        <w:t>·</w:t>
      </w:r>
    </w:p>
    <w:p w14:paraId="5FA46C02">
      <w:pPr>
        <w:widowControl w:val="0"/>
        <w:kinsoku/>
        <w:autoSpaceDE/>
        <w:autoSpaceDN/>
        <w:adjustRightInd/>
        <w:snapToGrid/>
        <w:spacing w:line="580" w:lineRule="exact"/>
        <w:jc w:val="both"/>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96128" behindDoc="0" locked="0" layoutInCell="1" allowOverlap="1">
                <wp:simplePos x="0" y="0"/>
                <wp:positionH relativeFrom="column">
                  <wp:posOffset>4667250</wp:posOffset>
                </wp:positionH>
                <wp:positionV relativeFrom="paragraph">
                  <wp:posOffset>1187450</wp:posOffset>
                </wp:positionV>
                <wp:extent cx="911225" cy="295275"/>
                <wp:effectExtent l="4445" t="5080" r="17780" b="4445"/>
                <wp:wrapNone/>
                <wp:docPr id="37" name="Rectangle 12"/>
                <wp:cNvGraphicFramePr/>
                <a:graphic xmlns:a="http://schemas.openxmlformats.org/drawingml/2006/main">
                  <a:graphicData uri="http://schemas.microsoft.com/office/word/2010/wordprocessingShape">
                    <wps:wsp>
                      <wps:cNvSpPr/>
                      <wps:spPr>
                        <a:xfrm>
                          <a:off x="0" y="0"/>
                          <a:ext cx="91122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CE4E8B">
                            <w:pPr>
                              <w:widowControl w:val="0"/>
                              <w:kinsoku/>
                              <w:autoSpaceDE/>
                              <w:autoSpaceDN/>
                              <w:adjustRightInd/>
                              <w:snapToGrid/>
                              <w:spacing w:line="300" w:lineRule="exact"/>
                              <w:ind w:firstLine="180" w:firstLineChars="100"/>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信息反馈</w:t>
                            </w:r>
                          </w:p>
                        </w:txbxContent>
                      </wps:txbx>
                      <wps:bodyPr wrap="square" lIns="91439" tIns="45719" rIns="91439" bIns="45719" upright="1"/>
                    </wps:wsp>
                  </a:graphicData>
                </a:graphic>
              </wp:anchor>
            </w:drawing>
          </mc:Choice>
          <mc:Fallback>
            <w:pict>
              <v:roundrect id="Rectangle 12" o:spid="_x0000_s1026" o:spt="2" style="position:absolute;left:0pt;margin-left:367.5pt;margin-top:93.5pt;height:23.25pt;width:71.75pt;z-index:251696128;mso-width-relative:page;mso-height-relative:page;" fillcolor="#FFFFFF" filled="t" stroked="t" coordsize="21600,21600" arcsize="0.166666666666667" o:gfxdata="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XGdKdkAAAALAQAADwAAAAAAAAABACAAAAAiAAAAZHJzL2Rvd25yZXYueG1sUEsB&#10;AhQAFAAAAAgAh07iQGrrL9MtAgAAlgQAAA4AAAAAAAAAAQAgAAAAKAEAAGRycy9lMm9Eb2MueG1s&#10;UEsFBgAAAAAGAAYAWQEAAMcFAAAAAA==&#10;">
                <v:fill on="t" focussize="0,0"/>
                <v:stroke color="#000000" joinstyle="round"/>
                <v:imagedata o:title=""/>
                <o:lock v:ext="edit" aspectratio="f"/>
                <v:textbox inset="7.19992125984252pt,3.59992125984252pt,7.19992125984252pt,3.59992125984252pt">
                  <w:txbxContent>
                    <w:p w14:paraId="11CE4E8B">
                      <w:pPr>
                        <w:widowControl w:val="0"/>
                        <w:kinsoku/>
                        <w:autoSpaceDE/>
                        <w:autoSpaceDN/>
                        <w:adjustRightInd/>
                        <w:snapToGrid/>
                        <w:spacing w:line="300" w:lineRule="exact"/>
                        <w:ind w:firstLine="180" w:firstLineChars="100"/>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信息反馈</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7456" behindDoc="0" locked="0" layoutInCell="1" allowOverlap="1">
                <wp:simplePos x="0" y="0"/>
                <wp:positionH relativeFrom="column">
                  <wp:posOffset>4240530</wp:posOffset>
                </wp:positionH>
                <wp:positionV relativeFrom="paragraph">
                  <wp:posOffset>913130</wp:posOffset>
                </wp:positionV>
                <wp:extent cx="257810" cy="1355090"/>
                <wp:effectExtent l="0" t="0" r="16510" b="8890"/>
                <wp:wrapNone/>
                <wp:docPr id="9" name="AutoShape 13"/>
                <wp:cNvGraphicFramePr/>
                <a:graphic xmlns:a="http://schemas.openxmlformats.org/drawingml/2006/main">
                  <a:graphicData uri="http://schemas.microsoft.com/office/word/2010/wordprocessingShape">
                    <wps:wsp>
                      <wps:cNvCnPr>
                        <a:endCxn id="2" idx="3"/>
                      </wps:cNvCnPr>
                      <wps:spPr>
                        <a:xfrm rot="5400000">
                          <a:off x="0" y="0"/>
                          <a:ext cx="257810" cy="1355090"/>
                        </a:xfrm>
                        <a:prstGeom prst="bentConnector2">
                          <a:avLst/>
                        </a:prstGeom>
                        <a:ln w="9525" cap="flat" cmpd="sng">
                          <a:solidFill>
                            <a:srgbClr val="000000"/>
                          </a:solidFill>
                          <a:prstDash val="solid"/>
                          <a:miter/>
                          <a:headEnd type="none" w="med" len="med"/>
                          <a:tailEnd type="none" w="med" len="med"/>
                        </a:ln>
                      </wps:spPr>
                      <wps:bodyPr/>
                    </wps:wsp>
                  </a:graphicData>
                </a:graphic>
              </wp:anchor>
            </w:drawing>
          </mc:Choice>
          <mc:Fallback>
            <w:pict>
              <v:shape id="AutoShape 13" o:spid="_x0000_s1026" o:spt="33" type="#_x0000_t33" style="position:absolute;left:0pt;margin-left:333.9pt;margin-top:71.9pt;height:106.7pt;width:20.3pt;rotation:5898240f;z-index:251667456;mso-width-relative:page;mso-height-relative:page;" filled="f" stroked="t" coordsize="21600,21600" o:gfxdata="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0/GjZ2wAAAAsBAAAPAAAAAAAAAAEAIAAAACIAAABkcnMv&#10;ZG93bnJldi54bWxQSwECFAAUAAAACACHTuJAfkwpYQACAAAhBAAADgAAAAAAAAABACAAAAAqAQAA&#10;ZHJzL2Uyb0RvYy54bWxQSwUGAAAAAAYABgBZAQAAnAUAAAAA&#10;">
                <v:fill on="f" focussize="0,0"/>
                <v:stroke color="#000000" joinstyle="miter"/>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8720" behindDoc="0" locked="0" layoutInCell="1" allowOverlap="1">
                <wp:simplePos x="0" y="0"/>
                <wp:positionH relativeFrom="column">
                  <wp:posOffset>4018280</wp:posOffset>
                </wp:positionH>
                <wp:positionV relativeFrom="paragraph">
                  <wp:posOffset>137795</wp:posOffset>
                </wp:positionV>
                <wp:extent cx="586740" cy="1470660"/>
                <wp:effectExtent l="0" t="38100" r="15240" b="3810"/>
                <wp:wrapNone/>
                <wp:docPr id="20" name="AutoShape 24"/>
                <wp:cNvGraphicFramePr/>
                <a:graphic xmlns:a="http://schemas.openxmlformats.org/drawingml/2006/main">
                  <a:graphicData uri="http://schemas.microsoft.com/office/word/2010/wordprocessingShape">
                    <wps:wsp>
                      <wps:cNvCnPr>
                        <a:stCxn id="7" idx="2"/>
                        <a:endCxn id="1" idx="3"/>
                      </wps:cNvCnPr>
                      <wps:spPr>
                        <a:xfrm rot="5400000" flipH="1">
                          <a:off x="0" y="0"/>
                          <a:ext cx="586740" cy="1470660"/>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24" o:spid="_x0000_s1026" o:spt="33" type="#_x0000_t33" style="position:absolute;left:0pt;flip:x;margin-left:316.4pt;margin-top:10.85pt;height:115.8pt;width:46.2pt;rotation:-5898240f;z-index:251678720;mso-width-relative:page;mso-height-relative:page;" filled="f" stroked="t" coordsize="21600,21600" o:gfxdata="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ZHSb9oAAAAK&#10;AQAADwAAAAAAAAABACAAAAAiAAAAZHJzL2Rvd25yZXYueG1sUEsBAhQAFAAAAAgAh07iQOAxXGIa&#10;AgAASQQAAA4AAAAAAAAAAQAgAAAAKQEAAGRycy9lMm9Eb2MueG1sUEsFBgAAAAAGAAYAWQEAALUF&#10;AAAAAA==&#10;">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94080" behindDoc="0" locked="0" layoutInCell="1" allowOverlap="1">
                <wp:simplePos x="0" y="0"/>
                <wp:positionH relativeFrom="column">
                  <wp:posOffset>3143250</wp:posOffset>
                </wp:positionH>
                <wp:positionV relativeFrom="paragraph">
                  <wp:posOffset>2703195</wp:posOffset>
                </wp:positionV>
                <wp:extent cx="969010" cy="432435"/>
                <wp:effectExtent l="0" t="0" r="0" b="0"/>
                <wp:wrapNone/>
                <wp:docPr id="35" name="Text Box 62"/>
                <wp:cNvGraphicFramePr/>
                <a:graphic xmlns:a="http://schemas.openxmlformats.org/drawingml/2006/main">
                  <a:graphicData uri="http://schemas.microsoft.com/office/word/2010/wordprocessingShape">
                    <wps:wsp>
                      <wps:cNvSpPr/>
                      <wps:spPr>
                        <a:xfrm>
                          <a:off x="0" y="0"/>
                          <a:ext cx="969010" cy="432435"/>
                        </a:xfrm>
                        <a:prstGeom prst="roundRect">
                          <a:avLst>
                            <a:gd name="adj" fmla="val 16667"/>
                          </a:avLst>
                        </a:prstGeom>
                        <a:noFill/>
                        <a:ln>
                          <a:noFill/>
                        </a:ln>
                      </wps:spPr>
                      <wps:txbx>
                        <w:txbxContent>
                          <w:p w14:paraId="7BE1D60F">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较大以上环境突发事件</w:t>
                            </w:r>
                          </w:p>
                        </w:txbxContent>
                      </wps:txbx>
                      <wps:bodyPr wrap="square" lIns="91439" tIns="45719" rIns="91439" bIns="45719" upright="1"/>
                    </wps:wsp>
                  </a:graphicData>
                </a:graphic>
              </wp:anchor>
            </w:drawing>
          </mc:Choice>
          <mc:Fallback>
            <w:pict>
              <v:roundrect id="Text Box 62" o:spid="_x0000_s1026" o:spt="2" style="position:absolute;left:0pt;margin-left:247.5pt;margin-top:212.85pt;height:34.05pt;width:76.3pt;z-index:251694080;mso-width-relative:page;mso-height-relative:page;" filled="f" stroked="f" coordsize="21600,21600" arcsize="0.166666666666667" o:gfxdata="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JodmDbAAAACwEAAA8AAAAAAAAA&#10;AQAgAAAAIgAAAGRycy9kb3ducmV2LnhtbFBLAQIUABQAAAAIAIdO4kClNgcC1QEAALcDAAAOAAAA&#10;AAAAAAEAIAAAACoBAABkcnMvZTJvRG9jLnhtbFBLBQYAAAAABgAGAFkBAABxBQAAAAA=&#10;">
                <v:fill on="f" focussize="0,0"/>
                <v:stroke on="f"/>
                <v:imagedata o:title=""/>
                <o:lock v:ext="edit" aspectratio="f"/>
                <v:textbox inset="7.19992125984252pt,3.59992125984252pt,7.19992125984252pt,3.59992125984252pt">
                  <w:txbxContent>
                    <w:p w14:paraId="7BE1D60F">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较大以上环境突发事件</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93056" behindDoc="0" locked="0" layoutInCell="1" allowOverlap="1">
                <wp:simplePos x="0" y="0"/>
                <wp:positionH relativeFrom="column">
                  <wp:posOffset>1566545</wp:posOffset>
                </wp:positionH>
                <wp:positionV relativeFrom="paragraph">
                  <wp:posOffset>2698750</wp:posOffset>
                </wp:positionV>
                <wp:extent cx="917575" cy="421005"/>
                <wp:effectExtent l="0" t="0" r="0" b="0"/>
                <wp:wrapNone/>
                <wp:docPr id="34" name="Text Box 61"/>
                <wp:cNvGraphicFramePr/>
                <a:graphic xmlns:a="http://schemas.openxmlformats.org/drawingml/2006/main">
                  <a:graphicData uri="http://schemas.microsoft.com/office/word/2010/wordprocessingShape">
                    <wps:wsp>
                      <wps:cNvSpPr/>
                      <wps:spPr>
                        <a:xfrm>
                          <a:off x="0" y="0"/>
                          <a:ext cx="917575" cy="421005"/>
                        </a:xfrm>
                        <a:prstGeom prst="roundRect">
                          <a:avLst>
                            <a:gd name="adj" fmla="val 16667"/>
                          </a:avLst>
                        </a:prstGeom>
                        <a:noFill/>
                        <a:ln>
                          <a:noFill/>
                        </a:ln>
                      </wps:spPr>
                      <wps:txbx>
                        <w:txbxContent>
                          <w:p w14:paraId="2B7EBBAD">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一般突发环境事件</w:t>
                            </w:r>
                          </w:p>
                        </w:txbxContent>
                      </wps:txbx>
                      <wps:bodyPr wrap="square" lIns="91439" tIns="45719" rIns="91439" bIns="45719" upright="1"/>
                    </wps:wsp>
                  </a:graphicData>
                </a:graphic>
              </wp:anchor>
            </w:drawing>
          </mc:Choice>
          <mc:Fallback>
            <w:pict>
              <v:roundrect id="Text Box 61" o:spid="_x0000_s1026" o:spt="2" style="position:absolute;left:0pt;margin-left:123.35pt;margin-top:212.5pt;height:33.15pt;width:72.25pt;z-index:251693056;mso-width-relative:page;mso-height-relative:page;" filled="f" stroked="f" coordsize="21600,21600" arcsize="0.166666666666667" o:gfxdata="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voaFNoAAAALAQAADwAAAAAAAAAB&#10;ACAAAAAiAAAAZHJzL2Rvd25yZXYueG1sUEsBAhQAFAAAAAgAh07iQFncff/VAQAAtwMAAA4AAAAA&#10;AAAAAQAgAAAAKQEAAGRycy9lMm9Eb2MueG1sUEsFBgAAAAAGAAYAWQEAAHAFAAAAAA==&#10;">
                <v:fill on="f" focussize="0,0"/>
                <v:stroke on="f"/>
                <v:imagedata o:title=""/>
                <o:lock v:ext="edit" aspectratio="f"/>
                <v:textbox inset="7.19992125984252pt,3.59992125984252pt,7.19992125984252pt,3.59992125984252pt">
                  <w:txbxContent>
                    <w:p w14:paraId="2B7EBBAD">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一般突发环境事件</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91008" behindDoc="0" locked="0" layoutInCell="1" allowOverlap="1">
                <wp:simplePos x="0" y="0"/>
                <wp:positionH relativeFrom="column">
                  <wp:posOffset>1454150</wp:posOffset>
                </wp:positionH>
                <wp:positionV relativeFrom="paragraph">
                  <wp:posOffset>1697355</wp:posOffset>
                </wp:positionV>
                <wp:extent cx="227330" cy="76835"/>
                <wp:effectExtent l="0" t="4445" r="1270" b="13970"/>
                <wp:wrapNone/>
                <wp:docPr id="32" name="AutoShape 59"/>
                <wp:cNvGraphicFramePr/>
                <a:graphic xmlns:a="http://schemas.openxmlformats.org/drawingml/2006/main">
                  <a:graphicData uri="http://schemas.microsoft.com/office/word/2010/wordprocessingShape">
                    <wps:wsp>
                      <wps:cNvCnPr>
                        <a:stCxn id="30" idx="3"/>
                        <a:endCxn id="2" idx="1"/>
                      </wps:cNvCnPr>
                      <wps:spPr>
                        <a:xfrm>
                          <a:off x="0" y="0"/>
                          <a:ext cx="227330" cy="76835"/>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AutoShape 59" o:spid="_x0000_s1026" o:spt="34" type="#_x0000_t34" style="position:absolute;left:0pt;margin-left:114.5pt;margin-top:133.65pt;height:6.05pt;width:17.9pt;z-index:251691008;mso-width-relative:page;mso-height-relative:page;" filled="f" stroked="t" coordsize="21600,21600" o:gfxdata="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0Mo5dkAAAALAQAADwAAAAAA&#10;AAABACAAAAAiAAAAZHJzL2Rvd25yZXYueG1sUEsBAhQAFAAAAAgAh07iQBfoh4cSAgAAWQQAAA4A&#10;AAAAAAAAAQAgAAAAKAEAAGRycy9lMm9Eb2MueG1sUEsFBgAAAAAGAAYAWQEAAKwFAAAAAA==&#10;" adj="10800">
                <v:fill on="f" focussize="0,0"/>
                <v:stroke color="#000000" joinstyle="miter"/>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9984" behindDoc="0" locked="0" layoutInCell="1" allowOverlap="1">
                <wp:simplePos x="0" y="0"/>
                <wp:positionH relativeFrom="column">
                  <wp:posOffset>306705</wp:posOffset>
                </wp:positionH>
                <wp:positionV relativeFrom="paragraph">
                  <wp:posOffset>2060575</wp:posOffset>
                </wp:positionV>
                <wp:extent cx="1146175" cy="608330"/>
                <wp:effectExtent l="4445" t="5080" r="11430" b="15240"/>
                <wp:wrapNone/>
                <wp:docPr id="31" name="Rectangle 58"/>
                <wp:cNvGraphicFramePr/>
                <a:graphic xmlns:a="http://schemas.openxmlformats.org/drawingml/2006/main">
                  <a:graphicData uri="http://schemas.microsoft.com/office/word/2010/wordprocessingShape">
                    <wps:wsp>
                      <wps:cNvSpPr/>
                      <wps:spPr>
                        <a:xfrm>
                          <a:off x="0" y="0"/>
                          <a:ext cx="1146175" cy="6083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7CF2262">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向有关县或有关部门传达领导指示</w:t>
                            </w:r>
                          </w:p>
                        </w:txbxContent>
                      </wps:txbx>
                      <wps:bodyPr wrap="square" lIns="91439" tIns="45719" rIns="91439" bIns="45719" upright="1"/>
                    </wps:wsp>
                  </a:graphicData>
                </a:graphic>
              </wp:anchor>
            </w:drawing>
          </mc:Choice>
          <mc:Fallback>
            <w:pict>
              <v:roundrect id="Rectangle 58" o:spid="_x0000_s1026" o:spt="2" style="position:absolute;left:0pt;margin-left:24.15pt;margin-top:162.25pt;height:47.9pt;width:90.25pt;z-index:251689984;mso-width-relative:page;mso-height-relative:page;" fillcolor="#FFFFFF" filled="t" stroked="t" coordsize="21600,21600" arcsize="0.166666666666667" o:gfxdata="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7LWz7YAAAACgEAAA8AAAAAAAAAAQAgAAAAIgAAAGRycy9kb3ducmV2LnhtbFBL&#10;AQIUABQAAAAIAIdO4kAvMWWSLwIAAJcEAAAOAAAAAAAAAAEAIAAAACcBAABkcnMvZTJvRG9jLnht&#10;bFBLBQYAAAAABgAGAFkBAADIBQAAAAA=&#10;">
                <v:fill on="t" focussize="0,0"/>
                <v:stroke color="#000000" joinstyle="round"/>
                <v:imagedata o:title=""/>
                <o:lock v:ext="edit" aspectratio="f"/>
                <v:textbox inset="7.19992125984252pt,3.59992125984252pt,7.19992125984252pt,3.59992125984252pt">
                  <w:txbxContent>
                    <w:p w14:paraId="47CF2262">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向有关县或有关部门传达领导指示</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6912" behindDoc="0" locked="0" layoutInCell="1" allowOverlap="1">
                <wp:simplePos x="0" y="0"/>
                <wp:positionH relativeFrom="column">
                  <wp:posOffset>5157470</wp:posOffset>
                </wp:positionH>
                <wp:positionV relativeFrom="paragraph">
                  <wp:posOffset>2946400</wp:posOffset>
                </wp:positionV>
                <wp:extent cx="680085" cy="295275"/>
                <wp:effectExtent l="4445" t="4445" r="20320" b="5080"/>
                <wp:wrapNone/>
                <wp:docPr id="28" name="Rectangle 55"/>
                <wp:cNvGraphicFramePr/>
                <a:graphic xmlns:a="http://schemas.openxmlformats.org/drawingml/2006/main">
                  <a:graphicData uri="http://schemas.microsoft.com/office/word/2010/wordprocessingShape">
                    <wps:wsp>
                      <wps:cNvSpPr/>
                      <wps:spPr>
                        <a:xfrm>
                          <a:off x="0" y="0"/>
                          <a:ext cx="6800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9F2775C">
                            <w:pPr>
                              <w:widowControl w:val="0"/>
                              <w:kinsoku/>
                              <w:autoSpaceDE/>
                              <w:autoSpaceDN/>
                              <w:adjustRightInd/>
                              <w:snapToGrid/>
                              <w:spacing w:line="30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专家组</w:t>
                            </w:r>
                          </w:p>
                        </w:txbxContent>
                      </wps:txbx>
                      <wps:bodyPr wrap="square" lIns="91439" tIns="45719" rIns="91439" bIns="45719" upright="1"/>
                    </wps:wsp>
                  </a:graphicData>
                </a:graphic>
              </wp:anchor>
            </w:drawing>
          </mc:Choice>
          <mc:Fallback>
            <w:pict>
              <v:roundrect id="Rectangle 55" o:spid="_x0000_s1026" o:spt="2" style="position:absolute;left:0pt;margin-left:406.1pt;margin-top:232pt;height:23.25pt;width:53.55pt;z-index:251686912;mso-width-relative:page;mso-height-relative:page;" fillcolor="#FFFFFF" filled="t" stroked="t" coordsize="21600,21600" arcsize="0.166666666666667" o:gfxdata="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75UvaAAAACwEAAA8AAAAAAAAAAQAgAAAAIgAAAGRycy9kb3ducmV2LnhtbFBL&#10;AQIUABQAAAAIAIdO4kDsChrZLQIAAJYEAAAOAAAAAAAAAAEAIAAAACkBAABkcnMvZTJvRG9jLnht&#10;bFBLBQYAAAAABgAGAFkBAADIBQAAAAA=&#10;">
                <v:fill on="t" focussize="0,0"/>
                <v:stroke color="#000000" joinstyle="round"/>
                <v:imagedata o:title=""/>
                <o:lock v:ext="edit" aspectratio="f"/>
                <v:textbox inset="7.19992125984252pt,3.59992125984252pt,7.19992125984252pt,3.59992125984252pt">
                  <w:txbxContent>
                    <w:p w14:paraId="09F2775C">
                      <w:pPr>
                        <w:widowControl w:val="0"/>
                        <w:kinsoku/>
                        <w:autoSpaceDE/>
                        <w:autoSpaceDN/>
                        <w:adjustRightInd/>
                        <w:snapToGrid/>
                        <w:spacing w:line="30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专家组</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2921000</wp:posOffset>
                </wp:positionV>
                <wp:extent cx="1910080" cy="346075"/>
                <wp:effectExtent l="4445" t="4445" r="9525" b="11430"/>
                <wp:wrapNone/>
                <wp:docPr id="24" name="AutoShape 51"/>
                <wp:cNvGraphicFramePr/>
                <a:graphic xmlns:a="http://schemas.openxmlformats.org/drawingml/2006/main">
                  <a:graphicData uri="http://schemas.microsoft.com/office/word/2010/wordprocessingShape">
                    <wps:wsp>
                      <wps:cNvSpPr/>
                      <wps:spPr>
                        <a:xfrm>
                          <a:off x="0" y="0"/>
                          <a:ext cx="1910080" cy="3460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D6687AF">
                            <w:pPr>
                              <w:widowControl w:val="0"/>
                              <w:kinsoku/>
                              <w:autoSpaceDE/>
                              <w:autoSpaceDN/>
                              <w:adjustRightInd/>
                              <w:snapToGrid/>
                              <w:spacing w:line="30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县人民政府或有关部门处置</w:t>
                            </w:r>
                          </w:p>
                        </w:txbxContent>
                      </wps:txbx>
                      <wps:bodyPr wrap="square" lIns="91439" tIns="45719" rIns="91439" bIns="45719" upright="1"/>
                    </wps:wsp>
                  </a:graphicData>
                </a:graphic>
              </wp:anchor>
            </w:drawing>
          </mc:Choice>
          <mc:Fallback>
            <w:pict>
              <v:roundrect id="AutoShape 51" o:spid="_x0000_s1026" o:spt="2" style="position:absolute;left:0pt;margin-left:-27pt;margin-top:230pt;height:27.25pt;width:150.4pt;z-index:251682816;mso-width-relative:page;mso-height-relative:page;" fillcolor="#FFFFFF" filled="t" stroked="t" coordsize="21600,21600" arcsize="0.166666666666667" o:gfxdata="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mKgRtoAAAALAQAADwAAAAAAAAABACAAAAAiAAAAZHJzL2Rvd25yZXYueG1s&#10;UEsBAhQAFAAAAAgAh07iQPL47mkvAgAAlwQAAA4AAAAAAAAAAQAgAAAAKQEAAGRycy9lMm9Eb2Mu&#10;eG1sUEsFBgAAAAAGAAYAWQEAAMoFAAAAAA==&#10;">
                <v:fill on="t" focussize="0,0"/>
                <v:stroke color="#000000" joinstyle="round"/>
                <v:imagedata o:title=""/>
                <o:lock v:ext="edit" aspectratio="f"/>
                <v:textbox inset="7.19992125984252pt,3.59992125984252pt,7.19992125984252pt,3.59992125984252pt">
                  <w:txbxContent>
                    <w:p w14:paraId="4D6687AF">
                      <w:pPr>
                        <w:widowControl w:val="0"/>
                        <w:kinsoku/>
                        <w:autoSpaceDE/>
                        <w:autoSpaceDN/>
                        <w:adjustRightInd/>
                        <w:snapToGrid/>
                        <w:spacing w:line="30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县人民政府或有关部门处置</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9744" behindDoc="0" locked="0" layoutInCell="1" allowOverlap="1">
                <wp:simplePos x="0" y="0"/>
                <wp:positionH relativeFrom="column">
                  <wp:posOffset>319405</wp:posOffset>
                </wp:positionH>
                <wp:positionV relativeFrom="paragraph">
                  <wp:posOffset>351155</wp:posOffset>
                </wp:positionV>
                <wp:extent cx="1249045" cy="627380"/>
                <wp:effectExtent l="4445" t="4445" r="22860" b="15875"/>
                <wp:wrapNone/>
                <wp:docPr id="21" name="Rectangle 25"/>
                <wp:cNvGraphicFramePr/>
                <a:graphic xmlns:a="http://schemas.openxmlformats.org/drawingml/2006/main">
                  <a:graphicData uri="http://schemas.microsoft.com/office/word/2010/wordprocessingShape">
                    <wps:wsp>
                      <wps:cNvSpPr/>
                      <wps:spPr>
                        <a:xfrm>
                          <a:off x="0" y="0"/>
                          <a:ext cx="1249045" cy="6273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ED9D0D">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预警信息</w:t>
                            </w:r>
                          </w:p>
                          <w:p w14:paraId="7A8ACCE3">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（有关县或部门）</w:t>
                            </w:r>
                          </w:p>
                        </w:txbxContent>
                      </wps:txbx>
                      <wps:bodyPr wrap="square" lIns="91439" tIns="45719" rIns="91439" bIns="45719" upright="1"/>
                    </wps:wsp>
                  </a:graphicData>
                </a:graphic>
              </wp:anchor>
            </w:drawing>
          </mc:Choice>
          <mc:Fallback>
            <w:pict>
              <v:roundrect id="Rectangle 25" o:spid="_x0000_s1026" o:spt="2" style="position:absolute;left:0pt;margin-left:25.15pt;margin-top:27.65pt;height:49.4pt;width:98.35pt;z-index:251679744;mso-width-relative:page;mso-height-relative:page;" fillcolor="#FFFFFF" filled="t" stroked="t" coordsize="21600,21600" arcsize="0.166666666666667" o:gfxdata="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Ci3IDXAAAACQEAAA8AAAAAAAAAAQAgAAAAIgAAAGRycy9kb3ducmV2LnhtbFBL&#10;AQIUABQAAAAIAIdO4kCse9yfMAIAAJcEAAAOAAAAAAAAAAEAIAAAACYBAABkcnMvZTJvRG9jLnht&#10;bFBLBQYAAAAABgAGAFkBAADIBQAAAAA=&#10;">
                <v:fill on="t" focussize="0,0"/>
                <v:stroke color="#000000" joinstyle="round"/>
                <v:imagedata o:title=""/>
                <o:lock v:ext="edit" aspectratio="f"/>
                <v:textbox inset="7.19992125984252pt,3.59992125984252pt,7.19992125984252pt,3.59992125984252pt">
                  <w:txbxContent>
                    <w:p w14:paraId="36ED9D0D">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预警信息</w:t>
                      </w:r>
                    </w:p>
                    <w:p w14:paraId="7A8ACCE3">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（有关县或部门）</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7696" behindDoc="0" locked="0" layoutInCell="1" allowOverlap="1">
                <wp:simplePos x="0" y="0"/>
                <wp:positionH relativeFrom="column">
                  <wp:posOffset>2570480</wp:posOffset>
                </wp:positionH>
                <wp:positionV relativeFrom="paragraph">
                  <wp:posOffset>6409690</wp:posOffset>
                </wp:positionV>
                <wp:extent cx="177800" cy="1270"/>
                <wp:effectExtent l="38100" t="0" r="36830" b="12700"/>
                <wp:wrapNone/>
                <wp:docPr id="19" name="AutoShape 23"/>
                <wp:cNvGraphicFramePr/>
                <a:graphic xmlns:a="http://schemas.openxmlformats.org/drawingml/2006/main">
                  <a:graphicData uri="http://schemas.microsoft.com/office/word/2010/wordprocessingShape">
                    <wps:wsp>
                      <wps:cNvCnPr>
                        <a:stCxn id="7" idx="2"/>
                        <a:endCxn id="8" idx="0"/>
                      </wps:cNvCnPr>
                      <wps:spPr>
                        <a:xfrm rot="5400000">
                          <a:off x="0" y="0"/>
                          <a:ext cx="177800" cy="127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23" o:spid="_x0000_s1026" o:spt="34" type="#_x0000_t34" style="position:absolute;left:0pt;margin-left:202.4pt;margin-top:504.7pt;height:0.1pt;width:14pt;rotation:5898240f;z-index:251677696;mso-width-relative:page;mso-height-relative:page;" filled="f" stroked="t" coordsize="21600,21600" o:gfxdata="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ZL7ktkAAAANAQAADwAAAAAAAAABACAAAAAiAAAAZHJzL2Rvd25yZXYueG1sUEsBAhQAFAAA&#10;AAgAh07iQHI24sgnAgAAaQQAAA4AAAAAAAAAAQAgAAAAKAEAAGRycy9lMm9Eb2MueG1sUEsFBgAA&#10;AAAGAAYAWQEAAMEFAAAAAA==&#10;" adj="10800">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6672" behindDoc="0" locked="0" layoutInCell="1" allowOverlap="1">
                <wp:simplePos x="0" y="0"/>
                <wp:positionH relativeFrom="column">
                  <wp:posOffset>2526665</wp:posOffset>
                </wp:positionH>
                <wp:positionV relativeFrom="paragraph">
                  <wp:posOffset>5683250</wp:posOffset>
                </wp:positionV>
                <wp:extent cx="185420" cy="635"/>
                <wp:effectExtent l="38100" t="0" r="37465" b="5080"/>
                <wp:wrapNone/>
                <wp:docPr id="18" name="AutoShape 22"/>
                <wp:cNvGraphicFramePr/>
                <a:graphic xmlns:a="http://schemas.openxmlformats.org/drawingml/2006/main">
                  <a:graphicData uri="http://schemas.microsoft.com/office/word/2010/wordprocessingShape">
                    <wps:wsp>
                      <wps:cNvCnPr>
                        <a:stCxn id="6" idx="2"/>
                        <a:endCxn id="7" idx="0"/>
                      </wps:cNvCnPr>
                      <wps:spPr>
                        <a:xfrm rot="5400000">
                          <a:off x="0" y="0"/>
                          <a:ext cx="185420" cy="635"/>
                        </a:xfrm>
                        <a:prstGeom prst="bentConnector3">
                          <a:avLst>
                            <a:gd name="adj1" fmla="val 49829"/>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22" o:spid="_x0000_s1026" o:spt="34" type="#_x0000_t34" style="position:absolute;left:0pt;margin-left:198.95pt;margin-top:447.5pt;height:0.05pt;width:14.6pt;rotation:5898240f;z-index:251676672;mso-width-relative:page;mso-height-relative:page;" filled="f" stroked="t" coordsize="21600,21600" o:gfxdata="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mLC42AAAAAsBAAAPAAAAAAAAAAEAIAAAACIAAABkcnMvZG93bnJldi54bWxQSwECFAAUAAAA&#10;CACHTuJAop3GwScCAABoBAAADgAAAAAAAAABACAAAAAnAQAAZHJzL2Uyb0RvYy54bWxQSwUGAAAA&#10;AAYABgBZAQAAwAUAAAAA&#10;" adj="10763">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5648" behindDoc="0" locked="0" layoutInCell="1" allowOverlap="1">
                <wp:simplePos x="0" y="0"/>
                <wp:positionH relativeFrom="column">
                  <wp:posOffset>2559050</wp:posOffset>
                </wp:positionH>
                <wp:positionV relativeFrom="paragraph">
                  <wp:posOffset>4779010</wp:posOffset>
                </wp:positionV>
                <wp:extent cx="295275" cy="1270"/>
                <wp:effectExtent l="38100" t="0" r="36830" b="9525"/>
                <wp:wrapNone/>
                <wp:docPr id="17" name="AutoShape 21"/>
                <wp:cNvGraphicFramePr/>
                <a:graphic xmlns:a="http://schemas.openxmlformats.org/drawingml/2006/main">
                  <a:graphicData uri="http://schemas.microsoft.com/office/word/2010/wordprocessingShape">
                    <wps:wsp>
                      <wps:cNvCnPr>
                        <a:stCxn id="5" idx="2"/>
                        <a:endCxn id="6" idx="0"/>
                      </wps:cNvCnPr>
                      <wps:spPr>
                        <a:xfrm rot="5400000">
                          <a:off x="0" y="0"/>
                          <a:ext cx="295275" cy="1270"/>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21" o:spid="_x0000_s1026" o:spt="34" type="#_x0000_t34" style="position:absolute;left:0pt;margin-left:201.5pt;margin-top:376.3pt;height:0.1pt;width:23.25pt;rotation:5898240f;z-index:251675648;mso-width-relative:page;mso-height-relative:page;" filled="f" stroked="t" coordsize="21600,21600" o:gfxdata="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i66NoAAAALAQAADwAAAAAAAAABACAAAAAiAAAAZHJzL2Rvd25yZXYueG1sUEsBAhQAFAAAAAgA&#10;h07iQGwqVdgjAgAAaQQAAA4AAAAAAAAAAQAgAAAAKQEAAGRycy9lMm9Eb2MueG1sUEsFBgAAAAAG&#10;AAYAWQEAAL4FAAAAAA==&#10;" adj="10800">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4624" behindDoc="0" locked="0" layoutInCell="1" allowOverlap="1">
                <wp:simplePos x="0" y="0"/>
                <wp:positionH relativeFrom="column">
                  <wp:posOffset>2503805</wp:posOffset>
                </wp:positionH>
                <wp:positionV relativeFrom="paragraph">
                  <wp:posOffset>4123055</wp:posOffset>
                </wp:positionV>
                <wp:extent cx="198120" cy="8255"/>
                <wp:effectExtent l="38100" t="0" r="29845" b="11430"/>
                <wp:wrapNone/>
                <wp:docPr id="16" name="AutoShape 20"/>
                <wp:cNvGraphicFramePr/>
                <a:graphic xmlns:a="http://schemas.openxmlformats.org/drawingml/2006/main">
                  <a:graphicData uri="http://schemas.microsoft.com/office/word/2010/wordprocessingShape">
                    <wps:wsp>
                      <wps:cNvCnPr>
                        <a:stCxn id="4" idx="2"/>
                        <a:endCxn id="5" idx="0"/>
                      </wps:cNvCnPr>
                      <wps:spPr>
                        <a:xfrm rot="5400000">
                          <a:off x="0" y="0"/>
                          <a:ext cx="198120" cy="825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20" o:spid="_x0000_s1026" o:spt="34" type="#_x0000_t34" style="position:absolute;left:0pt;margin-left:197.15pt;margin-top:324.65pt;height:0.65pt;width:15.6pt;rotation:5898240f;z-index:251674624;mso-width-relative:page;mso-height-relative:page;" filled="f" stroked="t" coordsize="21600,21600" o:gfxdata="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PRXcNoAAAALAQAADwAAAAAAAAABACAAAAAiAAAAZHJzL2Rvd25yZXYueG1sUEsBAhQAFAAAAAgA&#10;h07iQI04nNcjAgAAaQQAAA4AAAAAAAAAAQAgAAAAKQEAAGRycy9lMm9Eb2MueG1sUEsFBgAAAAAG&#10;AAYAWQEAAL4FAAAAAA==&#10;" adj="10800">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73600" behindDoc="0" locked="0" layoutInCell="1" allowOverlap="1">
                <wp:simplePos x="0" y="0"/>
                <wp:positionH relativeFrom="column">
                  <wp:posOffset>2508885</wp:posOffset>
                </wp:positionH>
                <wp:positionV relativeFrom="paragraph">
                  <wp:posOffset>3340100</wp:posOffset>
                </wp:positionV>
                <wp:extent cx="196850" cy="635"/>
                <wp:effectExtent l="38100" t="0" r="37465" b="12700"/>
                <wp:wrapNone/>
                <wp:docPr id="15" name="AutoShape 19"/>
                <wp:cNvGraphicFramePr/>
                <a:graphic xmlns:a="http://schemas.openxmlformats.org/drawingml/2006/main">
                  <a:graphicData uri="http://schemas.microsoft.com/office/word/2010/wordprocessingShape">
                    <wps:wsp>
                      <wps:cNvCnPr>
                        <a:stCxn id="10" idx="2"/>
                        <a:endCxn id="4" idx="0"/>
                      </wps:cNvCnPr>
                      <wps:spPr>
                        <a:xfrm rot="5400000">
                          <a:off x="0" y="0"/>
                          <a:ext cx="196850" cy="635"/>
                        </a:xfrm>
                        <a:prstGeom prst="bentConnector3">
                          <a:avLst>
                            <a:gd name="adj1" fmla="val 4967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AutoShape 19" o:spid="_x0000_s1026" o:spt="34" type="#_x0000_t34" style="position:absolute;left:0pt;margin-left:197.55pt;margin-top:263pt;height:0.05pt;width:15.5pt;rotation:5898240f;z-index:251673600;mso-width-relative:page;mso-height-relative:page;" filled="f" stroked="t" coordsize="21600,21600" o:gfxdata="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hfbLYAAAACwEAAA8AAAAAAAAAAQAgAAAAIgAAAGRycy9kb3ducmV2LnhtbFBLAQIUABQAAAAI&#10;AIdO4kBjG5nhJgIAAGkEAAAOAAAAAAAAAAEAIAAAACcBAABkcnMvZTJvRG9jLnhtbFBLBQYAAAAA&#10;BgAGAFkBAAC/BQAAAAA=&#10;" adj="10730">
                <v:fill on="f" focussize="0,0"/>
                <v:stroke color="#000000" joinstyle="miter" endarrow="block"/>
                <v:imagedata o:title=""/>
                <o:lock v:ext="edit" aspectratio="f"/>
              </v:shap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9504" behindDoc="0" locked="0" layoutInCell="1" allowOverlap="1">
                <wp:simplePos x="0" y="0"/>
                <wp:positionH relativeFrom="column">
                  <wp:posOffset>2787015</wp:posOffset>
                </wp:positionH>
                <wp:positionV relativeFrom="paragraph">
                  <wp:posOffset>68580</wp:posOffset>
                </wp:positionV>
                <wp:extent cx="1270" cy="312420"/>
                <wp:effectExtent l="36830" t="0" r="38100" b="11430"/>
                <wp:wrapNone/>
                <wp:docPr id="11" name="Line 15"/>
                <wp:cNvGraphicFramePr/>
                <a:graphic xmlns:a="http://schemas.openxmlformats.org/drawingml/2006/main">
                  <a:graphicData uri="http://schemas.microsoft.com/office/word/2010/wordprocessingShape">
                    <wps:wsp>
                      <wps:cNvSpPr/>
                      <wps:spPr>
                        <a:xfrm>
                          <a:off x="0" y="0"/>
                          <a:ext cx="1270" cy="312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5" o:spid="_x0000_s1026" o:spt="20" style="position:absolute;left:0pt;margin-left:219.45pt;margin-top:5.4pt;height:24.6pt;width:0.1pt;z-index:251669504;mso-width-relative:page;mso-height-relative:page;" filled="f" stroked="t" coordsize="21600,21600" o:gfxdata="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QE6EzZ&#10;AAAACQEAAA8AAAAAAAAAAQAgAAAAIgAAAGRycy9kb3ducmV2LnhtbFBLAQIUABQAAAAIAIdO4kB9&#10;wOTI5gEAAOEDAAAOAAAAAAAAAAEAIAAAACgBAABkcnMvZTJvRG9jLnhtbFBLBQYAAAAABgAGAFkB&#10;AACABQAAAAA=&#10;">
                <v:fill on="f" focussize="0,0"/>
                <v:stroke color="#000000" joinstyle="round" endarrow="block"/>
                <v:imagedata o:title=""/>
                <o:lock v:ext="edit" aspectratio="f"/>
              </v:line>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8480" behindDoc="0" locked="0" layoutInCell="1" allowOverlap="1">
                <wp:simplePos x="0" y="0"/>
                <wp:positionH relativeFrom="column">
                  <wp:posOffset>2249170</wp:posOffset>
                </wp:positionH>
                <wp:positionV relativeFrom="paragraph">
                  <wp:posOffset>2946400</wp:posOffset>
                </wp:positionV>
                <wp:extent cx="932815" cy="295275"/>
                <wp:effectExtent l="4445" t="4445" r="15240" b="5080"/>
                <wp:wrapNone/>
                <wp:docPr id="10" name="Rectangle 14"/>
                <wp:cNvGraphicFramePr/>
                <a:graphic xmlns:a="http://schemas.openxmlformats.org/drawingml/2006/main">
                  <a:graphicData uri="http://schemas.microsoft.com/office/word/2010/wordprocessingShape">
                    <wps:wsp>
                      <wps:cNvSpPr/>
                      <wps:spPr>
                        <a:xfrm>
                          <a:off x="0" y="0"/>
                          <a:ext cx="93281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E058C3">
                            <w:pPr>
                              <w:widowControl w:val="0"/>
                              <w:kinsoku/>
                              <w:autoSpaceDE/>
                              <w:autoSpaceDN/>
                              <w:adjustRightInd/>
                              <w:snapToGrid/>
                              <w:spacing w:line="300" w:lineRule="exact"/>
                              <w:ind w:firstLine="180" w:firstLineChars="100"/>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分级响应</w:t>
                            </w:r>
                          </w:p>
                        </w:txbxContent>
                      </wps:txbx>
                      <wps:bodyPr wrap="square" lIns="91439" tIns="45719" rIns="91439" bIns="45719" upright="1"/>
                    </wps:wsp>
                  </a:graphicData>
                </a:graphic>
              </wp:anchor>
            </w:drawing>
          </mc:Choice>
          <mc:Fallback>
            <w:pict>
              <v:roundrect id="Rectangle 14" o:spid="_x0000_s1026" o:spt="2" style="position:absolute;left:0pt;margin-left:177.1pt;margin-top:232pt;height:23.25pt;width:73.45pt;z-index:251668480;mso-width-relative:page;mso-height-relative:page;" fillcolor="#FFFFFF" filled="t" stroked="t" coordsize="21600,21600" arcsize="0.166666666666667" o:gfxdata="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ZMJ9kAAAALAQAADwAAAAAAAAABACAAAAAiAAAAZHJzL2Rvd25yZXYueG1sUEsB&#10;AhQAFAAAAAgAh07iQDgupU8tAgAAlgQAAA4AAAAAAAAAAQAgAAAAKAEAAGRycy9lMm9Eb2MueG1s&#10;UEsFBgAAAAAGAAYAWQEAAMcFAAAAAA==&#10;">
                <v:fill on="t" focussize="0,0"/>
                <v:stroke color="#000000" joinstyle="round"/>
                <v:imagedata o:title=""/>
                <o:lock v:ext="edit" aspectratio="f"/>
                <v:textbox inset="7.19992125984252pt,3.59992125984252pt,7.19992125984252pt,3.59992125984252pt">
                  <w:txbxContent>
                    <w:p w14:paraId="23E058C3">
                      <w:pPr>
                        <w:widowControl w:val="0"/>
                        <w:kinsoku/>
                        <w:autoSpaceDE/>
                        <w:autoSpaceDN/>
                        <w:adjustRightInd/>
                        <w:snapToGrid/>
                        <w:spacing w:line="300" w:lineRule="exact"/>
                        <w:ind w:firstLine="180" w:firstLineChars="100"/>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分级响应</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5408" behindDoc="0" locked="0" layoutInCell="1" allowOverlap="1">
                <wp:simplePos x="0" y="0"/>
                <wp:positionH relativeFrom="column">
                  <wp:posOffset>1584325</wp:posOffset>
                </wp:positionH>
                <wp:positionV relativeFrom="paragraph">
                  <wp:posOffset>5775960</wp:posOffset>
                </wp:positionV>
                <wp:extent cx="2240915" cy="590550"/>
                <wp:effectExtent l="4445" t="5080" r="21590" b="13970"/>
                <wp:wrapNone/>
                <wp:docPr id="7" name="Rectangle 10"/>
                <wp:cNvGraphicFramePr/>
                <a:graphic xmlns:a="http://schemas.openxmlformats.org/drawingml/2006/main">
                  <a:graphicData uri="http://schemas.microsoft.com/office/word/2010/wordprocessingShape">
                    <wps:wsp>
                      <wps:cNvSpPr/>
                      <wps:spPr>
                        <a:xfrm>
                          <a:off x="0" y="0"/>
                          <a:ext cx="2240915" cy="5905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17A73D6">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调 查 评 估 总 结</w:t>
                            </w:r>
                          </w:p>
                          <w:p w14:paraId="2BA66CE9">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（生态环境局同乡镇政府）</w:t>
                            </w:r>
                          </w:p>
                        </w:txbxContent>
                      </wps:txbx>
                      <wps:bodyPr wrap="square" lIns="91439" tIns="45719" rIns="91439" bIns="45719" upright="1"/>
                    </wps:wsp>
                  </a:graphicData>
                </a:graphic>
              </wp:anchor>
            </w:drawing>
          </mc:Choice>
          <mc:Fallback>
            <w:pict>
              <v:roundrect id="Rectangle 10" o:spid="_x0000_s1026" o:spt="2" style="position:absolute;left:0pt;margin-left:124.75pt;margin-top:454.8pt;height:46.5pt;width:176.45pt;z-index:251665408;mso-width-relative:page;mso-height-relative:page;" fillcolor="#FFFFFF" filled="t" stroked="t" coordsize="21600,21600" arcsize="0.166666666666667" o:gfxdata="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tzIDaAAAADAEAAA8AAAAAAAAAAQAgAAAAIgAAAGRycy9kb3ducmV2LnhtbFBL&#10;AQIUABQAAAAIAIdO4kBjbZGfLQIAAJYEAAAOAAAAAAAAAAEAIAAAACkBAABkcnMvZTJvRG9jLnht&#10;bFBLBQYAAAAABgAGAFkBAADIBQAAAAA=&#10;">
                <v:fill on="t" focussize="0,0"/>
                <v:stroke color="#000000" joinstyle="round"/>
                <v:imagedata o:title=""/>
                <o:lock v:ext="edit" aspectratio="f"/>
                <v:textbox inset="7.19992125984252pt,3.59992125984252pt,7.19992125984252pt,3.59992125984252pt">
                  <w:txbxContent>
                    <w:p w14:paraId="517A73D6">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调 查 评 估 总 结</w:t>
                      </w:r>
                    </w:p>
                    <w:p w14:paraId="2BA66CE9">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（生态环境局同乡镇政府）</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4384" behindDoc="0" locked="0" layoutInCell="1" allowOverlap="1">
                <wp:simplePos x="0" y="0"/>
                <wp:positionH relativeFrom="column">
                  <wp:posOffset>1945640</wp:posOffset>
                </wp:positionH>
                <wp:positionV relativeFrom="paragraph">
                  <wp:posOffset>5013325</wp:posOffset>
                </wp:positionV>
                <wp:extent cx="1519555" cy="577215"/>
                <wp:effectExtent l="4445" t="4445" r="19050" b="8890"/>
                <wp:wrapNone/>
                <wp:docPr id="6" name="Rectangle 9"/>
                <wp:cNvGraphicFramePr/>
                <a:graphic xmlns:a="http://schemas.openxmlformats.org/drawingml/2006/main">
                  <a:graphicData uri="http://schemas.microsoft.com/office/word/2010/wordprocessingShape">
                    <wps:wsp>
                      <wps:cNvSpPr/>
                      <wps:spPr>
                        <a:xfrm>
                          <a:off x="0" y="0"/>
                          <a:ext cx="1519555" cy="5772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4610801">
                            <w:pPr>
                              <w:widowControl w:val="0"/>
                              <w:kinsoku/>
                              <w:autoSpaceDE/>
                              <w:autoSpaceDN/>
                              <w:adjustRightInd/>
                              <w:snapToGrid/>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后  期  处  置（乡镇政府（管委会）和有关部门）</w:t>
                            </w:r>
                          </w:p>
                        </w:txbxContent>
                      </wps:txbx>
                      <wps:bodyPr wrap="square" lIns="91439" tIns="45719" rIns="91439" bIns="45719" upright="1"/>
                    </wps:wsp>
                  </a:graphicData>
                </a:graphic>
              </wp:anchor>
            </w:drawing>
          </mc:Choice>
          <mc:Fallback>
            <w:pict>
              <v:roundrect id="Rectangle 9" o:spid="_x0000_s1026" o:spt="2" style="position:absolute;left:0pt;margin-left:153.2pt;margin-top:394.75pt;height:45.45pt;width:119.65pt;z-index:251664384;mso-width-relative:page;mso-height-relative:page;" fillcolor="#FFFFFF" filled="t" stroked="t" coordsize="21600,21600" arcsize="0.166666666666667" o:gfxdata="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1iHGdoAAAALAQAADwAAAAAAAAABACAAAAAiAAAAZHJzL2Rvd25yZXYueG1sUEsB&#10;AhQAFAAAAAgAh07iQGj59FUsAgAAlQQAAA4AAAAAAAAAAQAgAAAAKQEAAGRycy9lMm9Eb2MueG1s&#10;UEsFBgAAAAAGAAYAWQEAAMcFAAAAAA==&#10;">
                <v:fill on="t" focussize="0,0"/>
                <v:stroke color="#000000" joinstyle="round"/>
                <v:imagedata o:title=""/>
                <o:lock v:ext="edit" aspectratio="f"/>
                <v:textbox inset="7.19992125984252pt,3.59992125984252pt,7.19992125984252pt,3.59992125984252pt">
                  <w:txbxContent>
                    <w:p w14:paraId="64610801">
                      <w:pPr>
                        <w:widowControl w:val="0"/>
                        <w:kinsoku/>
                        <w:autoSpaceDE/>
                        <w:autoSpaceDN/>
                        <w:adjustRightInd/>
                        <w:snapToGrid/>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后  期  处  置（乡镇政府（管委会）和有关部门）</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3360" behindDoc="0" locked="0" layoutInCell="1" allowOverlap="1">
                <wp:simplePos x="0" y="0"/>
                <wp:positionH relativeFrom="column">
                  <wp:posOffset>1943735</wp:posOffset>
                </wp:positionH>
                <wp:positionV relativeFrom="paragraph">
                  <wp:posOffset>4225925</wp:posOffset>
                </wp:positionV>
                <wp:extent cx="1526540" cy="492125"/>
                <wp:effectExtent l="4445" t="4445" r="12065" b="17780"/>
                <wp:wrapNone/>
                <wp:docPr id="5" name="Rectangle 8"/>
                <wp:cNvGraphicFramePr/>
                <a:graphic xmlns:a="http://schemas.openxmlformats.org/drawingml/2006/main">
                  <a:graphicData uri="http://schemas.microsoft.com/office/word/2010/wordprocessingShape">
                    <wps:wsp>
                      <wps:cNvSpPr/>
                      <wps:spPr>
                        <a:xfrm>
                          <a:off x="0" y="0"/>
                          <a:ext cx="1526540" cy="4921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351AFB">
                            <w:pPr>
                              <w:widowControl w:val="0"/>
                              <w:kinsoku/>
                              <w:autoSpaceDE/>
                              <w:autoSpaceDN/>
                              <w:adjustRightInd/>
                              <w:snapToGrid/>
                              <w:spacing w:line="240" w:lineRule="exact"/>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应 急 结 束（指挥部指挥长批准）</w:t>
                            </w:r>
                          </w:p>
                        </w:txbxContent>
                      </wps:txbx>
                      <wps:bodyPr wrap="square" lIns="91439" tIns="45719" rIns="91439" bIns="45719" upright="1"/>
                    </wps:wsp>
                  </a:graphicData>
                </a:graphic>
              </wp:anchor>
            </w:drawing>
          </mc:Choice>
          <mc:Fallback>
            <w:pict>
              <v:roundrect id="Rectangle 8" o:spid="_x0000_s1026" o:spt="2" style="position:absolute;left:0pt;margin-left:153.05pt;margin-top:332.75pt;height:38.75pt;width:120.2pt;z-index:251663360;mso-width-relative:page;mso-height-relative:page;" fillcolor="#FFFFFF" filled="t" stroked="t" coordsize="21600,21600" arcsize="0.166666666666667" o:gfxdata="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SSI2/aAAAACwEAAA8AAAAAAAAAAQAgAAAAIgAAAGRycy9kb3ducmV2LnhtbFBL&#10;AQIUABQAAAAIAIdO4kChfjHpLQIAAJUEAAAOAAAAAAAAAAEAIAAAACkBAABkcnMvZTJvRG9jLnht&#10;bFBLBQYAAAAABgAGAFkBAADIBQAAAAA=&#10;">
                <v:fill on="t" focussize="0,0"/>
                <v:stroke color="#000000" joinstyle="round"/>
                <v:imagedata o:title=""/>
                <o:lock v:ext="edit" aspectratio="f"/>
                <v:textbox inset="7.19992125984252pt,3.59992125984252pt,7.19992125984252pt,3.59992125984252pt">
                  <w:txbxContent>
                    <w:p w14:paraId="06351AFB">
                      <w:pPr>
                        <w:widowControl w:val="0"/>
                        <w:kinsoku/>
                        <w:autoSpaceDE/>
                        <w:autoSpaceDN/>
                        <w:adjustRightInd/>
                        <w:snapToGrid/>
                        <w:spacing w:line="240" w:lineRule="exact"/>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应 急 结 束（指挥部指挥长批准）</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2336" behindDoc="0" locked="0" layoutInCell="1" allowOverlap="1">
                <wp:simplePos x="0" y="0"/>
                <wp:positionH relativeFrom="column">
                  <wp:posOffset>2141220</wp:posOffset>
                </wp:positionH>
                <wp:positionV relativeFrom="paragraph">
                  <wp:posOffset>3438525</wp:posOffset>
                </wp:positionV>
                <wp:extent cx="1147445" cy="589280"/>
                <wp:effectExtent l="4445" t="4445" r="10160" b="15875"/>
                <wp:wrapNone/>
                <wp:docPr id="4" name="Rectangle 7"/>
                <wp:cNvGraphicFramePr/>
                <a:graphic xmlns:a="http://schemas.openxmlformats.org/drawingml/2006/main">
                  <a:graphicData uri="http://schemas.microsoft.com/office/word/2010/wordprocessingShape">
                    <wps:wsp>
                      <wps:cNvSpPr/>
                      <wps:spPr>
                        <a:xfrm>
                          <a:off x="0" y="0"/>
                          <a:ext cx="1147445" cy="589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4ACE4E">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启动环境应急预案及有关保障预案</w:t>
                            </w:r>
                          </w:p>
                        </w:txbxContent>
                      </wps:txbx>
                      <wps:bodyPr wrap="square" lIns="91439" tIns="45719" rIns="91439" bIns="45719" upright="1"/>
                    </wps:wsp>
                  </a:graphicData>
                </a:graphic>
              </wp:anchor>
            </w:drawing>
          </mc:Choice>
          <mc:Fallback>
            <w:pict>
              <v:roundrect id="Rectangle 7" o:spid="_x0000_s1026" o:spt="2" style="position:absolute;left:0pt;margin-left:168.6pt;margin-top:270.75pt;height:46.4pt;width:90.35pt;z-index:251662336;mso-width-relative:page;mso-height-relative:page;" fillcolor="#FFFFFF" filled="t" stroked="t" coordsize="21600,21600" arcsize="0.166666666666667" o:gfxdata="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TMo212gAAAAsBAAAPAAAAAAAAAAEAIAAAACIAAABkcnMvZG93bnJldi54bWxQ&#10;SwECFAAUAAAACACHTuJAK+aSaS4CAACVBAAADgAAAAAAAAABACAAAAApAQAAZHJzL2Uyb0RvYy54&#10;bWxQSwUGAAAAAAYABgBZAQAAyQUAAAAA&#10;">
                <v:fill on="t" focussize="0,0"/>
                <v:stroke color="#000000" joinstyle="round"/>
                <v:imagedata o:title=""/>
                <o:lock v:ext="edit" aspectratio="f"/>
                <v:textbox inset="7.19992125984252pt,3.59992125984252pt,7.19992125984252pt,3.59992125984252pt">
                  <w:txbxContent>
                    <w:p w14:paraId="364ACE4E">
                      <w:pPr>
                        <w:widowControl w:val="0"/>
                        <w:kinsoku/>
                        <w:autoSpaceDE/>
                        <w:autoSpaceDN/>
                        <w:adjustRightInd/>
                        <w:snapToGrid/>
                        <w:spacing w:line="24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启动环境应急预案及有关保障预案</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1312" behindDoc="0" locked="0" layoutInCell="1" allowOverlap="1">
                <wp:simplePos x="0" y="0"/>
                <wp:positionH relativeFrom="column">
                  <wp:posOffset>2238375</wp:posOffset>
                </wp:positionH>
                <wp:positionV relativeFrom="paragraph">
                  <wp:posOffset>2364105</wp:posOffset>
                </wp:positionV>
                <wp:extent cx="947420" cy="295275"/>
                <wp:effectExtent l="4445" t="5080" r="19685" b="4445"/>
                <wp:wrapNone/>
                <wp:docPr id="3" name="Rectangle 6"/>
                <wp:cNvGraphicFramePr/>
                <a:graphic xmlns:a="http://schemas.openxmlformats.org/drawingml/2006/main">
                  <a:graphicData uri="http://schemas.microsoft.com/office/word/2010/wordprocessingShape">
                    <wps:wsp>
                      <wps:cNvSpPr/>
                      <wps:spPr>
                        <a:xfrm>
                          <a:off x="0" y="0"/>
                          <a:ext cx="947420"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8CBEA59">
                            <w:pPr>
                              <w:widowControl w:val="0"/>
                              <w:kinsoku/>
                              <w:autoSpaceDE/>
                              <w:autoSpaceDN/>
                              <w:adjustRightInd/>
                              <w:snapToGrid/>
                              <w:spacing w:line="300" w:lineRule="exact"/>
                              <w:ind w:firstLine="180" w:firstLineChars="100"/>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应急响应</w:t>
                            </w:r>
                          </w:p>
                        </w:txbxContent>
                      </wps:txbx>
                      <wps:bodyPr wrap="square" lIns="91439" tIns="45719" rIns="91439" bIns="45719" upright="1"/>
                    </wps:wsp>
                  </a:graphicData>
                </a:graphic>
              </wp:anchor>
            </w:drawing>
          </mc:Choice>
          <mc:Fallback>
            <w:pict>
              <v:roundrect id="Rectangle 6" o:spid="_x0000_s1026" o:spt="2" style="position:absolute;left:0pt;margin-left:176.25pt;margin-top:186.15pt;height:23.25pt;width:74.6pt;z-index:251661312;mso-width-relative:page;mso-height-relative:page;" fillcolor="#FFFFFF" filled="t" stroked="t" coordsize="21600,21600" arcsize="0.166666666666667" o:gfxdata="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SBEfi2QAAAAsBAAAPAAAAAAAAAAEAIAAAACIAAABkcnMvZG93bnJldi54bWxQSwEC&#10;FAAUAAAACACHTuJAOBcApiwCAACUBAAADgAAAAAAAAABACAAAAAoAQAAZHJzL2Uyb0RvYy54bWxQ&#10;SwUGAAAAAAYABgBZAQAAxgUAAAAA&#10;">
                <v:fill on="t" focussize="0,0"/>
                <v:stroke color="#000000" joinstyle="round"/>
                <v:imagedata o:title=""/>
                <o:lock v:ext="edit" aspectratio="f"/>
                <v:textbox inset="7.19992125984252pt,3.59992125984252pt,7.19992125984252pt,3.59992125984252pt">
                  <w:txbxContent>
                    <w:p w14:paraId="08CBEA59">
                      <w:pPr>
                        <w:widowControl w:val="0"/>
                        <w:kinsoku/>
                        <w:autoSpaceDE/>
                        <w:autoSpaceDN/>
                        <w:adjustRightInd/>
                        <w:snapToGrid/>
                        <w:spacing w:line="300" w:lineRule="exact"/>
                        <w:ind w:firstLine="180" w:firstLineChars="100"/>
                        <w:jc w:val="both"/>
                        <w:textAlignment w:val="auto"/>
                        <w:rPr>
                          <w:rFonts w:hint="eastAsia" w:ascii="宋体" w:hAnsi="宋体" w:eastAsia="宋体" w:cs="宋体"/>
                          <w:snapToGrid/>
                          <w:kern w:val="2"/>
                          <w:sz w:val="32"/>
                          <w:lang w:eastAsia="zh-CN"/>
                        </w:rPr>
                      </w:pPr>
                      <w:r>
                        <w:rPr>
                          <w:rFonts w:hint="eastAsia" w:ascii="Times New Roman" w:hAnsi="Times New Roman" w:eastAsia="宋体" w:cs="Times New Roman"/>
                          <w:snapToGrid/>
                          <w:kern w:val="2"/>
                          <w:sz w:val="18"/>
                          <w:szCs w:val="18"/>
                          <w:lang w:eastAsia="zh-CN"/>
                        </w:rPr>
                        <w:t>应急响应</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0288" behindDoc="0" locked="0" layoutInCell="1" allowOverlap="1">
                <wp:simplePos x="0" y="0"/>
                <wp:positionH relativeFrom="column">
                  <wp:posOffset>1681480</wp:posOffset>
                </wp:positionH>
                <wp:positionV relativeFrom="paragraph">
                  <wp:posOffset>1470660</wp:posOffset>
                </wp:positionV>
                <wp:extent cx="2065020" cy="607060"/>
                <wp:effectExtent l="4445" t="4445" r="6985" b="17145"/>
                <wp:wrapNone/>
                <wp:docPr id="2" name="AutoShape 5"/>
                <wp:cNvGraphicFramePr/>
                <a:graphic xmlns:a="http://schemas.openxmlformats.org/drawingml/2006/main">
                  <a:graphicData uri="http://schemas.microsoft.com/office/word/2010/wordprocessingShape">
                    <wps:wsp>
                      <wps:cNvSpPr/>
                      <wps:spPr>
                        <a:xfrm>
                          <a:off x="0" y="0"/>
                          <a:ext cx="2065020" cy="6070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1C0C46F">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信息报告</w:t>
                            </w:r>
                          </w:p>
                          <w:p w14:paraId="6D419D35">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(县应急指挥部)</w:t>
                            </w:r>
                          </w:p>
                        </w:txbxContent>
                      </wps:txbx>
                      <wps:bodyPr wrap="square" lIns="91439" tIns="45719" rIns="91439" bIns="45719" upright="1"/>
                    </wps:wsp>
                  </a:graphicData>
                </a:graphic>
              </wp:anchor>
            </w:drawing>
          </mc:Choice>
          <mc:Fallback>
            <w:pict>
              <v:roundrect id="AutoShape 5" o:spid="_x0000_s1026" o:spt="2" style="position:absolute;left:0pt;margin-left:132.4pt;margin-top:115.8pt;height:47.8pt;width:162.6pt;z-index:251660288;mso-width-relative:page;mso-height-relative:page;" fillcolor="#FFFFFF" filled="t" stroked="t" coordsize="21600,21600" arcsize="0.166666666666667" o:gfxdata="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5UF2gAAAAsBAAAPAAAAAAAAAAEAIAAAACIAAABkcnMvZG93bnJldi54bWxQ&#10;SwECFAAUAAAACACHTuJAEJdR0S4CAACVBAAADgAAAAAAAAABACAAAAApAQAAZHJzL2Uyb0RvYy54&#10;bWxQSwUGAAAAAAYABgBZAQAAyQUAAAAA&#10;">
                <v:fill on="t" focussize="0,0"/>
                <v:stroke color="#000000" joinstyle="round"/>
                <v:imagedata o:title=""/>
                <o:lock v:ext="edit" aspectratio="f"/>
                <v:textbox inset="7.19992125984252pt,3.59992125984252pt,7.19992125984252pt,3.59992125984252pt">
                  <w:txbxContent>
                    <w:p w14:paraId="41C0C46F">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信息报告</w:t>
                      </w:r>
                    </w:p>
                    <w:p w14:paraId="6D419D35">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(县应急指挥部)</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59264" behindDoc="0" locked="0" layoutInCell="1" allowOverlap="1">
                <wp:simplePos x="0" y="0"/>
                <wp:positionH relativeFrom="column">
                  <wp:posOffset>1796415</wp:posOffset>
                </wp:positionH>
                <wp:positionV relativeFrom="paragraph">
                  <wp:posOffset>387985</wp:posOffset>
                </wp:positionV>
                <wp:extent cx="1834515" cy="492125"/>
                <wp:effectExtent l="4445" t="4445" r="8890" b="17780"/>
                <wp:wrapNone/>
                <wp:docPr id="1" name="Rectangle 4"/>
                <wp:cNvGraphicFramePr/>
                <a:graphic xmlns:a="http://schemas.openxmlformats.org/drawingml/2006/main">
                  <a:graphicData uri="http://schemas.microsoft.com/office/word/2010/wordprocessingShape">
                    <wps:wsp>
                      <wps:cNvSpPr/>
                      <wps:spPr>
                        <a:xfrm>
                          <a:off x="0" y="0"/>
                          <a:ext cx="1834515" cy="4921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19835A">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先 期 处 置</w:t>
                            </w:r>
                          </w:p>
                          <w:p w14:paraId="4876A4BD">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（事发乡镇和有关企业）</w:t>
                            </w:r>
                          </w:p>
                        </w:txbxContent>
                      </wps:txbx>
                      <wps:bodyPr wrap="square" lIns="91439" tIns="45719" rIns="91439" bIns="45719" upright="1"/>
                    </wps:wsp>
                  </a:graphicData>
                </a:graphic>
              </wp:anchor>
            </w:drawing>
          </mc:Choice>
          <mc:Fallback>
            <w:pict>
              <v:roundrect id="Rectangle 4" o:spid="_x0000_s1026" o:spt="2" style="position:absolute;left:0pt;margin-left:141.45pt;margin-top:30.55pt;height:38.75pt;width:144.45pt;z-index:251659264;mso-width-relative:page;mso-height-relative:page;" fillcolor="#FFFFFF" filled="t" stroked="t" coordsize="21600,21600" arcsize="0.166666666666667" o:gfxdata="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niQRHXAAAACgEAAA8AAAAAAAAAAQAgAAAAIgAAAGRycy9kb3ducmV2LnhtbFBLAQIU&#10;ABQAAAAIAIdO4kDDgU8RLQIAAJUEAAAOAAAAAAAAAAEAIAAAACYBAABkcnMvZTJvRG9jLnhtbFBL&#10;BQYAAAAABgAGAFkBAADFBQAAAAA=&#10;">
                <v:fill on="t" focussize="0,0"/>
                <v:stroke color="#000000" joinstyle="round"/>
                <v:imagedata o:title=""/>
                <o:lock v:ext="edit" aspectratio="f"/>
                <v:textbox inset="7.19992125984252pt,3.59992125984252pt,7.19992125984252pt,3.59992125984252pt">
                  <w:txbxContent>
                    <w:p w14:paraId="2A19835A">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先 期 处 置</w:t>
                      </w:r>
                    </w:p>
                    <w:p w14:paraId="4876A4BD">
                      <w:pPr>
                        <w:widowControl w:val="0"/>
                        <w:kinsoku/>
                        <w:autoSpaceDE/>
                        <w:autoSpaceDN/>
                        <w:adjustRightInd/>
                        <w:snapToGrid/>
                        <w:spacing w:line="240" w:lineRule="exact"/>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（事发乡镇和有关企业）</w:t>
                      </w:r>
                    </w:p>
                  </w:txbxContent>
                </v:textbox>
              </v:roundrect>
            </w:pict>
          </mc:Fallback>
        </mc:AlternateContent>
      </w:r>
    </w:p>
    <w:p w14:paraId="0B838D22">
      <w:pPr>
        <w:spacing w:line="580" w:lineRule="exact"/>
        <w:rPr>
          <w:rFonts w:ascii="Times New Roman" w:hAnsi="Times New Roman" w:eastAsia="黑体" w:cs="Times New Roman"/>
          <w:b/>
          <w:bCs/>
          <w:color w:val="auto"/>
          <w:szCs w:val="32"/>
          <w:lang w:eastAsia="zh-CN"/>
        </w:rPr>
        <w:sectPr>
          <w:pgSz w:w="11906" w:h="16838"/>
          <w:pgMar w:top="1984" w:right="1474" w:bottom="1871" w:left="1587" w:header="851" w:footer="1587" w:gutter="0"/>
          <w:cols w:space="720" w:num="1"/>
          <w:titlePg/>
          <w:docGrid w:linePitch="590" w:charSpace="0"/>
        </w:sectPr>
      </w:pP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8960" behindDoc="0" locked="0" layoutInCell="1" allowOverlap="1">
                <wp:simplePos x="0" y="0"/>
                <wp:positionH relativeFrom="column">
                  <wp:posOffset>118110</wp:posOffset>
                </wp:positionH>
                <wp:positionV relativeFrom="paragraph">
                  <wp:posOffset>1181735</wp:posOffset>
                </wp:positionV>
                <wp:extent cx="1336040" cy="294640"/>
                <wp:effectExtent l="4445" t="4445" r="12065" b="5715"/>
                <wp:wrapNone/>
                <wp:docPr id="30" name="Rectangle 57"/>
                <wp:cNvGraphicFramePr/>
                <a:graphic xmlns:a="http://schemas.openxmlformats.org/drawingml/2006/main">
                  <a:graphicData uri="http://schemas.microsoft.com/office/word/2010/wordprocessingShape">
                    <wps:wsp>
                      <wps:cNvSpPr/>
                      <wps:spPr>
                        <a:xfrm>
                          <a:off x="0" y="0"/>
                          <a:ext cx="1336040" cy="2946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F38587">
                            <w:pPr>
                              <w:widowControl w:val="0"/>
                              <w:kinsoku/>
                              <w:autoSpaceDE/>
                              <w:autoSpaceDN/>
                              <w:adjustRightInd/>
                              <w:snapToGrid/>
                              <w:spacing w:line="30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报县人民政府有关领导</w:t>
                            </w:r>
                          </w:p>
                        </w:txbxContent>
                      </wps:txbx>
                      <wps:bodyPr wrap="square" lIns="91439" tIns="45719" rIns="91439" bIns="45719" upright="1"/>
                    </wps:wsp>
                  </a:graphicData>
                </a:graphic>
              </wp:anchor>
            </w:drawing>
          </mc:Choice>
          <mc:Fallback>
            <w:pict>
              <v:roundrect id="Rectangle 57" o:spid="_x0000_s1026" o:spt="2" style="position:absolute;left:0pt;margin-left:9.3pt;margin-top:93.05pt;height:23.2pt;width:105.2pt;z-index:251688960;mso-width-relative:page;mso-height-relative:page;" fillcolor="#FFFFFF" filled="t" stroked="t" coordsize="21600,21600" arcsize="0.166666666666667" o:gfxdata="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9OyDV1wAAAAoBAAAPAAAAAAAAAAEAIAAAACIAAABkcnMvZG93bnJldi54bWxQSwEC&#10;FAAUAAAACACHTuJAN9feHC4CAACXBAAADgAAAAAAAAABACAAAAAmAQAAZHJzL2Uyb0RvYy54bWxQ&#10;SwUGAAAAAAYABgBZAQAAxgUAAAAA&#10;">
                <v:fill on="t" focussize="0,0"/>
                <v:stroke color="#000000" joinstyle="round"/>
                <v:imagedata o:title=""/>
                <o:lock v:ext="edit" aspectratio="f"/>
                <v:textbox inset="7.19992125984252pt,3.59992125984252pt,7.19992125984252pt,3.59992125984252pt">
                  <w:txbxContent>
                    <w:p w14:paraId="50F38587">
                      <w:pPr>
                        <w:widowControl w:val="0"/>
                        <w:kinsoku/>
                        <w:autoSpaceDE/>
                        <w:autoSpaceDN/>
                        <w:adjustRightInd/>
                        <w:snapToGrid/>
                        <w:spacing w:line="300" w:lineRule="exact"/>
                        <w:jc w:val="both"/>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报县人民政府有关领导</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0768" behindDoc="0" locked="0" layoutInCell="1" allowOverlap="1">
                <wp:simplePos x="0" y="0"/>
                <wp:positionH relativeFrom="column">
                  <wp:posOffset>3861435</wp:posOffset>
                </wp:positionH>
                <wp:positionV relativeFrom="paragraph">
                  <wp:posOffset>3098800</wp:posOffset>
                </wp:positionV>
                <wp:extent cx="1054100" cy="447675"/>
                <wp:effectExtent l="4445" t="4445" r="8255" b="5080"/>
                <wp:wrapNone/>
                <wp:docPr id="22" name="Rectangle 26"/>
                <wp:cNvGraphicFramePr/>
                <a:graphic xmlns:a="http://schemas.openxmlformats.org/drawingml/2006/main">
                  <a:graphicData uri="http://schemas.microsoft.com/office/word/2010/wordprocessingShape">
                    <wps:wsp>
                      <wps:cNvSpPr/>
                      <wps:spPr>
                        <a:xfrm flipV="1">
                          <a:off x="0" y="0"/>
                          <a:ext cx="1054100" cy="4476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C9E3227">
                            <w:pPr>
                              <w:widowControl w:val="0"/>
                              <w:kinsoku/>
                              <w:autoSpaceDE/>
                              <w:autoSpaceDN/>
                              <w:adjustRightInd/>
                              <w:snapToGrid/>
                              <w:spacing w:line="300" w:lineRule="exact"/>
                              <w:jc w:val="center"/>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各应急组</w:t>
                            </w:r>
                          </w:p>
                          <w:p w14:paraId="09F64A5A">
                            <w:pPr>
                              <w:widowControl w:val="0"/>
                              <w:kinsoku/>
                              <w:autoSpaceDE/>
                              <w:autoSpaceDN/>
                              <w:adjustRightInd/>
                              <w:snapToGrid/>
                              <w:spacing w:line="300" w:lineRule="exact"/>
                              <w:jc w:val="center"/>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按分工发挥效能</w:t>
                            </w:r>
                          </w:p>
                        </w:txbxContent>
                      </wps:txbx>
                      <wps:bodyPr wrap="square" lIns="91439" tIns="10800" rIns="91439" bIns="10800" upright="1"/>
                    </wps:wsp>
                  </a:graphicData>
                </a:graphic>
              </wp:anchor>
            </w:drawing>
          </mc:Choice>
          <mc:Fallback>
            <w:pict>
              <v:roundrect id="Rectangle 26" o:spid="_x0000_s1026" o:spt="2" style="position:absolute;left:0pt;flip:y;margin-left:304.05pt;margin-top:244pt;height:35.25pt;width:83pt;z-index:251680768;mso-width-relative:page;mso-height-relative:page;" fillcolor="#FFFFFF" filled="t" stroked="t" coordsize="21600,21600" arcsize="0.166666666666667" o:gfxdata="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gIfNkAAAALAQAADwAAAAAAAAABACAAAAAiAAAAZHJzL2Rvd25y&#10;ZXYueG1sUEsBAhQAFAAAAAgAh07iQPF5nl82AgAAoQQAAA4AAAAAAAAAAQAgAAAAKAEAAGRycy9l&#10;Mm9Eb2MueG1sUEsFBgAAAAAGAAYAWQEAANAFAAAAAA==&#10;">
                <v:fill on="t" focussize="0,0"/>
                <v:stroke color="#000000" joinstyle="round"/>
                <v:imagedata o:title=""/>
                <o:lock v:ext="edit" aspectratio="f"/>
                <v:textbox inset="7.19992125984252pt,0.3mm,7.19992125984252pt,0.3mm">
                  <w:txbxContent>
                    <w:p w14:paraId="1C9E3227">
                      <w:pPr>
                        <w:widowControl w:val="0"/>
                        <w:kinsoku/>
                        <w:autoSpaceDE/>
                        <w:autoSpaceDN/>
                        <w:adjustRightInd/>
                        <w:snapToGrid/>
                        <w:spacing w:line="300" w:lineRule="exact"/>
                        <w:jc w:val="center"/>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各应急组</w:t>
                      </w:r>
                    </w:p>
                    <w:p w14:paraId="09F64A5A">
                      <w:pPr>
                        <w:widowControl w:val="0"/>
                        <w:kinsoku/>
                        <w:autoSpaceDE/>
                        <w:autoSpaceDN/>
                        <w:adjustRightInd/>
                        <w:snapToGrid/>
                        <w:spacing w:line="300" w:lineRule="exact"/>
                        <w:jc w:val="center"/>
                        <w:textAlignment w:val="auto"/>
                        <w:rPr>
                          <w:rFonts w:hint="eastAsia" w:ascii="宋体" w:hAnsi="宋体" w:eastAsia="宋体" w:cs="宋体"/>
                          <w:snapToGrid/>
                          <w:kern w:val="2"/>
                          <w:sz w:val="18"/>
                          <w:szCs w:val="18"/>
                          <w:lang w:eastAsia="zh-CN"/>
                        </w:rPr>
                      </w:pPr>
                      <w:r>
                        <w:rPr>
                          <w:rFonts w:hint="eastAsia" w:ascii="宋体" w:hAnsi="宋体" w:eastAsia="宋体" w:cs="宋体"/>
                          <w:snapToGrid/>
                          <w:kern w:val="2"/>
                          <w:sz w:val="18"/>
                          <w:szCs w:val="18"/>
                          <w:lang w:eastAsia="zh-CN"/>
                        </w:rPr>
                        <w:t>按分工发挥效能</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66432" behindDoc="0" locked="0" layoutInCell="1" allowOverlap="1">
                <wp:simplePos x="0" y="0"/>
                <wp:positionH relativeFrom="column">
                  <wp:posOffset>1307465</wp:posOffset>
                </wp:positionH>
                <wp:positionV relativeFrom="paragraph">
                  <wp:posOffset>6176010</wp:posOffset>
                </wp:positionV>
                <wp:extent cx="2792095" cy="565785"/>
                <wp:effectExtent l="4445" t="4445" r="22860" b="20320"/>
                <wp:wrapNone/>
                <wp:docPr id="8" name="Rectangle 11"/>
                <wp:cNvGraphicFramePr/>
                <a:graphic xmlns:a="http://schemas.openxmlformats.org/drawingml/2006/main">
                  <a:graphicData uri="http://schemas.microsoft.com/office/word/2010/wordprocessingShape">
                    <wps:wsp>
                      <wps:cNvSpPr/>
                      <wps:spPr>
                        <a:xfrm>
                          <a:off x="0" y="0"/>
                          <a:ext cx="2792095" cy="5657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F34E9C">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新闻信息发布</w:t>
                            </w:r>
                          </w:p>
                          <w:p w14:paraId="4C1A6DBA">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（县委宣传部）</w:t>
                            </w:r>
                          </w:p>
                        </w:txbxContent>
                      </wps:txbx>
                      <wps:bodyPr wrap="square" lIns="91439" tIns="45719" rIns="91439" bIns="45719" upright="1"/>
                    </wps:wsp>
                  </a:graphicData>
                </a:graphic>
              </wp:anchor>
            </w:drawing>
          </mc:Choice>
          <mc:Fallback>
            <w:pict>
              <v:roundrect id="Rectangle 11" o:spid="_x0000_s1026" o:spt="2" style="position:absolute;left:0pt;margin-left:102.95pt;margin-top:486.3pt;height:44.55pt;width:219.85pt;z-index:251666432;mso-width-relative:page;mso-height-relative:page;" fillcolor="#FFFFFF" filled="t" stroked="t" coordsize="21600,21600" arcsize="0.166666666666667" o:gfxdata="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fABl2gAAAAwBAAAPAAAAAAAAAAEAIAAAACIAAABkcnMvZG93bnJldi54bWxQ&#10;SwECFAAUAAAACACHTuJAZOGxxy4CAACWBAAADgAAAAAAAAABACAAAAApAQAAZHJzL2Uyb0RvYy54&#10;bWxQSwUGAAAAAAYABgBZAQAAyQUAAAAA&#10;">
                <v:fill on="t" focussize="0,0"/>
                <v:stroke color="#000000" joinstyle="round"/>
                <v:imagedata o:title=""/>
                <o:lock v:ext="edit" aspectratio="f"/>
                <v:textbox inset="7.19992125984252pt,3.59992125984252pt,7.19992125984252pt,3.59992125984252pt">
                  <w:txbxContent>
                    <w:p w14:paraId="49F34E9C">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新闻信息发布</w:t>
                      </w:r>
                    </w:p>
                    <w:p w14:paraId="4C1A6DBA">
                      <w:pPr>
                        <w:widowControl w:val="0"/>
                        <w:kinsoku/>
                        <w:autoSpaceDE/>
                        <w:autoSpaceDN/>
                        <w:adjustRightInd/>
                        <w:snapToGrid/>
                        <w:spacing w:line="300" w:lineRule="exact"/>
                        <w:ind w:firstLine="90" w:firstLineChars="50"/>
                        <w:jc w:val="center"/>
                        <w:textAlignment w:val="auto"/>
                        <w:rPr>
                          <w:rFonts w:hint="eastAsia" w:ascii="Times New Roman" w:hAnsi="Times New Roman" w:eastAsia="宋体" w:cs="Times New Roman"/>
                          <w:snapToGrid/>
                          <w:kern w:val="2"/>
                          <w:sz w:val="18"/>
                          <w:szCs w:val="18"/>
                          <w:lang w:eastAsia="zh-CN"/>
                        </w:rPr>
                      </w:pPr>
                      <w:r>
                        <w:rPr>
                          <w:rFonts w:hint="eastAsia" w:ascii="Times New Roman" w:hAnsi="Times New Roman" w:eastAsia="宋体" w:cs="Times New Roman"/>
                          <w:snapToGrid/>
                          <w:kern w:val="2"/>
                          <w:sz w:val="18"/>
                          <w:szCs w:val="18"/>
                          <w:lang w:eastAsia="zh-CN"/>
                        </w:rPr>
                        <w:t>（县委宣传部）</w:t>
                      </w:r>
                    </w:p>
                  </w:txbxContent>
                </v:textbox>
              </v:roundrect>
            </w:pict>
          </mc:Fallback>
        </mc:AlternateContent>
      </w:r>
      <w:r>
        <w:rPr>
          <w:rFonts w:ascii="Times New Roman" w:hAnsi="Times New Roman" w:eastAsia="仿宋_GB2312" w:cs="Times New Roman"/>
          <w:snapToGrid/>
          <w:color w:val="auto"/>
          <w:kern w:val="2"/>
          <w:sz w:val="32"/>
          <w:szCs w:val="32"/>
          <w:lang w:eastAsia="zh-CN"/>
        </w:rPr>
        <mc:AlternateContent>
          <mc:Choice Requires="wps">
            <w:drawing>
              <wp:anchor distT="0" distB="0" distL="114300" distR="114300" simplePos="0" relativeHeight="251684864" behindDoc="0" locked="0" layoutInCell="1" allowOverlap="1">
                <wp:simplePos x="0" y="0"/>
                <wp:positionH relativeFrom="column">
                  <wp:posOffset>4037965</wp:posOffset>
                </wp:positionH>
                <wp:positionV relativeFrom="paragraph">
                  <wp:posOffset>2454275</wp:posOffset>
                </wp:positionV>
                <wp:extent cx="1032510" cy="552450"/>
                <wp:effectExtent l="4445" t="4445" r="10795" b="14605"/>
                <wp:wrapNone/>
                <wp:docPr id="26" name="Rectangle 53"/>
                <wp:cNvGraphicFramePr/>
                <a:graphic xmlns:a="http://schemas.openxmlformats.org/drawingml/2006/main">
                  <a:graphicData uri="http://schemas.microsoft.com/office/word/2010/wordprocessingShape">
                    <wps:wsp>
                      <wps:cNvSpPr/>
                      <wps:spPr>
                        <a:xfrm>
                          <a:off x="0" y="0"/>
                          <a:ext cx="1032510" cy="5524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0F9B903">
                            <w:pPr>
                              <w:widowControl w:val="0"/>
                              <w:kinsoku/>
                              <w:autoSpaceDE/>
                              <w:autoSpaceDN/>
                              <w:adjustRightInd/>
                              <w:snapToGrid/>
                              <w:spacing w:line="300" w:lineRule="exact"/>
                              <w:jc w:val="center"/>
                              <w:textAlignment w:val="auto"/>
                              <w:rPr>
                                <w:rFonts w:hint="eastAsia" w:ascii="宋体" w:hAnsi="宋体" w:eastAsia="宋体" w:cs="宋体"/>
                                <w:snapToGrid/>
                                <w:kern w:val="2"/>
                                <w:sz w:val="18"/>
                                <w:szCs w:val="18"/>
                                <w:lang w:eastAsia="zh-CN"/>
                              </w:rPr>
                            </w:pPr>
                            <w:r>
                              <w:rPr>
                                <w:rFonts w:hint="eastAsia" w:ascii="Times New Roman" w:hAnsi="Times New Roman" w:eastAsia="宋体" w:cs="Times New Roman"/>
                                <w:snapToGrid/>
                                <w:kern w:val="2"/>
                                <w:sz w:val="18"/>
                                <w:szCs w:val="18"/>
                                <w:lang w:eastAsia="zh-CN"/>
                              </w:rPr>
                              <w:t>突发环境事件</w:t>
                            </w:r>
                            <w:r>
                              <w:rPr>
                                <w:rFonts w:hint="eastAsia" w:ascii="宋体" w:hAnsi="宋体" w:eastAsia="宋体" w:cs="宋体"/>
                                <w:snapToGrid/>
                                <w:kern w:val="2"/>
                                <w:sz w:val="18"/>
                                <w:szCs w:val="18"/>
                                <w:lang w:eastAsia="zh-CN"/>
                              </w:rPr>
                              <w:t>应急指挥</w:t>
                            </w:r>
                          </w:p>
                        </w:txbxContent>
                      </wps:txbx>
                      <wps:bodyPr wrap="square" lIns="91439" tIns="45719" rIns="91439" bIns="45719" upright="1"/>
                    </wps:wsp>
                  </a:graphicData>
                </a:graphic>
              </wp:anchor>
            </w:drawing>
          </mc:Choice>
          <mc:Fallback>
            <w:pict>
              <v:roundrect id="Rectangle 53" o:spid="_x0000_s1026" o:spt="2" style="position:absolute;left:0pt;margin-left:317.95pt;margin-top:193.25pt;height:43.5pt;width:81.3pt;z-index:251684864;mso-width-relative:page;mso-height-relative:page;" fillcolor="#FFFFFF" filled="t" stroked="t" coordsize="21600,21600" arcsize="0.166666666666667" o:gfxdata="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NdxfnaAAAACwEAAA8AAAAAAAAAAQAgAAAAIgAAAGRycy9kb3ducmV2Lnht&#10;bFBLAQIUABQAAAAIAIdO4kCHlHZlMAIAAJcEAAAOAAAAAAAAAAEAIAAAACkBAABkcnMvZTJvRG9j&#10;LnhtbFBLBQYAAAAABgAGAFkBAADLBQAAAAA=&#10;">
                <v:fill on="t" focussize="0,0"/>
                <v:stroke color="#000000" joinstyle="round"/>
                <v:imagedata o:title=""/>
                <o:lock v:ext="edit" aspectratio="f"/>
                <v:textbox inset="7.19992125984252pt,3.59992125984252pt,7.19992125984252pt,3.59992125984252pt">
                  <w:txbxContent>
                    <w:p w14:paraId="20F9B903">
                      <w:pPr>
                        <w:widowControl w:val="0"/>
                        <w:kinsoku/>
                        <w:autoSpaceDE/>
                        <w:autoSpaceDN/>
                        <w:adjustRightInd/>
                        <w:snapToGrid/>
                        <w:spacing w:line="300" w:lineRule="exact"/>
                        <w:jc w:val="center"/>
                        <w:textAlignment w:val="auto"/>
                        <w:rPr>
                          <w:rFonts w:hint="eastAsia" w:ascii="宋体" w:hAnsi="宋体" w:eastAsia="宋体" w:cs="宋体"/>
                          <w:snapToGrid/>
                          <w:kern w:val="2"/>
                          <w:sz w:val="18"/>
                          <w:szCs w:val="18"/>
                          <w:lang w:eastAsia="zh-CN"/>
                        </w:rPr>
                      </w:pPr>
                      <w:r>
                        <w:rPr>
                          <w:rFonts w:hint="eastAsia" w:ascii="Times New Roman" w:hAnsi="Times New Roman" w:eastAsia="宋体" w:cs="Times New Roman"/>
                          <w:snapToGrid/>
                          <w:kern w:val="2"/>
                          <w:sz w:val="18"/>
                          <w:szCs w:val="18"/>
                          <w:lang w:eastAsia="zh-CN"/>
                        </w:rPr>
                        <w:t>突发环境事件</w:t>
                      </w:r>
                      <w:r>
                        <w:rPr>
                          <w:rFonts w:hint="eastAsia" w:ascii="宋体" w:hAnsi="宋体" w:eastAsia="宋体" w:cs="宋体"/>
                          <w:snapToGrid/>
                          <w:kern w:val="2"/>
                          <w:sz w:val="18"/>
                          <w:szCs w:val="18"/>
                          <w:lang w:eastAsia="zh-CN"/>
                        </w:rPr>
                        <w:t>应急指挥</w:t>
                      </w:r>
                    </w:p>
                  </w:txbxContent>
                </v:textbox>
              </v:roundrect>
            </w:pict>
          </mc:Fallback>
        </mc:AlternateContent>
      </w:r>
    </w:p>
    <w:p w14:paraId="60418C5C">
      <w:pPr>
        <w:widowControl w:val="0"/>
        <w:kinsoku/>
        <w:autoSpaceDE/>
        <w:autoSpaceDN/>
        <w:adjustRightInd/>
        <w:snapToGrid/>
        <w:spacing w:line="580" w:lineRule="exact"/>
        <w:jc w:val="both"/>
        <w:textAlignment w:val="auto"/>
        <w:rPr>
          <w:rFonts w:ascii="Times New Roman" w:hAnsi="Times New Roman" w:eastAsia="宋体" w:cs="Times New Roman"/>
          <w:b/>
          <w:snapToGrid/>
          <w:color w:val="auto"/>
          <w:sz w:val="32"/>
          <w:szCs w:val="32"/>
          <w:lang w:eastAsia="zh-CN"/>
        </w:rPr>
      </w:pPr>
      <w:bookmarkStart w:id="484" w:name="_Toc340667179"/>
      <w:bookmarkStart w:id="485" w:name="_Toc344713154"/>
      <w:r>
        <w:rPr>
          <w:rFonts w:ascii="Times New Roman" w:hAnsi="Times New Roman" w:eastAsia="黑体" w:cs="Times New Roman"/>
          <w:b/>
          <w:snapToGrid/>
          <w:color w:val="auto"/>
          <w:sz w:val="32"/>
          <w:szCs w:val="32"/>
          <w:lang w:eastAsia="zh-CN"/>
        </w:rPr>
        <w:t>附件</w:t>
      </w:r>
      <w:bookmarkEnd w:id="484"/>
      <w:bookmarkEnd w:id="485"/>
      <w:bookmarkStart w:id="486" w:name="_Toc4086951"/>
      <w:r>
        <w:rPr>
          <w:rFonts w:hint="eastAsia" w:ascii="Times New Roman" w:hAnsi="Times New Roman" w:eastAsia="黑体" w:cs="Times New Roman"/>
          <w:b/>
          <w:snapToGrid/>
          <w:color w:val="auto"/>
          <w:sz w:val="32"/>
          <w:szCs w:val="32"/>
          <w:lang w:val="en-US" w:eastAsia="zh-CN"/>
        </w:rPr>
        <w:t>5</w:t>
      </w:r>
      <w:r>
        <w:rPr>
          <w:rFonts w:ascii="Times New Roman" w:hAnsi="Times New Roman" w:eastAsia="黑体" w:cs="Times New Roman"/>
          <w:b/>
          <w:snapToGrid/>
          <w:color w:val="auto"/>
          <w:sz w:val="32"/>
          <w:szCs w:val="32"/>
          <w:lang w:eastAsia="zh-CN"/>
        </w:rPr>
        <w:t xml:space="preserve">  </w:t>
      </w:r>
      <w:r>
        <w:rPr>
          <w:rFonts w:ascii="Times New Roman" w:hAnsi="Times New Roman" w:eastAsia="宋体" w:cs="Times New Roman"/>
          <w:b/>
          <w:snapToGrid/>
          <w:color w:val="auto"/>
          <w:sz w:val="36"/>
          <w:szCs w:val="32"/>
          <w:lang w:eastAsia="zh-CN"/>
        </w:rPr>
        <w:t>突发环境事件应急卡</w:t>
      </w:r>
      <w:bookmarkEnd w:id="486"/>
    </w:p>
    <w:p w14:paraId="7F33337D">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r>
        <w:rPr>
          <w:rFonts w:ascii="Times New Roman" w:hAnsi="Times New Roman" w:eastAsia="宋体" w:cs="Times New Roman"/>
          <w:snapToGrid/>
          <w:color w:val="auto"/>
          <w:kern w:val="2"/>
          <w:szCs w:val="22"/>
          <w:lang w:eastAsia="zh-CN"/>
        </w:rPr>
        <w:t xml:space="preserve">                      </w:t>
      </w:r>
    </w:p>
    <w:p w14:paraId="2AC372CD">
      <w:pPr>
        <w:widowControl w:val="0"/>
        <w:kinsoku/>
        <w:autoSpaceDE/>
        <w:autoSpaceDN/>
        <w:adjustRightInd/>
        <w:snapToGrid/>
        <w:ind w:firstLine="2409" w:firstLineChars="1000"/>
        <w:jc w:val="both"/>
        <w:textAlignment w:val="auto"/>
        <w:rPr>
          <w:rFonts w:ascii="Times New Roman" w:hAnsi="Times New Roman" w:eastAsia="黑体" w:cs="Times New Roman"/>
          <w:b/>
          <w:bCs/>
          <w:snapToGrid/>
          <w:color w:val="auto"/>
          <w:kern w:val="2"/>
          <w:sz w:val="24"/>
          <w:szCs w:val="24"/>
          <w:lang w:eastAsia="zh-CN"/>
        </w:rPr>
      </w:pPr>
      <w:r>
        <w:rPr>
          <w:rFonts w:hint="eastAsia" w:ascii="Times New Roman" w:hAnsi="Times New Roman" w:eastAsia="黑体" w:cs="Times New Roman"/>
          <w:b/>
          <w:bCs/>
          <w:snapToGrid/>
          <w:color w:val="auto"/>
          <w:kern w:val="2"/>
          <w:sz w:val="24"/>
          <w:szCs w:val="24"/>
          <w:lang w:eastAsia="zh-CN"/>
        </w:rPr>
        <w:t>废水超标排放事故突发环境事件应急卡</w:t>
      </w:r>
    </w:p>
    <w:tbl>
      <w:tblPr>
        <w:tblStyle w:val="14"/>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14"/>
        <w:gridCol w:w="7347"/>
      </w:tblGrid>
      <w:tr w14:paraId="7D810BB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18" w:space="0"/>
              <w:left w:val="single" w:color="auto" w:sz="18" w:space="0"/>
              <w:bottom w:val="single" w:color="auto" w:sz="6" w:space="0"/>
              <w:right w:val="single" w:color="auto" w:sz="6" w:space="0"/>
            </w:tcBorders>
            <w:noWrap w:val="0"/>
            <w:vAlign w:val="center"/>
          </w:tcPr>
          <w:p w14:paraId="5C1660FC">
            <w:pPr>
              <w:widowControl w:val="0"/>
              <w:kinsoku/>
              <w:autoSpaceDE/>
              <w:autoSpaceDN/>
              <w:adjustRightInd/>
              <w:snapToGrid/>
              <w:jc w:val="center"/>
              <w:textAlignment w:val="auto"/>
              <w:rPr>
                <w:rFonts w:hint="default" w:ascii="Times New Roman" w:hAnsi="Times New Roman" w:eastAsia="宋体" w:cs="Times New Roman"/>
                <w:b/>
                <w:snapToGrid/>
                <w:color w:val="auto"/>
                <w:kern w:val="2"/>
                <w:lang w:val="en-US" w:eastAsia="zh-CN"/>
              </w:rPr>
            </w:pPr>
            <w:r>
              <w:rPr>
                <w:rFonts w:hint="eastAsia" w:ascii="Times New Roman" w:hAnsi="Times New Roman" w:eastAsia="宋体" w:cs="Times New Roman"/>
                <w:b/>
                <w:snapToGrid/>
                <w:color w:val="auto"/>
                <w:kern w:val="2"/>
                <w:lang w:val="en-US" w:eastAsia="zh-CN"/>
              </w:rPr>
              <w:t>突发事件描述</w:t>
            </w:r>
          </w:p>
        </w:tc>
        <w:tc>
          <w:tcPr>
            <w:tcW w:w="7347" w:type="dxa"/>
            <w:tcBorders>
              <w:top w:val="single" w:color="auto" w:sz="18" w:space="0"/>
              <w:left w:val="single" w:color="auto" w:sz="6" w:space="0"/>
              <w:bottom w:val="single" w:color="auto" w:sz="6" w:space="0"/>
              <w:right w:val="single" w:color="auto" w:sz="18" w:space="0"/>
            </w:tcBorders>
            <w:noWrap w:val="0"/>
            <w:vAlign w:val="center"/>
          </w:tcPr>
          <w:p w14:paraId="4FA16518">
            <w:pPr>
              <w:keepNext w:val="0"/>
              <w:keepLines w:val="0"/>
              <w:widowControl/>
              <w:suppressLineNumbers w:val="0"/>
              <w:jc w:val="left"/>
              <w:rPr>
                <w:rFonts w:ascii="Times New Roman" w:hAnsi="Times New Roman" w:eastAsia="宋体" w:cs="Times New Roman"/>
                <w:bCs/>
                <w:snapToGrid/>
                <w:color w:val="auto"/>
                <w:kern w:val="2"/>
                <w:lang w:eastAsia="zh-CN"/>
              </w:rPr>
            </w:pPr>
            <w:r>
              <w:rPr>
                <w:rFonts w:hint="eastAsia" w:ascii="宋体" w:hAnsi="宋体" w:eastAsia="宋体" w:cs="宋体"/>
                <w:snapToGrid w:val="0"/>
                <w:color w:val="000000"/>
                <w:kern w:val="0"/>
                <w:sz w:val="24"/>
                <w:szCs w:val="24"/>
                <w:lang w:val="en-US" w:eastAsia="zh-CN" w:bidi="ar"/>
              </w:rPr>
              <w:t>XXXX废水超标排放事故</w:t>
            </w:r>
          </w:p>
        </w:tc>
      </w:tr>
      <w:tr w14:paraId="6B68A76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4BF4E590">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应急响应程序</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55526C8C">
            <w:pPr>
              <w:widowControl w:val="0"/>
              <w:kinsoku/>
              <w:autoSpaceDE/>
              <w:autoSpaceDN/>
              <w:adjustRightInd/>
              <w:snapToGrid/>
              <w:textAlignment w:val="auto"/>
              <w:rPr>
                <w:rFonts w:ascii="Times New Roman" w:hAnsi="Times New Roman" w:eastAsia="宋体" w:cs="Times New Roman"/>
                <w:bCs/>
                <w:snapToGrid/>
                <w:color w:val="auto"/>
                <w:kern w:val="2"/>
                <w:lang w:eastAsia="zh-CN"/>
              </w:rPr>
            </w:pPr>
            <w:r>
              <w:rPr>
                <w:rFonts w:hint="eastAsia" w:ascii="Times New Roman" w:hAnsi="Times New Roman" w:eastAsia="宋体" w:cs="Times New Roman"/>
                <w:bCs/>
                <w:snapToGrid/>
                <w:color w:val="auto"/>
                <w:kern w:val="2"/>
                <w:sz w:val="24"/>
                <w:szCs w:val="24"/>
                <w:lang w:eastAsia="zh-CN"/>
              </w:rPr>
              <w:t>报警及赶赴现场——警戒维护及疏散——现场处置——现场监测——信息报告——善后处置</w:t>
            </w:r>
          </w:p>
        </w:tc>
      </w:tr>
      <w:tr w14:paraId="325A4AE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711275EC">
            <w:pPr>
              <w:widowControl w:val="0"/>
              <w:kinsoku/>
              <w:autoSpaceDE/>
              <w:autoSpaceDN/>
              <w:adjustRightInd/>
              <w:snapToGrid/>
              <w:jc w:val="center"/>
              <w:textAlignment w:val="auto"/>
              <w:rPr>
                <w:rFonts w:hint="default" w:ascii="Times New Roman" w:hAnsi="Times New Roman" w:eastAsia="宋体" w:cs="Times New Roman"/>
                <w:b/>
                <w:snapToGrid/>
                <w:color w:val="auto"/>
                <w:kern w:val="2"/>
                <w:lang w:val="en-US" w:eastAsia="zh-CN"/>
              </w:rPr>
            </w:pPr>
            <w:r>
              <w:rPr>
                <w:rFonts w:hint="eastAsia" w:ascii="Times New Roman" w:hAnsi="Times New Roman" w:eastAsia="宋体" w:cs="Times New Roman"/>
                <w:b/>
                <w:snapToGrid/>
                <w:color w:val="auto"/>
                <w:kern w:val="2"/>
                <w:lang w:val="en-US" w:eastAsia="zh-CN"/>
              </w:rPr>
              <w:t>应急组织</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3AB4BEDA">
            <w:pPr>
              <w:widowControl w:val="0"/>
              <w:kinsoku/>
              <w:autoSpaceDE/>
              <w:autoSpaceDN/>
              <w:adjustRightInd/>
              <w:snapToGrid/>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县突发环境事件应急指挥部成员单位</w:t>
            </w:r>
          </w:p>
        </w:tc>
      </w:tr>
      <w:tr w14:paraId="1463FB4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33"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1A1AB507">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处置措施</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34E711A6">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（1）组织展开调查，查清造成水质超标的主要原因及相关企业。</w:t>
            </w:r>
          </w:p>
          <w:p w14:paraId="570BC189">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（2）组织开展污染源封堵，阻止污染物排入水体，并及时关停、限排相关排放企业。应急指挥部指挥相关部门及企业进行堵漏、截污、消污等应急抢险措施，彻底切断所有污染源。</w:t>
            </w:r>
          </w:p>
          <w:p w14:paraId="1E699DCE">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（3）对突发环境事件发生地及危害地区实施警戒，维持社会治安，实行交通管制，疏散和撤离受灾人员等。</w:t>
            </w:r>
          </w:p>
          <w:p w14:paraId="371D47BB">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（4）立即对事故企业排污口、事发地、事发地河流上下游水质进行连续监测，及时掌握水质情况，为应急救援决策提供准确、可靠的数据。</w:t>
            </w:r>
          </w:p>
          <w:p w14:paraId="5CC6C608">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（5）根据污染物种类及泄漏量，综合考虑降低流域内污染情况较为严重的支流流入量，以降低下游污染物排入量便于应急处置。</w:t>
            </w:r>
          </w:p>
          <w:p w14:paraId="30CC7214">
            <w:pPr>
              <w:widowControl w:val="0"/>
              <w:kinsoku/>
              <w:snapToGrid/>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6）若污染物有向饮用水源保护区（含备用水源）扩散的趋势，则立即向受影响水体投加吸附剂或化学药剂，对污染物进行“削峰”，同时通知下游可能受影响的对象，特别是可能受到影响的自来水厂及时关闭相关水闸。</w:t>
            </w:r>
          </w:p>
        </w:tc>
      </w:tr>
      <w:tr w14:paraId="1DF915A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40B204C7">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ascii="Times New Roman" w:hAnsi="Times New Roman" w:eastAsia="宋体" w:cs="Times New Roman"/>
                <w:b/>
                <w:snapToGrid/>
                <w:color w:val="auto"/>
                <w:kern w:val="2"/>
                <w:lang w:eastAsia="zh-CN"/>
              </w:rPr>
              <w:t>应急物资</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753C20A6">
            <w:pPr>
              <w:widowControl w:val="0"/>
              <w:kinsoku/>
              <w:snapToGrid/>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防护面具、防护手套、水泵、铁锹、堵漏软木塞、消防桶、干粉灭火器、处理药剂</w:t>
            </w:r>
          </w:p>
        </w:tc>
      </w:tr>
      <w:tr w14:paraId="01A08D8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17FA9899">
            <w:pPr>
              <w:widowControl w:val="0"/>
              <w:kinsoku/>
              <w:autoSpaceDE/>
              <w:autoSpaceDN/>
              <w:adjustRightInd/>
              <w:snapToGrid/>
              <w:jc w:val="center"/>
              <w:textAlignment w:val="auto"/>
              <w:rPr>
                <w:rFonts w:ascii="Times New Roman" w:hAnsi="Times New Roman" w:eastAsia="宋体" w:cs="Times New Roman"/>
                <w:b/>
                <w:snapToGrid/>
                <w:color w:val="auto"/>
                <w:kern w:val="2"/>
                <w:sz w:val="21"/>
                <w:szCs w:val="21"/>
                <w:lang w:val="en-US" w:eastAsia="zh-CN" w:bidi="ar-SA"/>
              </w:rPr>
            </w:pPr>
            <w:r>
              <w:rPr>
                <w:rFonts w:hint="eastAsia" w:ascii="Times New Roman" w:hAnsi="Times New Roman" w:eastAsia="宋体" w:cs="Times New Roman"/>
                <w:b/>
                <w:snapToGrid/>
                <w:color w:val="auto"/>
                <w:kern w:val="2"/>
                <w:sz w:val="21"/>
                <w:szCs w:val="21"/>
                <w:lang w:val="en-US" w:eastAsia="zh-CN" w:bidi="ar-SA"/>
              </w:rPr>
              <w:t>时间要求</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2E360032">
            <w:pPr>
              <w:widowControl w:val="0"/>
              <w:kinsoku/>
              <w:snapToGrid/>
              <w:textAlignment w:val="auto"/>
              <w:rPr>
                <w:rFonts w:hint="eastAsia"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snapToGrid/>
                <w:color w:val="auto"/>
                <w:kern w:val="2"/>
                <w:sz w:val="24"/>
                <w:szCs w:val="24"/>
                <w:lang w:val="en-US" w:eastAsia="zh-CN" w:bidi="ar-SA"/>
              </w:rPr>
              <w:t>发现事故后立即向突发环境事件应急指挥部汇报，并通知各相关部门</w:t>
            </w:r>
          </w:p>
        </w:tc>
      </w:tr>
    </w:tbl>
    <w:p w14:paraId="2F472906">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37F6C862">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6F2FB814">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0BE4439F">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744A7CD8">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4F005555">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30A2F9D8">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6A96F3DF">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5B23E312">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70217322">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5084E57C">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77558C25">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034A697E">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080EBF44">
      <w:pPr>
        <w:widowControl w:val="0"/>
        <w:kinsoku/>
        <w:autoSpaceDE/>
        <w:autoSpaceDN/>
        <w:adjustRightInd/>
        <w:snapToGrid/>
        <w:ind w:firstLine="2409" w:firstLineChars="1000"/>
        <w:jc w:val="both"/>
        <w:textAlignment w:val="auto"/>
        <w:rPr>
          <w:rFonts w:ascii="Times New Roman" w:hAnsi="Times New Roman" w:eastAsia="黑体" w:cs="Times New Roman"/>
          <w:b/>
          <w:bCs/>
          <w:snapToGrid/>
          <w:color w:val="auto"/>
          <w:kern w:val="2"/>
          <w:sz w:val="24"/>
          <w:szCs w:val="24"/>
          <w:lang w:eastAsia="zh-CN"/>
        </w:rPr>
      </w:pPr>
      <w:r>
        <w:rPr>
          <w:rFonts w:hint="eastAsia" w:ascii="Times New Roman" w:hAnsi="Times New Roman" w:eastAsia="黑体" w:cs="Times New Roman"/>
          <w:b/>
          <w:bCs/>
          <w:snapToGrid/>
          <w:color w:val="auto"/>
          <w:kern w:val="2"/>
          <w:sz w:val="24"/>
          <w:szCs w:val="24"/>
          <w:lang w:eastAsia="zh-CN"/>
        </w:rPr>
        <w:t>大气环境污染事件事故突发环境事件应急卡</w:t>
      </w:r>
    </w:p>
    <w:tbl>
      <w:tblPr>
        <w:tblStyle w:val="14"/>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14"/>
        <w:gridCol w:w="7347"/>
      </w:tblGrid>
      <w:tr w14:paraId="11F485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18" w:space="0"/>
              <w:left w:val="single" w:color="auto" w:sz="18" w:space="0"/>
              <w:bottom w:val="single" w:color="auto" w:sz="6" w:space="0"/>
              <w:right w:val="single" w:color="auto" w:sz="6" w:space="0"/>
            </w:tcBorders>
            <w:noWrap w:val="0"/>
            <w:vAlign w:val="center"/>
          </w:tcPr>
          <w:p w14:paraId="5E057604">
            <w:pPr>
              <w:widowControl w:val="0"/>
              <w:kinsoku/>
              <w:autoSpaceDE/>
              <w:autoSpaceDN/>
              <w:adjustRightInd/>
              <w:snapToGrid/>
              <w:jc w:val="center"/>
              <w:textAlignment w:val="auto"/>
              <w:rPr>
                <w:rFonts w:hint="default" w:ascii="Times New Roman" w:hAnsi="Times New Roman" w:eastAsia="宋体" w:cs="Times New Roman"/>
                <w:b/>
                <w:snapToGrid/>
                <w:color w:val="auto"/>
                <w:kern w:val="2"/>
                <w:lang w:val="en-US" w:eastAsia="zh-CN"/>
              </w:rPr>
            </w:pPr>
            <w:r>
              <w:rPr>
                <w:rFonts w:hint="eastAsia" w:ascii="Times New Roman" w:hAnsi="Times New Roman" w:eastAsia="宋体" w:cs="Times New Roman"/>
                <w:b/>
                <w:snapToGrid/>
                <w:color w:val="auto"/>
                <w:kern w:val="2"/>
                <w:lang w:val="en-US" w:eastAsia="zh-CN"/>
              </w:rPr>
              <w:t>突发事件描述</w:t>
            </w:r>
          </w:p>
        </w:tc>
        <w:tc>
          <w:tcPr>
            <w:tcW w:w="7347" w:type="dxa"/>
            <w:tcBorders>
              <w:top w:val="single" w:color="auto" w:sz="18" w:space="0"/>
              <w:left w:val="single" w:color="auto" w:sz="6" w:space="0"/>
              <w:bottom w:val="single" w:color="auto" w:sz="6" w:space="0"/>
              <w:right w:val="single" w:color="auto" w:sz="18" w:space="0"/>
            </w:tcBorders>
            <w:noWrap w:val="0"/>
            <w:vAlign w:val="center"/>
          </w:tcPr>
          <w:p w14:paraId="6C353063">
            <w:pPr>
              <w:keepNext w:val="0"/>
              <w:keepLines w:val="0"/>
              <w:widowControl/>
              <w:suppressLineNumbers w:val="0"/>
              <w:jc w:val="left"/>
              <w:rPr>
                <w:rFonts w:ascii="Times New Roman" w:hAnsi="Times New Roman" w:eastAsia="宋体" w:cs="Times New Roman"/>
                <w:bCs/>
                <w:snapToGrid/>
                <w:color w:val="auto"/>
                <w:kern w:val="2"/>
                <w:lang w:eastAsia="zh-CN"/>
              </w:rPr>
            </w:pPr>
            <w:r>
              <w:rPr>
                <w:rFonts w:hint="eastAsia" w:ascii="宋体" w:hAnsi="宋体" w:eastAsia="宋体" w:cs="宋体"/>
                <w:snapToGrid w:val="0"/>
                <w:color w:val="000000"/>
                <w:kern w:val="0"/>
                <w:sz w:val="24"/>
                <w:szCs w:val="24"/>
                <w:lang w:val="en-US" w:eastAsia="zh-CN" w:bidi="ar"/>
              </w:rPr>
              <w:t>XXXX大气环境污染事件事故突发环境事故</w:t>
            </w:r>
          </w:p>
        </w:tc>
      </w:tr>
      <w:tr w14:paraId="4B6DD0A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23581E7A">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应急响应程序</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24EF9BA8">
            <w:pPr>
              <w:widowControl w:val="0"/>
              <w:kinsoku/>
              <w:autoSpaceDE/>
              <w:autoSpaceDN/>
              <w:adjustRightInd/>
              <w:snapToGrid/>
              <w:textAlignment w:val="auto"/>
              <w:rPr>
                <w:rFonts w:ascii="Times New Roman" w:hAnsi="Times New Roman" w:eastAsia="宋体" w:cs="Times New Roman"/>
                <w:bCs/>
                <w:snapToGrid/>
                <w:color w:val="auto"/>
                <w:kern w:val="2"/>
                <w:lang w:eastAsia="zh-CN"/>
              </w:rPr>
            </w:pPr>
            <w:r>
              <w:rPr>
                <w:rFonts w:hint="eastAsia" w:ascii="Times New Roman" w:hAnsi="Times New Roman" w:eastAsia="宋体" w:cs="Times New Roman"/>
                <w:bCs/>
                <w:snapToGrid/>
                <w:color w:val="auto"/>
                <w:kern w:val="2"/>
                <w:sz w:val="24"/>
                <w:szCs w:val="24"/>
                <w:lang w:eastAsia="zh-CN"/>
              </w:rPr>
              <w:t>报警及赶赴现场——警戒维护及疏散——现场处置——现场监测——信息报告——善后处置</w:t>
            </w:r>
          </w:p>
        </w:tc>
      </w:tr>
      <w:tr w14:paraId="3CB5E9D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2F7F8A23">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val="en-US" w:eastAsia="zh-CN"/>
              </w:rPr>
              <w:t>应急组织</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6E040EF7">
            <w:pPr>
              <w:widowControl w:val="0"/>
              <w:kinsoku/>
              <w:autoSpaceDE/>
              <w:autoSpaceDN/>
              <w:adjustRightInd/>
              <w:snapToGrid/>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县突发环境事件应急指挥部成员单位</w:t>
            </w:r>
          </w:p>
        </w:tc>
      </w:tr>
      <w:tr w14:paraId="45B66B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33"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3F8E35DA">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处置措施</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1780D693">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1</w:t>
            </w:r>
            <w:r>
              <w:rPr>
                <w:rFonts w:hint="eastAsia" w:ascii="Times New Roman" w:hAnsi="Times New Roman" w:eastAsia="宋体" w:cs="Times New Roman"/>
                <w:snapToGrid/>
                <w:color w:val="auto"/>
                <w:kern w:val="2"/>
                <w:sz w:val="24"/>
                <w:szCs w:val="24"/>
                <w:lang w:eastAsia="zh-CN"/>
              </w:rPr>
              <w:t>）根据事故污染物类型可对受影响区域内大气环境风险受体发布健康防护警示。</w:t>
            </w:r>
          </w:p>
          <w:p w14:paraId="6901A590">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2</w:t>
            </w:r>
            <w:r>
              <w:rPr>
                <w:rFonts w:hint="eastAsia" w:ascii="Times New Roman" w:hAnsi="Times New Roman" w:eastAsia="宋体" w:cs="Times New Roman"/>
                <w:snapToGrid/>
                <w:color w:val="auto"/>
                <w:kern w:val="2"/>
                <w:sz w:val="24"/>
                <w:szCs w:val="24"/>
                <w:lang w:eastAsia="zh-CN"/>
              </w:rPr>
              <w:t>）疏散受影响区域内大气环境风险受体的人群，引导人员有序安全疏散至安全紧急避险场所；保证人员撤离至上风向方位同时确保应急通道畅通。</w:t>
            </w:r>
          </w:p>
          <w:p w14:paraId="24719E5B">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3</w:t>
            </w:r>
            <w:r>
              <w:rPr>
                <w:rFonts w:hint="eastAsia" w:ascii="Times New Roman" w:hAnsi="Times New Roman" w:eastAsia="宋体" w:cs="Times New Roman"/>
                <w:snapToGrid/>
                <w:color w:val="auto"/>
                <w:kern w:val="2"/>
                <w:sz w:val="24"/>
                <w:szCs w:val="24"/>
                <w:lang w:eastAsia="zh-CN"/>
              </w:rPr>
              <w:t>）开展应急监测工作。对大气的监测应以事故地点为中心，在下风向按一定间隔的扇形或圆形布点，并根据污染物的特性在不同高度采样，同时在事故点的上风向适当位置布设对照点；针对企业大气环境污染应急监测方面，应对大气环境污染的企业周边厂界设置、可能影响到的大气环境风险受体设置监测采样点，监测因子主要为事故废气特征污染因子。具体的采样点位及监测因子由突发环境事件应急指挥部结合专家</w:t>
            </w:r>
            <w:r>
              <w:rPr>
                <w:rFonts w:hint="eastAsia" w:ascii="Times New Roman" w:hAnsi="Times New Roman" w:eastAsia="宋体" w:cs="Times New Roman"/>
                <w:snapToGrid/>
                <w:color w:val="auto"/>
                <w:kern w:val="2"/>
                <w:sz w:val="24"/>
                <w:szCs w:val="24"/>
                <w:lang w:val="en-US" w:eastAsia="zh-CN"/>
              </w:rPr>
              <w:t>意见</w:t>
            </w:r>
            <w:r>
              <w:rPr>
                <w:rFonts w:hint="eastAsia" w:ascii="Times New Roman" w:hAnsi="Times New Roman" w:eastAsia="宋体" w:cs="Times New Roman"/>
                <w:snapToGrid/>
                <w:color w:val="auto"/>
                <w:kern w:val="2"/>
                <w:sz w:val="24"/>
                <w:szCs w:val="24"/>
                <w:lang w:eastAsia="zh-CN"/>
              </w:rPr>
              <w:t>根据事件具体情况确定。</w:t>
            </w:r>
          </w:p>
          <w:p w14:paraId="01F3BFF7">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4</w:t>
            </w:r>
            <w:r>
              <w:rPr>
                <w:rFonts w:hint="eastAsia" w:ascii="Times New Roman" w:hAnsi="Times New Roman" w:eastAsia="宋体" w:cs="Times New Roman"/>
                <w:snapToGrid/>
                <w:color w:val="auto"/>
                <w:kern w:val="2"/>
                <w:sz w:val="24"/>
                <w:szCs w:val="24"/>
                <w:lang w:eastAsia="zh-CN"/>
              </w:rPr>
              <w:t>）医疗救护。组织开展伤、病人员医疗救治、心理辅导；提出保护公众健康的措施建议；禁止或限制受污染食品和饮用水的生产、加工、流通和食用，防范因突发环境事件造成集体中毒等。</w:t>
            </w:r>
          </w:p>
          <w:p w14:paraId="525F77C1">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5</w:t>
            </w:r>
            <w:r>
              <w:rPr>
                <w:rFonts w:hint="eastAsia" w:ascii="Times New Roman" w:hAnsi="Times New Roman" w:eastAsia="宋体" w:cs="Times New Roman"/>
                <w:snapToGrid/>
                <w:color w:val="auto"/>
                <w:kern w:val="2"/>
                <w:sz w:val="24"/>
                <w:szCs w:val="24"/>
                <w:lang w:eastAsia="zh-CN"/>
              </w:rPr>
              <w:t>）应急保障工作。划定现场警戒区和交通管制区域，设置警示标识，清理现场中与救援无关的人员，加强现场治安管理和安全保卫工作，维护社会治安和道路交通秩序；负责制定实施受影响群众紧急转移和安置工作方案，组织相关部门按照工作方案疏散、转移受影响群众，并做好后续安置工作，保障群众基本生活和资金、物资供应。</w:t>
            </w:r>
          </w:p>
          <w:p w14:paraId="5039B21B">
            <w:pPr>
              <w:widowControl w:val="0"/>
              <w:kinsoku/>
              <w:snapToGrid/>
              <w:textAlignment w:val="auto"/>
              <w:rPr>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6</w:t>
            </w:r>
            <w:r>
              <w:rPr>
                <w:rFonts w:hint="eastAsia" w:ascii="Times New Roman" w:hAnsi="Times New Roman" w:eastAsia="宋体" w:cs="Times New Roman"/>
                <w:snapToGrid/>
                <w:color w:val="auto"/>
                <w:kern w:val="2"/>
                <w:sz w:val="24"/>
                <w:szCs w:val="24"/>
                <w:lang w:eastAsia="zh-CN"/>
              </w:rPr>
              <w:t>）维护社会稳定。加强受影响地区社会治安管理，严厉打击借机传播谣言制造社会恐慌、哄抢救灾物资等违法犯罪行为；加强转移人员安置点、救灾物资存放点等重点地区治安管控；做好受影响人员与涉事单位、各有关部门矛盾纠纷化解和法律服务工作，防止出现群体性事件，维护社会稳定。</w:t>
            </w:r>
          </w:p>
        </w:tc>
      </w:tr>
      <w:tr w14:paraId="0C6C002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62212AD0">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ascii="Times New Roman" w:hAnsi="Times New Roman" w:eastAsia="宋体" w:cs="Times New Roman"/>
                <w:b/>
                <w:snapToGrid/>
                <w:color w:val="auto"/>
                <w:kern w:val="2"/>
                <w:lang w:eastAsia="zh-CN"/>
              </w:rPr>
              <w:t>应急物资</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247E8E80">
            <w:pPr>
              <w:widowControl w:val="0"/>
              <w:kinsoku/>
              <w:snapToGrid/>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防护面具、防护手套、水泵、铁锹、堵漏软木塞、消防桶、干粉灭火器、处理药剂</w:t>
            </w:r>
          </w:p>
        </w:tc>
      </w:tr>
      <w:tr w14:paraId="65EA5CA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1500C61D">
            <w:pPr>
              <w:widowControl w:val="0"/>
              <w:kinsoku/>
              <w:autoSpaceDE/>
              <w:autoSpaceDN/>
              <w:adjustRightInd/>
              <w:snapToGrid/>
              <w:jc w:val="center"/>
              <w:textAlignment w:val="auto"/>
              <w:rPr>
                <w:rFonts w:ascii="Times New Roman" w:hAnsi="Times New Roman" w:eastAsia="宋体" w:cs="Times New Roman"/>
                <w:b/>
                <w:snapToGrid/>
                <w:color w:val="auto"/>
                <w:kern w:val="2"/>
                <w:sz w:val="21"/>
                <w:szCs w:val="21"/>
                <w:lang w:val="en-US" w:eastAsia="zh-CN" w:bidi="ar-SA"/>
              </w:rPr>
            </w:pPr>
            <w:r>
              <w:rPr>
                <w:rFonts w:hint="eastAsia" w:ascii="Times New Roman" w:hAnsi="Times New Roman" w:eastAsia="宋体" w:cs="Times New Roman"/>
                <w:b/>
                <w:snapToGrid/>
                <w:color w:val="auto"/>
                <w:kern w:val="2"/>
                <w:sz w:val="21"/>
                <w:szCs w:val="21"/>
                <w:lang w:val="en-US" w:eastAsia="zh-CN" w:bidi="ar-SA"/>
              </w:rPr>
              <w:t>时间要求</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04ECF129">
            <w:pPr>
              <w:widowControl w:val="0"/>
              <w:kinsoku/>
              <w:snapToGrid/>
              <w:textAlignment w:val="auto"/>
              <w:rPr>
                <w:rFonts w:hint="eastAsia"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snapToGrid/>
                <w:color w:val="auto"/>
                <w:kern w:val="2"/>
                <w:sz w:val="24"/>
                <w:szCs w:val="24"/>
                <w:lang w:val="en-US" w:eastAsia="zh-CN" w:bidi="ar-SA"/>
              </w:rPr>
              <w:t>发现事故后立即向突发环境事件应急指挥部汇报，并通知各相关部门</w:t>
            </w:r>
          </w:p>
        </w:tc>
      </w:tr>
    </w:tbl>
    <w:p w14:paraId="5600AB7E">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33C2C54E">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66B7A31A">
      <w:pPr>
        <w:widowControl w:val="0"/>
        <w:kinsoku/>
        <w:autoSpaceDE/>
        <w:autoSpaceDN/>
        <w:adjustRightInd/>
        <w:snapToGrid/>
        <w:ind w:firstLine="2409" w:firstLineChars="1000"/>
        <w:jc w:val="both"/>
        <w:textAlignment w:val="auto"/>
        <w:rPr>
          <w:rFonts w:ascii="Times New Roman" w:hAnsi="Times New Roman" w:eastAsia="黑体" w:cs="Times New Roman"/>
          <w:b/>
          <w:bCs/>
          <w:snapToGrid/>
          <w:color w:val="auto"/>
          <w:kern w:val="2"/>
          <w:sz w:val="24"/>
          <w:szCs w:val="24"/>
          <w:lang w:eastAsia="zh-CN"/>
        </w:rPr>
      </w:pPr>
      <w:r>
        <w:rPr>
          <w:rFonts w:hint="eastAsia" w:ascii="Times New Roman" w:hAnsi="Times New Roman" w:eastAsia="黑体" w:cs="Times New Roman"/>
          <w:b/>
          <w:bCs/>
          <w:snapToGrid/>
          <w:color w:val="auto"/>
          <w:kern w:val="2"/>
          <w:sz w:val="24"/>
          <w:szCs w:val="24"/>
          <w:lang w:val="en-US" w:eastAsia="zh-CN"/>
        </w:rPr>
        <w:t>危险化学品泄漏</w:t>
      </w:r>
      <w:r>
        <w:rPr>
          <w:rFonts w:hint="eastAsia" w:ascii="Times New Roman" w:hAnsi="Times New Roman" w:eastAsia="黑体" w:cs="Times New Roman"/>
          <w:b/>
          <w:bCs/>
          <w:snapToGrid/>
          <w:color w:val="auto"/>
          <w:kern w:val="2"/>
          <w:sz w:val="24"/>
          <w:szCs w:val="24"/>
          <w:lang w:eastAsia="zh-CN"/>
        </w:rPr>
        <w:t>事故突发环境事件应急卡</w:t>
      </w:r>
    </w:p>
    <w:tbl>
      <w:tblPr>
        <w:tblStyle w:val="14"/>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14"/>
        <w:gridCol w:w="7347"/>
      </w:tblGrid>
      <w:tr w14:paraId="276FC63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18" w:space="0"/>
              <w:left w:val="single" w:color="auto" w:sz="18" w:space="0"/>
              <w:bottom w:val="single" w:color="auto" w:sz="6" w:space="0"/>
              <w:right w:val="single" w:color="auto" w:sz="6" w:space="0"/>
            </w:tcBorders>
            <w:noWrap w:val="0"/>
            <w:vAlign w:val="center"/>
          </w:tcPr>
          <w:p w14:paraId="1AB10DDB">
            <w:pPr>
              <w:widowControl w:val="0"/>
              <w:kinsoku/>
              <w:autoSpaceDE/>
              <w:autoSpaceDN/>
              <w:adjustRightInd/>
              <w:snapToGrid/>
              <w:jc w:val="center"/>
              <w:textAlignment w:val="auto"/>
              <w:rPr>
                <w:rFonts w:hint="default" w:ascii="Times New Roman" w:hAnsi="Times New Roman" w:eastAsia="宋体" w:cs="Times New Roman"/>
                <w:b/>
                <w:snapToGrid/>
                <w:color w:val="auto"/>
                <w:kern w:val="2"/>
                <w:lang w:val="en-US" w:eastAsia="zh-CN"/>
              </w:rPr>
            </w:pPr>
            <w:r>
              <w:rPr>
                <w:rFonts w:hint="eastAsia" w:ascii="Times New Roman" w:hAnsi="Times New Roman" w:eastAsia="宋体" w:cs="Times New Roman"/>
                <w:b/>
                <w:snapToGrid/>
                <w:color w:val="auto"/>
                <w:kern w:val="2"/>
                <w:lang w:val="en-US" w:eastAsia="zh-CN"/>
              </w:rPr>
              <w:t>突发事件描述</w:t>
            </w:r>
          </w:p>
        </w:tc>
        <w:tc>
          <w:tcPr>
            <w:tcW w:w="7347" w:type="dxa"/>
            <w:tcBorders>
              <w:top w:val="single" w:color="auto" w:sz="18" w:space="0"/>
              <w:left w:val="single" w:color="auto" w:sz="6" w:space="0"/>
              <w:bottom w:val="single" w:color="auto" w:sz="6" w:space="0"/>
              <w:right w:val="single" w:color="auto" w:sz="18" w:space="0"/>
            </w:tcBorders>
            <w:noWrap w:val="0"/>
            <w:vAlign w:val="center"/>
          </w:tcPr>
          <w:p w14:paraId="0772798C">
            <w:pPr>
              <w:keepNext w:val="0"/>
              <w:keepLines w:val="0"/>
              <w:widowControl/>
              <w:suppressLineNumbers w:val="0"/>
              <w:jc w:val="left"/>
              <w:rPr>
                <w:rFonts w:ascii="Times New Roman" w:hAnsi="Times New Roman" w:eastAsia="宋体" w:cs="Times New Roman"/>
                <w:bCs/>
                <w:snapToGrid/>
                <w:color w:val="auto"/>
                <w:kern w:val="2"/>
                <w:lang w:eastAsia="zh-CN"/>
              </w:rPr>
            </w:pPr>
            <w:r>
              <w:rPr>
                <w:rFonts w:hint="eastAsia" w:ascii="宋体" w:hAnsi="宋体" w:eastAsia="宋体" w:cs="宋体"/>
                <w:snapToGrid w:val="0"/>
                <w:color w:val="000000"/>
                <w:kern w:val="0"/>
                <w:sz w:val="24"/>
                <w:szCs w:val="24"/>
                <w:lang w:val="en-US" w:eastAsia="zh-CN" w:bidi="ar"/>
              </w:rPr>
              <w:t>XXXX危险化学品泄漏事故</w:t>
            </w:r>
          </w:p>
        </w:tc>
      </w:tr>
      <w:tr w14:paraId="1F438AE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2A1570C2">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应急响应程序</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07098157">
            <w:pPr>
              <w:widowControl w:val="0"/>
              <w:kinsoku/>
              <w:autoSpaceDE/>
              <w:autoSpaceDN/>
              <w:adjustRightInd/>
              <w:snapToGrid/>
              <w:textAlignment w:val="auto"/>
              <w:rPr>
                <w:rFonts w:ascii="Times New Roman" w:hAnsi="Times New Roman" w:eastAsia="宋体" w:cs="Times New Roman"/>
                <w:bCs/>
                <w:snapToGrid/>
                <w:color w:val="auto"/>
                <w:kern w:val="2"/>
                <w:lang w:eastAsia="zh-CN"/>
              </w:rPr>
            </w:pPr>
            <w:r>
              <w:rPr>
                <w:rFonts w:hint="eastAsia" w:ascii="Times New Roman" w:hAnsi="Times New Roman" w:eastAsia="宋体" w:cs="Times New Roman"/>
                <w:bCs/>
                <w:snapToGrid/>
                <w:color w:val="auto"/>
                <w:kern w:val="2"/>
                <w:sz w:val="24"/>
                <w:szCs w:val="24"/>
                <w:lang w:eastAsia="zh-CN"/>
              </w:rPr>
              <w:t>报警及赶赴现场——警戒维护及疏散——现场处置——现场监测——信息报告——善后处置</w:t>
            </w:r>
          </w:p>
        </w:tc>
      </w:tr>
      <w:tr w14:paraId="5D8841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1D6CDFA4">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val="en-US" w:eastAsia="zh-CN"/>
              </w:rPr>
              <w:t>应急组织</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63088186">
            <w:pPr>
              <w:widowControl w:val="0"/>
              <w:kinsoku/>
              <w:autoSpaceDE/>
              <w:autoSpaceDN/>
              <w:adjustRightInd/>
              <w:snapToGrid/>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县突发环境事件应急指挥部成员单位</w:t>
            </w:r>
          </w:p>
        </w:tc>
      </w:tr>
      <w:tr w14:paraId="1B68D85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33"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545C7475">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处置措施</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74C150D6">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1</w:t>
            </w:r>
            <w:r>
              <w:rPr>
                <w:rFonts w:hint="eastAsia" w:ascii="Times New Roman" w:hAnsi="Times New Roman" w:eastAsia="宋体" w:cs="Times New Roman"/>
                <w:snapToGrid/>
                <w:color w:val="auto"/>
                <w:kern w:val="2"/>
                <w:sz w:val="24"/>
                <w:szCs w:val="24"/>
                <w:lang w:eastAsia="zh-CN"/>
              </w:rPr>
              <w:t>）泄漏发现者第一时间将现场的门窗打开，同时检查机械通风机是否打开；使空气流通及加强泄漏区的强制排风以减少有毒气体在空气中浓度；区域内人员立即撤离到室外迅速通知相关人员到事故现场进行处置。</w:t>
            </w:r>
          </w:p>
          <w:p w14:paraId="3A4ABF71">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2</w:t>
            </w:r>
            <w:r>
              <w:rPr>
                <w:rFonts w:hint="eastAsia" w:ascii="Times New Roman" w:hAnsi="Times New Roman" w:eastAsia="宋体" w:cs="Times New Roman"/>
                <w:snapToGrid/>
                <w:color w:val="auto"/>
                <w:kern w:val="2"/>
                <w:sz w:val="24"/>
                <w:szCs w:val="24"/>
                <w:lang w:eastAsia="zh-CN"/>
              </w:rPr>
              <w:t>）发生危险化学品泄漏时应停止一切设备操作。</w:t>
            </w:r>
          </w:p>
          <w:p w14:paraId="0718EEEA">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3</w:t>
            </w:r>
            <w:r>
              <w:rPr>
                <w:rFonts w:hint="eastAsia" w:ascii="Times New Roman" w:hAnsi="Times New Roman" w:eastAsia="宋体" w:cs="Times New Roman"/>
                <w:snapToGrid/>
                <w:color w:val="auto"/>
                <w:kern w:val="2"/>
                <w:sz w:val="24"/>
                <w:szCs w:val="24"/>
                <w:lang w:eastAsia="zh-CN"/>
              </w:rPr>
              <w:t>）管道发生泄漏时，应及时关闭供应阀：</w:t>
            </w:r>
          </w:p>
          <w:p w14:paraId="5B4D72A6">
            <w:pPr>
              <w:widowControl w:val="0"/>
              <w:kinsoku/>
              <w:snapToGrid/>
              <w:textAlignment w:val="auto"/>
              <w:rPr>
                <w:rFonts w:hint="eastAsia" w:ascii="Times New Roman" w:hAnsi="Times New Roman" w:eastAsia="宋体" w:cs="Times New Roman"/>
                <w:snapToGrid/>
                <w:color w:val="auto"/>
                <w:kern w:val="2"/>
                <w:sz w:val="24"/>
                <w:szCs w:val="24"/>
                <w:lang w:val="en-US"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4</w:t>
            </w:r>
            <w:r>
              <w:rPr>
                <w:rFonts w:hint="eastAsia" w:ascii="Times New Roman" w:hAnsi="Times New Roman" w:eastAsia="宋体" w:cs="Times New Roman"/>
                <w:snapToGrid/>
                <w:color w:val="auto"/>
                <w:kern w:val="2"/>
                <w:sz w:val="24"/>
                <w:szCs w:val="24"/>
                <w:lang w:eastAsia="zh-CN"/>
              </w:rPr>
              <w:t>）包装物破损发生泄漏时，应将泄漏口朝上，把包装物内的液体转移到其他空桶内并上盖</w:t>
            </w:r>
            <w:r>
              <w:rPr>
                <w:rFonts w:hint="eastAsia" w:ascii="Times New Roman" w:hAnsi="Times New Roman" w:eastAsia="宋体" w:cs="Times New Roman"/>
                <w:snapToGrid/>
                <w:color w:val="auto"/>
                <w:kern w:val="2"/>
                <w:sz w:val="24"/>
                <w:szCs w:val="24"/>
                <w:lang w:val="en-US" w:eastAsia="zh-CN"/>
              </w:rPr>
              <w:t>。</w:t>
            </w:r>
          </w:p>
          <w:p w14:paraId="2F2F5FE9">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5</w:t>
            </w:r>
            <w:r>
              <w:rPr>
                <w:rFonts w:hint="eastAsia" w:ascii="Times New Roman" w:hAnsi="Times New Roman" w:eastAsia="宋体" w:cs="Times New Roman"/>
                <w:snapToGrid/>
                <w:color w:val="auto"/>
                <w:kern w:val="2"/>
                <w:sz w:val="24"/>
                <w:szCs w:val="24"/>
                <w:lang w:eastAsia="zh-CN"/>
              </w:rPr>
              <w:t>）泄漏物处理：现场漏物要及时进行引流、覆盖、吸收、处理使泄漏物得到安全可靠的处置防止二次事故的发生：泄物处置主要有3种方法：</w:t>
            </w:r>
          </w:p>
          <w:p w14:paraId="04087E66">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1）引流：对于四处蔓延扩散的液体一时难以收集处理采用引流的方法将泄漏的液体引流到安全地点。</w:t>
            </w:r>
          </w:p>
          <w:p w14:paraId="1CAE9C9F">
            <w:pPr>
              <w:widowControl w:val="0"/>
              <w:kinsoku/>
              <w:snapToGrid/>
              <w:textAlignment w:val="auto"/>
              <w:rPr>
                <w:rFonts w:hint="eastAsia"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2）覆盖、吸收：对于泄漏量不大的液体 可采用消防沙覆盖吸收泄漏的液体。</w:t>
            </w:r>
          </w:p>
          <w:p w14:paraId="482658CE">
            <w:pPr>
              <w:widowControl w:val="0"/>
              <w:kinsoku/>
              <w:snapToGrid/>
              <w:textAlignment w:val="auto"/>
              <w:rPr>
                <w:lang w:eastAsia="zh-CN"/>
              </w:rPr>
            </w:pPr>
            <w:r>
              <w:rPr>
                <w:rFonts w:hint="eastAsia" w:ascii="Times New Roman" w:hAnsi="Times New Roman" w:eastAsia="宋体" w:cs="Times New Roman"/>
                <w:snapToGrid/>
                <w:color w:val="auto"/>
                <w:kern w:val="2"/>
                <w:sz w:val="24"/>
                <w:szCs w:val="24"/>
                <w:lang w:eastAsia="zh-CN"/>
              </w:rPr>
              <w:t>3）废弃物处理在应急救援过后所产生的液体废弃物转由专业公司处理或经过无害化处理后方可废弃。</w:t>
            </w:r>
          </w:p>
        </w:tc>
      </w:tr>
      <w:tr w14:paraId="402EEE8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4794CE8C">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ascii="Times New Roman" w:hAnsi="Times New Roman" w:eastAsia="宋体" w:cs="Times New Roman"/>
                <w:b/>
                <w:snapToGrid/>
                <w:color w:val="auto"/>
                <w:kern w:val="2"/>
                <w:lang w:eastAsia="zh-CN"/>
              </w:rPr>
              <w:t>应急物资</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2353EFDA">
            <w:pPr>
              <w:widowControl w:val="0"/>
              <w:kinsoku/>
              <w:snapToGrid/>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防护面具、防护手套、水泵、铁锹、堵漏软木塞、消防桶、干粉灭火器、处理药剂</w:t>
            </w:r>
          </w:p>
        </w:tc>
      </w:tr>
      <w:tr w14:paraId="7B96CE6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72AB1E41">
            <w:pPr>
              <w:widowControl w:val="0"/>
              <w:kinsoku/>
              <w:autoSpaceDE/>
              <w:autoSpaceDN/>
              <w:adjustRightInd/>
              <w:snapToGrid/>
              <w:jc w:val="center"/>
              <w:textAlignment w:val="auto"/>
              <w:rPr>
                <w:rFonts w:ascii="Times New Roman" w:hAnsi="Times New Roman" w:eastAsia="宋体" w:cs="Times New Roman"/>
                <w:b/>
                <w:snapToGrid/>
                <w:color w:val="auto"/>
                <w:kern w:val="2"/>
                <w:sz w:val="21"/>
                <w:szCs w:val="21"/>
                <w:lang w:val="en-US" w:eastAsia="zh-CN" w:bidi="ar-SA"/>
              </w:rPr>
            </w:pPr>
            <w:r>
              <w:rPr>
                <w:rFonts w:hint="eastAsia" w:ascii="Times New Roman" w:hAnsi="Times New Roman" w:eastAsia="宋体" w:cs="Times New Roman"/>
                <w:b/>
                <w:snapToGrid/>
                <w:color w:val="auto"/>
                <w:kern w:val="2"/>
                <w:sz w:val="21"/>
                <w:szCs w:val="21"/>
                <w:lang w:val="en-US" w:eastAsia="zh-CN" w:bidi="ar-SA"/>
              </w:rPr>
              <w:t>时间要求</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66FE38C5">
            <w:pPr>
              <w:widowControl w:val="0"/>
              <w:kinsoku/>
              <w:snapToGrid/>
              <w:textAlignment w:val="auto"/>
              <w:rPr>
                <w:rFonts w:hint="eastAsia"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snapToGrid/>
                <w:color w:val="auto"/>
                <w:kern w:val="2"/>
                <w:sz w:val="24"/>
                <w:szCs w:val="24"/>
                <w:lang w:val="en-US" w:eastAsia="zh-CN" w:bidi="ar-SA"/>
              </w:rPr>
              <w:t>发现事故后立即向突发环境事件应急指挥部汇报，并通知各相关部门</w:t>
            </w:r>
          </w:p>
        </w:tc>
      </w:tr>
    </w:tbl>
    <w:p w14:paraId="38BAAC1D">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3A4EF01F">
      <w:pPr>
        <w:bidi w:val="0"/>
        <w:rPr>
          <w:lang w:eastAsia="zh-CN"/>
        </w:rPr>
      </w:pPr>
    </w:p>
    <w:p w14:paraId="44E2C89D">
      <w:pPr>
        <w:rPr>
          <w:lang w:eastAsia="zh-CN"/>
        </w:rPr>
      </w:pPr>
    </w:p>
    <w:p w14:paraId="381CAEDD">
      <w:pPr>
        <w:bidi w:val="0"/>
        <w:rPr>
          <w:lang w:eastAsia="zh-CN"/>
        </w:rPr>
      </w:pPr>
    </w:p>
    <w:p w14:paraId="6B600AA8">
      <w:pPr>
        <w:bidi w:val="0"/>
        <w:rPr>
          <w:lang w:eastAsia="zh-CN"/>
        </w:rPr>
      </w:pPr>
    </w:p>
    <w:p w14:paraId="0B86D79B">
      <w:pPr>
        <w:bidi w:val="0"/>
        <w:rPr>
          <w:lang w:eastAsia="zh-CN"/>
        </w:rPr>
      </w:pPr>
    </w:p>
    <w:p w14:paraId="2F83BAA2">
      <w:pPr>
        <w:rPr>
          <w:lang w:eastAsia="zh-CN"/>
        </w:rPr>
      </w:pPr>
    </w:p>
    <w:p w14:paraId="0603E4C2">
      <w:pPr>
        <w:bidi w:val="0"/>
        <w:rPr>
          <w:lang w:eastAsia="zh-CN"/>
        </w:rPr>
      </w:pPr>
    </w:p>
    <w:p w14:paraId="688A53D6">
      <w:pPr>
        <w:bidi w:val="0"/>
        <w:rPr>
          <w:lang w:eastAsia="zh-CN"/>
        </w:rPr>
      </w:pPr>
    </w:p>
    <w:p w14:paraId="631BFF58">
      <w:pPr>
        <w:rPr>
          <w:lang w:eastAsia="zh-CN"/>
        </w:rPr>
      </w:pPr>
    </w:p>
    <w:p w14:paraId="406C9D97">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6880CCCA">
      <w:pPr>
        <w:widowControl w:val="0"/>
        <w:kinsoku/>
        <w:autoSpaceDE/>
        <w:autoSpaceDN/>
        <w:adjustRightInd/>
        <w:snapToGrid/>
        <w:jc w:val="both"/>
        <w:textAlignment w:val="auto"/>
        <w:rPr>
          <w:rFonts w:ascii="Times New Roman" w:hAnsi="Times New Roman" w:eastAsia="宋体" w:cs="Times New Roman"/>
          <w:snapToGrid/>
          <w:color w:val="auto"/>
          <w:kern w:val="2"/>
          <w:szCs w:val="22"/>
          <w:lang w:eastAsia="zh-CN"/>
        </w:rPr>
      </w:pPr>
    </w:p>
    <w:p w14:paraId="33208402">
      <w:pPr>
        <w:widowControl w:val="0"/>
        <w:kinsoku/>
        <w:autoSpaceDE/>
        <w:autoSpaceDN/>
        <w:adjustRightInd/>
        <w:snapToGrid/>
        <w:ind w:firstLine="2409" w:firstLineChars="1000"/>
        <w:jc w:val="both"/>
        <w:textAlignment w:val="auto"/>
        <w:rPr>
          <w:rFonts w:ascii="Times New Roman" w:hAnsi="Times New Roman" w:eastAsia="黑体" w:cs="Times New Roman"/>
          <w:b/>
          <w:bCs/>
          <w:snapToGrid/>
          <w:color w:val="auto"/>
          <w:kern w:val="2"/>
          <w:sz w:val="24"/>
          <w:szCs w:val="24"/>
          <w:lang w:eastAsia="zh-CN"/>
        </w:rPr>
      </w:pPr>
      <w:r>
        <w:rPr>
          <w:rFonts w:ascii="Times New Roman" w:hAnsi="Times New Roman" w:eastAsia="黑体" w:cs="Times New Roman"/>
          <w:b/>
          <w:bCs/>
          <w:snapToGrid/>
          <w:color w:val="auto"/>
          <w:kern w:val="2"/>
          <w:sz w:val="24"/>
          <w:szCs w:val="24"/>
          <w:lang w:eastAsia="zh-CN"/>
        </w:rPr>
        <w:t>交通事故次生突发环境事件</w:t>
      </w:r>
      <w:r>
        <w:rPr>
          <w:rFonts w:hint="eastAsia" w:ascii="Times New Roman" w:hAnsi="Times New Roman" w:eastAsia="黑体" w:cs="Times New Roman"/>
          <w:b/>
          <w:bCs/>
          <w:snapToGrid/>
          <w:color w:val="auto"/>
          <w:kern w:val="2"/>
          <w:sz w:val="24"/>
          <w:szCs w:val="24"/>
          <w:lang w:eastAsia="zh-CN"/>
        </w:rPr>
        <w:t>应急卡</w:t>
      </w:r>
    </w:p>
    <w:tbl>
      <w:tblPr>
        <w:tblStyle w:val="14"/>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14"/>
        <w:gridCol w:w="7347"/>
      </w:tblGrid>
      <w:tr w14:paraId="5FDAA6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18" w:space="0"/>
              <w:left w:val="single" w:color="auto" w:sz="18" w:space="0"/>
              <w:bottom w:val="single" w:color="auto" w:sz="6" w:space="0"/>
              <w:right w:val="single" w:color="auto" w:sz="6" w:space="0"/>
            </w:tcBorders>
            <w:noWrap w:val="0"/>
            <w:vAlign w:val="center"/>
          </w:tcPr>
          <w:p w14:paraId="78A6B268">
            <w:pPr>
              <w:widowControl w:val="0"/>
              <w:kinsoku/>
              <w:autoSpaceDE/>
              <w:autoSpaceDN/>
              <w:adjustRightInd/>
              <w:snapToGrid/>
              <w:jc w:val="center"/>
              <w:textAlignment w:val="auto"/>
              <w:rPr>
                <w:rFonts w:hint="default" w:ascii="Times New Roman" w:hAnsi="Times New Roman" w:eastAsia="宋体" w:cs="Times New Roman"/>
                <w:b/>
                <w:snapToGrid/>
                <w:color w:val="auto"/>
                <w:kern w:val="2"/>
                <w:lang w:val="en-US" w:eastAsia="zh-CN"/>
              </w:rPr>
            </w:pPr>
            <w:r>
              <w:rPr>
                <w:rFonts w:hint="eastAsia" w:ascii="Times New Roman" w:hAnsi="Times New Roman" w:eastAsia="宋体" w:cs="Times New Roman"/>
                <w:b/>
                <w:snapToGrid/>
                <w:color w:val="auto"/>
                <w:kern w:val="2"/>
                <w:lang w:val="en-US" w:eastAsia="zh-CN"/>
              </w:rPr>
              <w:t>突发事件描述</w:t>
            </w:r>
          </w:p>
        </w:tc>
        <w:tc>
          <w:tcPr>
            <w:tcW w:w="7347" w:type="dxa"/>
            <w:tcBorders>
              <w:top w:val="single" w:color="auto" w:sz="18" w:space="0"/>
              <w:left w:val="single" w:color="auto" w:sz="6" w:space="0"/>
              <w:bottom w:val="single" w:color="auto" w:sz="6" w:space="0"/>
              <w:right w:val="single" w:color="auto" w:sz="18" w:space="0"/>
            </w:tcBorders>
            <w:noWrap w:val="0"/>
            <w:vAlign w:val="center"/>
          </w:tcPr>
          <w:p w14:paraId="189A0E7B">
            <w:pPr>
              <w:keepNext w:val="0"/>
              <w:keepLines w:val="0"/>
              <w:widowControl/>
              <w:suppressLineNumbers w:val="0"/>
              <w:jc w:val="left"/>
              <w:rPr>
                <w:rFonts w:ascii="Times New Roman" w:hAnsi="Times New Roman" w:eastAsia="宋体" w:cs="Times New Roman"/>
                <w:bCs/>
                <w:snapToGrid/>
                <w:color w:val="auto"/>
                <w:kern w:val="2"/>
                <w:lang w:eastAsia="zh-CN"/>
              </w:rPr>
            </w:pPr>
            <w:r>
              <w:rPr>
                <w:rFonts w:hint="eastAsia" w:ascii="宋体" w:hAnsi="宋体" w:eastAsia="宋体" w:cs="宋体"/>
                <w:snapToGrid w:val="0"/>
                <w:color w:val="000000"/>
                <w:kern w:val="0"/>
                <w:sz w:val="24"/>
                <w:szCs w:val="24"/>
                <w:lang w:val="en-US" w:eastAsia="zh-CN" w:bidi="ar"/>
              </w:rPr>
              <w:t>XXXX交通事故次生突发环境事件</w:t>
            </w:r>
          </w:p>
        </w:tc>
      </w:tr>
      <w:tr w14:paraId="2F3B030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727C0A20">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应急响应程序</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1BAE85A8">
            <w:pPr>
              <w:widowControl w:val="0"/>
              <w:kinsoku/>
              <w:autoSpaceDE/>
              <w:autoSpaceDN/>
              <w:adjustRightInd/>
              <w:snapToGrid/>
              <w:textAlignment w:val="auto"/>
              <w:rPr>
                <w:rFonts w:ascii="Times New Roman" w:hAnsi="Times New Roman" w:eastAsia="宋体" w:cs="Times New Roman"/>
                <w:bCs/>
                <w:snapToGrid/>
                <w:color w:val="auto"/>
                <w:kern w:val="2"/>
                <w:lang w:eastAsia="zh-CN"/>
              </w:rPr>
            </w:pPr>
            <w:r>
              <w:rPr>
                <w:rFonts w:hint="eastAsia" w:ascii="Times New Roman" w:hAnsi="Times New Roman" w:eastAsia="宋体" w:cs="Times New Roman"/>
                <w:bCs/>
                <w:snapToGrid/>
                <w:color w:val="auto"/>
                <w:kern w:val="2"/>
                <w:sz w:val="24"/>
                <w:szCs w:val="24"/>
                <w:lang w:eastAsia="zh-CN"/>
              </w:rPr>
              <w:t>报警及赶赴现场——警戒维护及疏散——现场处置——现场监测——信息报告——善后处置</w:t>
            </w:r>
          </w:p>
        </w:tc>
      </w:tr>
      <w:tr w14:paraId="1C50D3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0117FD4B">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val="en-US" w:eastAsia="zh-CN"/>
              </w:rPr>
              <w:t>应急组织</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043F48B5">
            <w:pPr>
              <w:widowControl w:val="0"/>
              <w:kinsoku/>
              <w:autoSpaceDE/>
              <w:autoSpaceDN/>
              <w:adjustRightInd/>
              <w:snapToGrid/>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县突发环境事件应急指挥部成员单位</w:t>
            </w:r>
          </w:p>
        </w:tc>
      </w:tr>
      <w:tr w14:paraId="4CE494A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33"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09F0D760">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hint="eastAsia" w:ascii="Times New Roman" w:hAnsi="Times New Roman" w:eastAsia="宋体" w:cs="Times New Roman"/>
                <w:b/>
                <w:snapToGrid/>
                <w:color w:val="auto"/>
                <w:kern w:val="2"/>
                <w:lang w:eastAsia="zh-CN"/>
              </w:rPr>
              <w:t>处置措施</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62A3B32F">
            <w:pPr>
              <w:widowControl w:val="0"/>
              <w:kinsoku/>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w:t>
            </w:r>
            <w:r>
              <w:rPr>
                <w:rFonts w:hint="eastAsia" w:ascii="宋体" w:hAnsi="宋体" w:eastAsia="宋体" w:cs="宋体"/>
                <w:sz w:val="24"/>
                <w:szCs w:val="24"/>
                <w:lang w:val="en-US" w:eastAsia="zh-CN"/>
              </w:rPr>
              <w:t>组织</w:t>
            </w:r>
            <w:r>
              <w:rPr>
                <w:rFonts w:hint="eastAsia" w:ascii="宋体" w:hAnsi="宋体" w:eastAsia="宋体" w:cs="宋体"/>
                <w:sz w:val="24"/>
                <w:szCs w:val="24"/>
                <w:lang w:eastAsia="zh-CN"/>
              </w:rPr>
              <w:t>展开调查，查清交通事故位置、事故原因、车辆装载化学品类型、储存量及泄漏量。</w:t>
            </w:r>
          </w:p>
          <w:p w14:paraId="2862E784">
            <w:pPr>
              <w:widowControl w:val="0"/>
              <w:kinsoku/>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指导涉事车辆、车辆所属企业或事发地村委、居委组织力量进行先期处置，车辆所属企业或事发地村委、居委应启动相应的突发环境事件应急预案，采取必要的堵漏、围挡、截污等措施，切断和控制污染源，防止污染继续蔓延扩散。</w:t>
            </w:r>
          </w:p>
          <w:p w14:paraId="1B0D991E">
            <w:pPr>
              <w:widowControl w:val="0"/>
              <w:kinsoku/>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（3）组织专家进行分析研判，分析危险化学品的理化性质、泄漏量及泄漏后进入的水体、农田情况及可能进一步对环境的影响，根据现场情况制定应急处置、污染清除等应急措施。</w:t>
            </w:r>
          </w:p>
          <w:p w14:paraId="7FBF442C">
            <w:pPr>
              <w:widowControl w:val="0"/>
              <w:kinsoku/>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（4）划定现场警戒区和交通管制区域，设置警示标识，清理现场中与救援无关的人员，维护道路交通秩序。</w:t>
            </w:r>
          </w:p>
          <w:p w14:paraId="6A2A211A">
            <w:pPr>
              <w:widowControl w:val="0"/>
              <w:kinsoku/>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（5）邀请具备相应资质的单位开展损害评估，现场工作组做好证据保全，妥善保护事故现场，如需现场清理，应当做好拍照、录像等证据保全工作。</w:t>
            </w:r>
          </w:p>
          <w:p w14:paraId="1F22C721">
            <w:pPr>
              <w:widowControl w:val="0"/>
              <w:kinsoku/>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6）开展应急监测工作。对事故车辆周边、可能流入的农田、水体等设置污染物采样点，同时在事故现在周边明显未被污染的位置设置对照采样点。具体的采样点位及监测因子由区突发环境事件应急指挥部结合专家</w:t>
            </w:r>
            <w:r>
              <w:rPr>
                <w:rFonts w:hint="eastAsia" w:ascii="宋体" w:hAnsi="宋体" w:eastAsia="宋体" w:cs="宋体"/>
                <w:sz w:val="24"/>
                <w:szCs w:val="24"/>
                <w:lang w:val="en-US" w:eastAsia="zh-CN"/>
              </w:rPr>
              <w:t>意见</w:t>
            </w:r>
            <w:r>
              <w:rPr>
                <w:rFonts w:hint="eastAsia" w:ascii="宋体" w:hAnsi="宋体" w:eastAsia="宋体" w:cs="宋体"/>
                <w:sz w:val="24"/>
                <w:szCs w:val="24"/>
                <w:lang w:eastAsia="zh-CN"/>
              </w:rPr>
              <w:t>及事件具体情况确定。</w:t>
            </w:r>
          </w:p>
          <w:p w14:paraId="42E23E6F">
            <w:pPr>
              <w:widowControl w:val="0"/>
              <w:kinsoku/>
              <w:snapToGrid/>
              <w:textAlignment w:val="auto"/>
              <w:rPr>
                <w:lang w:eastAsia="zh-CN"/>
              </w:rPr>
            </w:pPr>
            <w:r>
              <w:rPr>
                <w:rFonts w:hint="eastAsia" w:ascii="宋体" w:hAnsi="宋体" w:eastAsia="宋体" w:cs="宋体"/>
                <w:sz w:val="24"/>
                <w:szCs w:val="24"/>
                <w:lang w:eastAsia="zh-CN"/>
              </w:rPr>
              <w:t>（7）进行围堤堵截或挖掘沟槽收容泄漏物到安全地点。控制泄漏物后，及时对现场泄漏物进行覆盖、收容、稀释，防止二次事故的发生。对于陆地上液体泄漏物，常用的围堤有环型、直线型、v型等。必要时可在下游构筑围油栏等拦截、分流受污染水体。</w:t>
            </w:r>
          </w:p>
        </w:tc>
      </w:tr>
      <w:tr w14:paraId="506F9FD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05BAEE13">
            <w:pPr>
              <w:widowControl w:val="0"/>
              <w:kinsoku/>
              <w:autoSpaceDE/>
              <w:autoSpaceDN/>
              <w:adjustRightInd/>
              <w:snapToGrid/>
              <w:jc w:val="center"/>
              <w:textAlignment w:val="auto"/>
              <w:rPr>
                <w:rFonts w:ascii="Times New Roman" w:hAnsi="Times New Roman" w:eastAsia="宋体" w:cs="Times New Roman"/>
                <w:b/>
                <w:snapToGrid/>
                <w:color w:val="auto"/>
                <w:kern w:val="2"/>
                <w:lang w:eastAsia="zh-CN"/>
              </w:rPr>
            </w:pPr>
            <w:r>
              <w:rPr>
                <w:rFonts w:ascii="Times New Roman" w:hAnsi="Times New Roman" w:eastAsia="宋体" w:cs="Times New Roman"/>
                <w:b/>
                <w:snapToGrid/>
                <w:color w:val="auto"/>
                <w:kern w:val="2"/>
                <w:lang w:eastAsia="zh-CN"/>
              </w:rPr>
              <w:t>应急物资</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46662293">
            <w:pPr>
              <w:widowControl w:val="0"/>
              <w:kinsoku/>
              <w:snapToGrid/>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防护面具、防护手套、水泵、铁锹、堵漏软木塞、消防桶、干粉灭火器、处理药剂</w:t>
            </w:r>
          </w:p>
        </w:tc>
      </w:tr>
      <w:tr w14:paraId="4053BEE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50" w:hRule="atLeast"/>
        </w:trPr>
        <w:tc>
          <w:tcPr>
            <w:tcW w:w="1714" w:type="dxa"/>
            <w:tcBorders>
              <w:top w:val="single" w:color="auto" w:sz="6" w:space="0"/>
              <w:left w:val="single" w:color="auto" w:sz="18" w:space="0"/>
              <w:bottom w:val="single" w:color="auto" w:sz="6" w:space="0"/>
              <w:right w:val="single" w:color="auto" w:sz="6" w:space="0"/>
            </w:tcBorders>
            <w:noWrap w:val="0"/>
            <w:vAlign w:val="center"/>
          </w:tcPr>
          <w:p w14:paraId="27A7DCDE">
            <w:pPr>
              <w:widowControl w:val="0"/>
              <w:kinsoku/>
              <w:autoSpaceDE/>
              <w:autoSpaceDN/>
              <w:adjustRightInd/>
              <w:snapToGrid/>
              <w:jc w:val="center"/>
              <w:textAlignment w:val="auto"/>
              <w:rPr>
                <w:rFonts w:ascii="Times New Roman" w:hAnsi="Times New Roman" w:eastAsia="宋体" w:cs="Times New Roman"/>
                <w:b/>
                <w:snapToGrid/>
                <w:color w:val="auto"/>
                <w:kern w:val="2"/>
                <w:sz w:val="21"/>
                <w:szCs w:val="21"/>
                <w:lang w:val="en-US" w:eastAsia="zh-CN" w:bidi="ar-SA"/>
              </w:rPr>
            </w:pPr>
            <w:r>
              <w:rPr>
                <w:rFonts w:hint="eastAsia" w:ascii="Times New Roman" w:hAnsi="Times New Roman" w:eastAsia="宋体" w:cs="Times New Roman"/>
                <w:b/>
                <w:snapToGrid/>
                <w:color w:val="auto"/>
                <w:kern w:val="2"/>
                <w:sz w:val="21"/>
                <w:szCs w:val="21"/>
                <w:lang w:val="en-US" w:eastAsia="zh-CN" w:bidi="ar-SA"/>
              </w:rPr>
              <w:t>时间要求</w:t>
            </w:r>
          </w:p>
        </w:tc>
        <w:tc>
          <w:tcPr>
            <w:tcW w:w="7347" w:type="dxa"/>
            <w:tcBorders>
              <w:top w:val="single" w:color="auto" w:sz="6" w:space="0"/>
              <w:left w:val="single" w:color="auto" w:sz="6" w:space="0"/>
              <w:bottom w:val="single" w:color="auto" w:sz="6" w:space="0"/>
              <w:right w:val="single" w:color="auto" w:sz="18" w:space="0"/>
            </w:tcBorders>
            <w:noWrap w:val="0"/>
            <w:vAlign w:val="center"/>
          </w:tcPr>
          <w:p w14:paraId="56036AAF">
            <w:pPr>
              <w:widowControl w:val="0"/>
              <w:kinsoku/>
              <w:snapToGrid/>
              <w:textAlignment w:val="auto"/>
              <w:rPr>
                <w:rFonts w:hint="eastAsia"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snapToGrid/>
                <w:color w:val="auto"/>
                <w:kern w:val="2"/>
                <w:sz w:val="24"/>
                <w:szCs w:val="24"/>
                <w:lang w:val="en-US" w:eastAsia="zh-CN" w:bidi="ar-SA"/>
              </w:rPr>
              <w:t>发现事故后立即向突发环境事件应急指挥部汇报，并通知各相关部门</w:t>
            </w:r>
          </w:p>
        </w:tc>
      </w:tr>
    </w:tbl>
    <w:p w14:paraId="35ABC661">
      <w:pPr>
        <w:widowControl w:val="0"/>
        <w:kinsoku/>
        <w:autoSpaceDE/>
        <w:autoSpaceDN/>
        <w:adjustRightInd/>
        <w:snapToGrid/>
        <w:jc w:val="center"/>
        <w:textAlignment w:val="auto"/>
        <w:rPr>
          <w:rFonts w:ascii="Times New Roman" w:hAnsi="Times New Roman" w:eastAsia="黑体" w:cs="Times New Roman"/>
          <w:snapToGrid/>
          <w:color w:val="auto"/>
          <w:kern w:val="2"/>
          <w:sz w:val="24"/>
          <w:szCs w:val="24"/>
          <w:lang w:eastAsia="zh-CN"/>
        </w:rPr>
      </w:pPr>
    </w:p>
    <w:p w14:paraId="76B63EB3">
      <w:pPr>
        <w:jc w:val="center"/>
        <w:rPr>
          <w:rFonts w:ascii="Times New Roman" w:hAnsi="Times New Roman" w:eastAsia="黑体" w:cs="Times New Roman"/>
          <w:color w:val="auto"/>
          <w:sz w:val="24"/>
          <w:lang w:eastAsia="zh-CN"/>
        </w:rPr>
        <w:sectPr>
          <w:pgSz w:w="11906" w:h="16838"/>
          <w:pgMar w:top="1984" w:right="1474" w:bottom="1871" w:left="1587" w:header="851" w:footer="1587" w:gutter="0"/>
          <w:cols w:space="720" w:num="1"/>
          <w:titlePg/>
          <w:docGrid w:linePitch="579" w:charSpace="0"/>
        </w:sectPr>
      </w:pPr>
    </w:p>
    <w:p w14:paraId="7A6BFC66">
      <w:pPr>
        <w:widowControl w:val="0"/>
        <w:kinsoku/>
        <w:autoSpaceDE/>
        <w:autoSpaceDN/>
        <w:adjustRightInd/>
        <w:snapToGrid/>
        <w:spacing w:line="580" w:lineRule="exact"/>
        <w:textAlignment w:val="auto"/>
        <w:rPr>
          <w:rFonts w:ascii="Times New Roman" w:hAnsi="Times New Roman" w:eastAsia="仿宋_GB2312" w:cs="Times New Roman"/>
          <w:b/>
          <w:bCs/>
          <w:snapToGrid/>
          <w:color w:val="auto"/>
          <w:kern w:val="2"/>
          <w:sz w:val="32"/>
          <w:szCs w:val="32"/>
          <w:lang w:eastAsia="zh-CN"/>
        </w:rPr>
      </w:pPr>
      <w:r>
        <w:rPr>
          <w:rFonts w:ascii="Times New Roman" w:hAnsi="Times New Roman" w:eastAsia="仿宋_GB2312" w:cs="Times New Roman"/>
          <w:b/>
          <w:bCs/>
          <w:snapToGrid/>
          <w:color w:val="auto"/>
          <w:kern w:val="2"/>
          <w:sz w:val="32"/>
          <w:szCs w:val="32"/>
          <w:lang w:eastAsia="zh-CN"/>
        </w:rPr>
        <w:t>附图</w:t>
      </w:r>
      <w:r>
        <w:rPr>
          <w:rFonts w:hint="eastAsia" w:ascii="Times New Roman" w:hAnsi="Times New Roman" w:eastAsia="仿宋_GB2312" w:cs="Times New Roman"/>
          <w:b/>
          <w:bCs/>
          <w:snapToGrid/>
          <w:color w:val="auto"/>
          <w:kern w:val="2"/>
          <w:sz w:val="32"/>
          <w:szCs w:val="32"/>
          <w:lang w:val="en-US" w:eastAsia="zh-CN"/>
        </w:rPr>
        <w:t>1</w:t>
      </w:r>
      <w:r>
        <w:rPr>
          <w:rFonts w:ascii="Times New Roman" w:hAnsi="Times New Roman" w:eastAsia="仿宋_GB2312" w:cs="Times New Roman"/>
          <w:b/>
          <w:bCs/>
          <w:snapToGrid/>
          <w:color w:val="auto"/>
          <w:kern w:val="2"/>
          <w:sz w:val="32"/>
          <w:szCs w:val="32"/>
          <w:lang w:eastAsia="zh-CN"/>
        </w:rPr>
        <w:t xml:space="preserve"> 炎陵县</w:t>
      </w:r>
      <w:r>
        <w:rPr>
          <w:rFonts w:hint="eastAsia" w:ascii="Times New Roman" w:hAnsi="Times New Roman" w:eastAsia="仿宋_GB2312" w:cs="Times New Roman"/>
          <w:b/>
          <w:bCs/>
          <w:snapToGrid/>
          <w:color w:val="auto"/>
          <w:kern w:val="2"/>
          <w:sz w:val="32"/>
          <w:szCs w:val="32"/>
          <w:lang w:val="en-US" w:eastAsia="zh-CN"/>
        </w:rPr>
        <w:t>行政</w:t>
      </w:r>
      <w:r>
        <w:rPr>
          <w:rFonts w:hint="eastAsia" w:ascii="Times New Roman" w:hAnsi="Times New Roman" w:eastAsia="仿宋_GB2312" w:cs="Times New Roman"/>
          <w:b/>
          <w:bCs/>
          <w:snapToGrid/>
          <w:color w:val="auto"/>
          <w:kern w:val="2"/>
          <w:sz w:val="32"/>
          <w:szCs w:val="32"/>
          <w:lang w:val="en-US" w:eastAsia="zh-CN"/>
        </w:rPr>
        <w:t>区划</w:t>
      </w:r>
      <w:r>
        <w:rPr>
          <w:rFonts w:ascii="Times New Roman" w:hAnsi="Times New Roman" w:eastAsia="仿宋_GB2312" w:cs="Times New Roman"/>
          <w:b/>
          <w:bCs/>
          <w:snapToGrid/>
          <w:color w:val="auto"/>
          <w:kern w:val="2"/>
          <w:sz w:val="32"/>
          <w:szCs w:val="32"/>
          <w:lang w:eastAsia="zh-CN"/>
        </w:rPr>
        <w:t>图</w:t>
      </w:r>
    </w:p>
    <w:p w14:paraId="1AD6CE4A">
      <w:pPr>
        <w:bidi w:val="0"/>
        <w:rPr>
          <w:lang w:eastAsia="zh-CN"/>
        </w:rPr>
      </w:pPr>
    </w:p>
    <w:p w14:paraId="10568D73">
      <w:pPr>
        <w:widowControl w:val="0"/>
        <w:kinsoku/>
        <w:autoSpaceDE/>
        <w:autoSpaceDN/>
        <w:adjustRightInd/>
        <w:snapToGrid/>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drawing>
          <wp:inline distT="0" distB="0" distL="114300" distR="114300">
            <wp:extent cx="4850765" cy="6856095"/>
            <wp:effectExtent l="0" t="0" r="6985" b="1905"/>
            <wp:docPr id="42" name="图片 40" descr="D:/株洲市生态环境局炎陵分局/生环委办/2024/炎陵县突发环境事件应急预案/突发环境事件应急预案征求意见/《炎陵县突发环境事件应急预案》 正文及附件/新建文件夹/炎陵县行政区划图.jpg炎陵县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D:/株洲市生态环境局炎陵分局/生环委办/2024/炎陵县突发环境事件应急预案/突发环境事件应急预案征求意见/《炎陵县突发环境事件应急预案》 正文及附件/新建文件夹/炎陵县行政区划图.jpg炎陵县行政区划图"/>
                    <pic:cNvPicPr>
                      <a:picLocks noChangeAspect="1"/>
                    </pic:cNvPicPr>
                  </pic:nvPicPr>
                  <pic:blipFill>
                    <a:blip r:embed="rId51"/>
                    <a:srcRect l="3584" r="3584"/>
                    <a:stretch>
                      <a:fillRect/>
                    </a:stretch>
                  </pic:blipFill>
                  <pic:spPr>
                    <a:xfrm>
                      <a:off x="0" y="0"/>
                      <a:ext cx="4850765" cy="6856095"/>
                    </a:xfrm>
                    <a:prstGeom prst="rect">
                      <a:avLst/>
                    </a:prstGeom>
                    <a:noFill/>
                    <a:ln>
                      <a:noFill/>
                    </a:ln>
                  </pic:spPr>
                </pic:pic>
              </a:graphicData>
            </a:graphic>
          </wp:inline>
        </w:drawing>
      </w:r>
    </w:p>
    <w:p w14:paraId="133217D0">
      <w:pPr>
        <w:spacing w:line="560" w:lineRule="exact"/>
        <w:rPr>
          <w:rFonts w:hint="eastAsia" w:ascii="仿宋_GB2312" w:hAnsi="仿宋_GB2312" w:eastAsia="仿宋_GB2312" w:cs="仿宋_GB2312"/>
          <w:sz w:val="32"/>
          <w:szCs w:val="32"/>
          <w:lang w:eastAsia="zh-CN"/>
        </w:rPr>
        <w:sectPr>
          <w:headerReference r:id="rId14" w:type="default"/>
          <w:footerReference r:id="rId15" w:type="default"/>
          <w:pgSz w:w="11906" w:h="16838"/>
          <w:pgMar w:top="2098" w:right="1531" w:bottom="1984" w:left="1531" w:header="851" w:footer="992" w:gutter="0"/>
          <w:cols w:space="720" w:num="1"/>
          <w:docGrid w:type="lines" w:linePitch="312" w:charSpace="0"/>
        </w:sectPr>
      </w:pPr>
      <w:r>
        <w:rPr>
          <w:rFonts w:hint="eastAsia" w:ascii="仿宋_GB2312" w:hAnsi="仿宋_GB2312" w:eastAsia="仿宋_GB2312" w:cs="仿宋_GB2312"/>
          <w:sz w:val="32"/>
          <w:szCs w:val="32"/>
          <w:lang w:eastAsia="zh-CN"/>
        </w:rPr>
        <w:t xml:space="preserve"> </w:t>
      </w:r>
    </w:p>
    <w:p w14:paraId="435B9C07">
      <w:pPr>
        <w:widowControl w:val="0"/>
        <w:kinsoku/>
        <w:autoSpaceDE/>
        <w:autoSpaceDN/>
        <w:adjustRightInd/>
        <w:snapToGrid/>
        <w:spacing w:line="580" w:lineRule="exact"/>
        <w:textAlignment w:val="auto"/>
        <w:rPr>
          <w:rFonts w:ascii="Times New Roman" w:hAnsi="Times New Roman" w:eastAsia="仿宋_GB2312" w:cs="Times New Roman"/>
          <w:b/>
          <w:bCs/>
          <w:snapToGrid/>
          <w:color w:val="auto"/>
          <w:kern w:val="2"/>
          <w:sz w:val="32"/>
          <w:szCs w:val="32"/>
          <w:lang w:eastAsia="zh-CN"/>
        </w:rPr>
      </w:pPr>
      <w:r>
        <w:rPr>
          <w:rFonts w:ascii="Times New Roman" w:hAnsi="Times New Roman" w:eastAsia="仿宋_GB2312" w:cs="Times New Roman"/>
          <w:b/>
          <w:bCs/>
          <w:snapToGrid/>
          <w:color w:val="auto"/>
          <w:kern w:val="2"/>
          <w:sz w:val="32"/>
          <w:szCs w:val="32"/>
          <w:lang w:eastAsia="zh-CN"/>
        </w:rPr>
        <w:t>附图</w:t>
      </w:r>
      <w:r>
        <w:rPr>
          <w:rFonts w:hint="eastAsia" w:ascii="Times New Roman" w:hAnsi="Times New Roman" w:eastAsia="仿宋_GB2312" w:cs="Times New Roman"/>
          <w:b/>
          <w:bCs/>
          <w:snapToGrid/>
          <w:color w:val="auto"/>
          <w:kern w:val="2"/>
          <w:sz w:val="32"/>
          <w:szCs w:val="32"/>
          <w:lang w:val="en-US" w:eastAsia="zh-CN"/>
        </w:rPr>
        <w:t>2</w:t>
      </w:r>
      <w:r>
        <w:rPr>
          <w:rFonts w:ascii="Times New Roman" w:hAnsi="Times New Roman" w:eastAsia="仿宋_GB2312" w:cs="Times New Roman"/>
          <w:b/>
          <w:bCs/>
          <w:snapToGrid/>
          <w:color w:val="auto"/>
          <w:kern w:val="2"/>
          <w:sz w:val="32"/>
          <w:szCs w:val="32"/>
          <w:lang w:eastAsia="zh-CN"/>
        </w:rPr>
        <w:t xml:space="preserve"> 炎陵县</w:t>
      </w:r>
      <w:r>
        <w:rPr>
          <w:rFonts w:hint="eastAsia" w:ascii="Times New Roman" w:hAnsi="Times New Roman" w:eastAsia="仿宋_GB2312" w:cs="Times New Roman"/>
          <w:b/>
          <w:bCs/>
          <w:snapToGrid/>
          <w:color w:val="auto"/>
          <w:kern w:val="2"/>
          <w:sz w:val="32"/>
          <w:szCs w:val="32"/>
          <w:lang w:val="en-US" w:eastAsia="zh-CN"/>
        </w:rPr>
        <w:t>水系</w:t>
      </w:r>
      <w:r>
        <w:rPr>
          <w:rFonts w:ascii="Times New Roman" w:hAnsi="Times New Roman" w:eastAsia="仿宋_GB2312" w:cs="Times New Roman"/>
          <w:b/>
          <w:bCs/>
          <w:snapToGrid/>
          <w:color w:val="auto"/>
          <w:kern w:val="2"/>
          <w:sz w:val="32"/>
          <w:szCs w:val="32"/>
          <w:lang w:eastAsia="zh-CN"/>
        </w:rPr>
        <w:t>分布图</w:t>
      </w:r>
    </w:p>
    <w:p w14:paraId="1C1AFFD3">
      <w:pPr>
        <w:widowControl w:val="0"/>
        <w:kinsoku/>
        <w:autoSpaceDE/>
        <w:autoSpaceDN/>
        <w:adjustRightInd/>
        <w:snapToGrid/>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drawing>
          <wp:inline distT="0" distB="0" distL="114300" distR="114300">
            <wp:extent cx="4850765" cy="6856095"/>
            <wp:effectExtent l="0" t="0" r="6985" b="1905"/>
            <wp:docPr id="43" name="图片 21" descr="D:/株洲市生态环境局炎陵分局/生环委办/2024/炎陵县突发环境事件应急预案/突发环境事件应急预案征求意见/《炎陵县突发环境事件应急预案》 正文及附件/新建文件夹/炎陵县水系图.jpg炎陵县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D:/株洲市生态环境局炎陵分局/生环委办/2024/炎陵县突发环境事件应急预案/突发环境事件应急预案征求意见/《炎陵县突发环境事件应急预案》 正文及附件/新建文件夹/炎陵县水系图.jpg炎陵县水系图"/>
                    <pic:cNvPicPr>
                      <a:picLocks noChangeAspect="1"/>
                    </pic:cNvPicPr>
                  </pic:nvPicPr>
                  <pic:blipFill>
                    <a:blip r:embed="rId52"/>
                    <a:srcRect l="1427" r="1427"/>
                    <a:stretch>
                      <a:fillRect/>
                    </a:stretch>
                  </pic:blipFill>
                  <pic:spPr>
                    <a:xfrm>
                      <a:off x="0" y="0"/>
                      <a:ext cx="4850765" cy="6856095"/>
                    </a:xfrm>
                    <a:prstGeom prst="rect">
                      <a:avLst/>
                    </a:prstGeom>
                    <a:noFill/>
                    <a:ln>
                      <a:noFill/>
                    </a:ln>
                  </pic:spPr>
                </pic:pic>
              </a:graphicData>
            </a:graphic>
          </wp:inline>
        </w:drawing>
      </w:r>
    </w:p>
    <w:p w14:paraId="78D6C5A0">
      <w:pPr>
        <w:rPr>
          <w:lang w:eastAsia="zh-CN"/>
        </w:rPr>
      </w:pPr>
    </w:p>
    <w:p w14:paraId="6E8ED018">
      <w:pPr>
        <w:pStyle w:val="4"/>
        <w:rPr>
          <w:lang w:eastAsia="zh-CN"/>
        </w:rPr>
        <w:sectPr>
          <w:headerReference r:id="rId16" w:type="default"/>
          <w:footerReference r:id="rId17" w:type="default"/>
          <w:pgSz w:w="11906" w:h="16838"/>
          <w:pgMar w:top="2098" w:right="1531" w:bottom="1984" w:left="1531" w:header="851" w:footer="992" w:gutter="0"/>
          <w:cols w:space="720" w:num="1"/>
          <w:docGrid w:type="lines" w:linePitch="312" w:charSpace="0"/>
        </w:sectPr>
      </w:pPr>
    </w:p>
    <w:p w14:paraId="7DE2ABBE">
      <w:pPr>
        <w:widowControl w:val="0"/>
        <w:kinsoku/>
        <w:autoSpaceDE/>
        <w:autoSpaceDN/>
        <w:adjustRightInd/>
        <w:snapToGrid/>
        <w:spacing w:line="580" w:lineRule="exact"/>
        <w:textAlignment w:val="auto"/>
        <w:rPr>
          <w:rFonts w:ascii="Times New Roman" w:hAnsi="Times New Roman" w:eastAsia="仿宋_GB2312" w:cs="Times New Roman"/>
          <w:b/>
          <w:bCs/>
          <w:snapToGrid/>
          <w:color w:val="auto"/>
          <w:kern w:val="2"/>
          <w:sz w:val="32"/>
          <w:szCs w:val="32"/>
          <w:lang w:eastAsia="zh-CN"/>
        </w:rPr>
      </w:pPr>
      <w:r>
        <w:rPr>
          <w:rFonts w:ascii="Times New Roman" w:hAnsi="Times New Roman" w:eastAsia="仿宋_GB2312" w:cs="Times New Roman"/>
          <w:b/>
          <w:bCs/>
          <w:snapToGrid/>
          <w:color w:val="auto"/>
          <w:kern w:val="2"/>
          <w:sz w:val="32"/>
          <w:szCs w:val="32"/>
          <w:lang w:eastAsia="zh-CN"/>
        </w:rPr>
        <w:t>附图</w:t>
      </w:r>
      <w:r>
        <w:rPr>
          <w:rFonts w:hint="eastAsia" w:ascii="Times New Roman" w:hAnsi="Times New Roman" w:eastAsia="仿宋_GB2312" w:cs="Times New Roman"/>
          <w:b/>
          <w:bCs/>
          <w:snapToGrid/>
          <w:color w:val="auto"/>
          <w:kern w:val="2"/>
          <w:sz w:val="32"/>
          <w:szCs w:val="32"/>
          <w:lang w:val="en-US" w:eastAsia="zh-CN"/>
        </w:rPr>
        <w:t>3</w:t>
      </w:r>
      <w:r>
        <w:rPr>
          <w:rFonts w:ascii="Times New Roman" w:hAnsi="Times New Roman" w:eastAsia="仿宋_GB2312" w:cs="Times New Roman"/>
          <w:b/>
          <w:bCs/>
          <w:snapToGrid/>
          <w:color w:val="auto"/>
          <w:kern w:val="2"/>
          <w:sz w:val="32"/>
          <w:szCs w:val="32"/>
          <w:lang w:eastAsia="zh-CN"/>
        </w:rPr>
        <w:t xml:space="preserve"> 炎陵县生态红线分布图</w:t>
      </w:r>
    </w:p>
    <w:p w14:paraId="03BAC5D9">
      <w:pPr>
        <w:widowControl w:val="0"/>
        <w:kinsoku/>
        <w:autoSpaceDE/>
        <w:autoSpaceDN/>
        <w:adjustRightInd/>
        <w:snapToGrid/>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drawing>
          <wp:inline distT="0" distB="0" distL="114300" distR="114300">
            <wp:extent cx="4850765" cy="6856095"/>
            <wp:effectExtent l="0" t="0" r="6985" b="1905"/>
            <wp:docPr id="44" name="图片 22" descr="生态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生态红线"/>
                    <pic:cNvPicPr>
                      <a:picLocks noChangeAspect="1"/>
                    </pic:cNvPicPr>
                  </pic:nvPicPr>
                  <pic:blipFill>
                    <a:blip r:embed="rId53"/>
                    <a:stretch>
                      <a:fillRect/>
                    </a:stretch>
                  </pic:blipFill>
                  <pic:spPr>
                    <a:xfrm>
                      <a:off x="0" y="0"/>
                      <a:ext cx="4850765" cy="6856095"/>
                    </a:xfrm>
                    <a:prstGeom prst="rect">
                      <a:avLst/>
                    </a:prstGeom>
                    <a:noFill/>
                    <a:ln>
                      <a:noFill/>
                    </a:ln>
                  </pic:spPr>
                </pic:pic>
              </a:graphicData>
            </a:graphic>
          </wp:inline>
        </w:drawing>
      </w:r>
    </w:p>
    <w:p w14:paraId="533338B0">
      <w:pPr>
        <w:widowControl w:val="0"/>
        <w:kinsoku/>
        <w:autoSpaceDE/>
        <w:autoSpaceDN/>
        <w:adjustRightInd/>
        <w:snapToGrid/>
        <w:spacing w:line="580" w:lineRule="exact"/>
        <w:textAlignment w:val="auto"/>
        <w:rPr>
          <w:rFonts w:ascii="Times New Roman" w:hAnsi="Times New Roman" w:eastAsia="仿宋_GB2312" w:cs="Times New Roman"/>
          <w:snapToGrid/>
          <w:color w:val="auto"/>
          <w:kern w:val="2"/>
          <w:sz w:val="32"/>
          <w:szCs w:val="32"/>
          <w:lang w:eastAsia="zh-CN"/>
        </w:rPr>
      </w:pPr>
    </w:p>
    <w:p w14:paraId="4E429C32">
      <w:pPr>
        <w:pStyle w:val="4"/>
        <w:rPr>
          <w:lang w:eastAsia="zh-CN"/>
        </w:rPr>
        <w:sectPr>
          <w:pgSz w:w="11906" w:h="16838"/>
          <w:pgMar w:top="2098" w:right="1531" w:bottom="1984" w:left="1531" w:header="851" w:footer="992" w:gutter="0"/>
          <w:cols w:space="720" w:num="1"/>
          <w:docGrid w:type="lines" w:linePitch="312" w:charSpace="0"/>
        </w:sectPr>
      </w:pPr>
    </w:p>
    <w:p w14:paraId="62694C42">
      <w:pPr>
        <w:widowControl w:val="0"/>
        <w:kinsoku/>
        <w:autoSpaceDE/>
        <w:autoSpaceDN/>
        <w:adjustRightInd/>
        <w:snapToGrid/>
        <w:spacing w:line="580" w:lineRule="exact"/>
        <w:textAlignment w:val="auto"/>
        <w:rPr>
          <w:rFonts w:ascii="Times New Roman" w:hAnsi="Times New Roman" w:eastAsia="仿宋_GB2312" w:cs="Times New Roman"/>
          <w:b/>
          <w:bCs/>
          <w:snapToGrid/>
          <w:color w:val="auto"/>
          <w:kern w:val="2"/>
          <w:sz w:val="32"/>
          <w:szCs w:val="32"/>
          <w:lang w:eastAsia="zh-CN"/>
        </w:rPr>
      </w:pPr>
      <w:r>
        <w:rPr>
          <w:rFonts w:ascii="Times New Roman" w:hAnsi="Times New Roman" w:eastAsia="仿宋_GB2312" w:cs="Times New Roman"/>
          <w:b/>
          <w:bCs/>
          <w:snapToGrid/>
          <w:color w:val="auto"/>
          <w:kern w:val="2"/>
          <w:sz w:val="32"/>
          <w:szCs w:val="32"/>
          <w:lang w:eastAsia="zh-CN"/>
        </w:rPr>
        <w:t>附图</w:t>
      </w:r>
      <w:r>
        <w:rPr>
          <w:rFonts w:hint="eastAsia" w:ascii="Times New Roman" w:hAnsi="Times New Roman" w:eastAsia="仿宋_GB2312" w:cs="Times New Roman"/>
          <w:b/>
          <w:bCs/>
          <w:snapToGrid/>
          <w:color w:val="auto"/>
          <w:kern w:val="2"/>
          <w:sz w:val="32"/>
          <w:szCs w:val="32"/>
          <w:lang w:val="en-US" w:eastAsia="zh-CN"/>
        </w:rPr>
        <w:t>4</w:t>
      </w:r>
      <w:r>
        <w:rPr>
          <w:rFonts w:ascii="Times New Roman" w:hAnsi="Times New Roman" w:eastAsia="仿宋_GB2312" w:cs="Times New Roman"/>
          <w:b/>
          <w:bCs/>
          <w:snapToGrid/>
          <w:color w:val="auto"/>
          <w:kern w:val="2"/>
          <w:sz w:val="32"/>
          <w:szCs w:val="32"/>
          <w:lang w:eastAsia="zh-CN"/>
        </w:rPr>
        <w:t xml:space="preserve"> 炎陵县</w:t>
      </w:r>
      <w:r>
        <w:rPr>
          <w:rFonts w:hint="eastAsia" w:ascii="Times New Roman" w:hAnsi="Times New Roman" w:eastAsia="仿宋_GB2312" w:cs="Times New Roman"/>
          <w:b/>
          <w:bCs/>
          <w:snapToGrid/>
          <w:color w:val="auto"/>
          <w:kern w:val="2"/>
          <w:sz w:val="32"/>
          <w:szCs w:val="32"/>
          <w:lang w:val="en-US" w:eastAsia="zh-CN"/>
        </w:rPr>
        <w:t>水环境、大气环境风险源</w:t>
      </w:r>
      <w:r>
        <w:rPr>
          <w:rFonts w:ascii="Times New Roman" w:hAnsi="Times New Roman" w:eastAsia="仿宋_GB2312" w:cs="Times New Roman"/>
          <w:b/>
          <w:bCs/>
          <w:snapToGrid/>
          <w:color w:val="auto"/>
          <w:kern w:val="2"/>
          <w:sz w:val="32"/>
          <w:szCs w:val="32"/>
          <w:lang w:eastAsia="zh-CN"/>
        </w:rPr>
        <w:t>分布图</w:t>
      </w:r>
    </w:p>
    <w:p w14:paraId="69799660">
      <w:pPr>
        <w:bidi w:val="0"/>
        <w:rPr>
          <w:lang w:eastAsia="zh-CN"/>
        </w:rPr>
      </w:pPr>
    </w:p>
    <w:p w14:paraId="31D13722">
      <w:pPr>
        <w:widowControl w:val="0"/>
        <w:kinsoku/>
        <w:autoSpaceDE/>
        <w:autoSpaceDN/>
        <w:adjustRightInd/>
        <w:snapToGrid/>
        <w:jc w:val="center"/>
        <w:textAlignment w:val="auto"/>
        <w:rPr>
          <w:rFonts w:ascii="Times New Roman" w:hAnsi="Times New Roman" w:eastAsia="仿宋_GB2312" w:cs="Times New Roman"/>
          <w:snapToGrid/>
          <w:color w:val="auto"/>
          <w:kern w:val="2"/>
          <w:sz w:val="32"/>
          <w:szCs w:val="32"/>
          <w:lang w:eastAsia="zh-CN"/>
        </w:rPr>
      </w:pPr>
      <w:r>
        <w:rPr>
          <w:rFonts w:ascii="Times New Roman" w:hAnsi="Times New Roman" w:eastAsia="仿宋_GB2312" w:cs="Times New Roman"/>
          <w:snapToGrid/>
          <w:color w:val="auto"/>
          <w:kern w:val="2"/>
          <w:sz w:val="32"/>
          <w:szCs w:val="32"/>
          <w:lang w:eastAsia="zh-CN"/>
        </w:rPr>
        <w:drawing>
          <wp:inline distT="0" distB="0" distL="114300" distR="114300">
            <wp:extent cx="5080000" cy="6457315"/>
            <wp:effectExtent l="0" t="0" r="6350" b="635"/>
            <wp:docPr id="45" name="图片 25" descr="172871719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1728717195125"/>
                    <pic:cNvPicPr>
                      <a:picLocks noChangeAspect="1"/>
                    </pic:cNvPicPr>
                  </pic:nvPicPr>
                  <pic:blipFill>
                    <a:blip r:embed="rId54"/>
                    <a:stretch>
                      <a:fillRect/>
                    </a:stretch>
                  </pic:blipFill>
                  <pic:spPr>
                    <a:xfrm>
                      <a:off x="0" y="0"/>
                      <a:ext cx="5080000" cy="6457315"/>
                    </a:xfrm>
                    <a:prstGeom prst="rect">
                      <a:avLst/>
                    </a:prstGeom>
                    <a:noFill/>
                    <a:ln>
                      <a:noFill/>
                    </a:ln>
                  </pic:spPr>
                </pic:pic>
              </a:graphicData>
            </a:graphic>
          </wp:inline>
        </w:drawing>
      </w:r>
    </w:p>
    <w:p w14:paraId="55DB7C25">
      <w:pPr>
        <w:spacing w:line="560" w:lineRule="exact"/>
        <w:rPr>
          <w:rFonts w:hint="eastAsia"/>
          <w:lang w:eastAsia="zh-CN"/>
        </w:rPr>
      </w:pPr>
    </w:p>
    <w:sectPr>
      <w:pgSz w:w="11906" w:h="16838"/>
      <w:pgMar w:top="2098" w:right="1531" w:bottom="1984"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宋体-方正超大字符集">
    <w:altName w:val="宋体"/>
    <w:panose1 w:val="00000000000000000000"/>
    <w:charset w:val="86"/>
    <w:family w:val="script"/>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C3C42">
    <w:pPr>
      <w:widowControl w:val="0"/>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0085CA">
                          <w:pPr>
                            <w:widowControl w:val="0"/>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 PAGE  \* MERGEFORMAT </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eastAsia="zh-CN"/>
                            </w:rPr>
                            <w:t>IV</w:t>
                          </w:r>
                          <w:r>
                            <w:rPr>
                              <w:rFonts w:ascii="Times New Roman" w:hAnsi="Times New Roman" w:eastAsia="宋体" w:cs="Times New Roman"/>
                              <w:kern w:val="2"/>
                              <w:lang w:eastAsia="zh-CN"/>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qHxMoBAACb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VJY5bnPjl+7fLj1+Xn1/J&#10;cpkF6gPUmPcQMDMNd37AtZn9gM7Me1DR5i8yIhhHec9XeeWQiMiP1qv1usKQwNh8QXz2+DxESG+l&#10;tyQbDY04vyIrP72HNKbOKbma8/famDJD4/5yIGb2sNz72GO20rAfJkJ7356RT4+jb6jDTafEvHOo&#10;bN6S2YizsZ+NY4j60JU1yvUg3B4TNlF6yxVG2Kkwzqywm/YrL8Wf95L1+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kqHxMoBAACbAwAADgAAAAAAAAABACAAAAAeAQAAZHJzL2Uyb0Rv&#10;Yy54bWxQSwUGAAAAAAYABgBZAQAAWgUAAAAA&#10;">
              <v:fill on="f" focussize="0,0"/>
              <v:stroke on="f"/>
              <v:imagedata o:title=""/>
              <o:lock v:ext="edit" aspectratio="f"/>
              <v:textbox inset="0mm,0mm,0mm,0mm" style="mso-fit-shape-to-text:t;">
                <w:txbxContent>
                  <w:p w14:paraId="270085CA">
                    <w:pPr>
                      <w:widowControl w:val="0"/>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 PAGE  \* MERGEFORMAT </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eastAsia="zh-CN"/>
                      </w:rPr>
                      <w:t>IV</w:t>
                    </w:r>
                    <w:r>
                      <w:rPr>
                        <w:rFonts w:ascii="Times New Roman" w:hAnsi="Times New Roman" w:eastAsia="宋体" w:cs="Times New Roman"/>
                        <w:kern w:val="2"/>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0101F">
    <w:pPr>
      <w:pStyle w:val="8"/>
      <w:snapToGrid/>
      <w:jc w:val="center"/>
      <w:rPr>
        <w:rFonts w:hint="eastAsia" w:eastAsia="仿宋"/>
        <w:lang w:eastAsia="zh-CN"/>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0E0ED2">
                          <w:pPr>
                            <w:pStyle w:val="8"/>
                            <w:snapToGrid/>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105</w:t>
                          </w:r>
                          <w:r>
                            <w:rPr>
                              <w:rFonts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zgSskBAACa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lxS4rjFiV++f7v8+HX5+ZW8&#10;zv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63OBKyQEAAJoDAAAOAAAAAAAAAAEAIAAAAB4BAABkcnMvZTJvRG9j&#10;LnhtbFBLBQYAAAAABgAGAFkBAABZBQAAAAA=&#10;">
              <v:fill on="f" focussize="0,0"/>
              <v:stroke on="f"/>
              <v:imagedata o:title=""/>
              <o:lock v:ext="edit" aspectratio="f"/>
              <v:textbox inset="0mm,0mm,0mm,0mm" style="mso-fit-shape-to-text:t;">
                <w:txbxContent>
                  <w:p w14:paraId="670E0ED2">
                    <w:pPr>
                      <w:pStyle w:val="8"/>
                      <w:snapToGrid/>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105</w:t>
                    </w:r>
                    <w:r>
                      <w:rPr>
                        <w:rFonts w:ascii="Times New Roman" w:hAnsi="Times New Roman" w:cs="Times New Roman"/>
                        <w:sz w:val="21"/>
                        <w:szCs w:val="21"/>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14A05">
    <w:pPr>
      <w:pStyle w:val="8"/>
      <w:snapToGrid/>
      <w:jc w:val="center"/>
      <w:rPr>
        <w:rFonts w:hint="eastAsia" w:eastAsia="仿宋"/>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BAD81B">
                          <w:pPr>
                            <w:pStyle w:val="8"/>
                            <w:snapToGrid/>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105</w:t>
                          </w:r>
                          <w:r>
                            <w:rPr>
                              <w:rFonts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6zMoBAACb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L55T4rjFiV++f7v8+HX5+ZUs&#10;X2WB+gA15t0FzEzDGz/g2sx+QGfmPaho8xcZEYyjvOervHJIRORH69V6XWFIYGy+ID67fx4ipLfS&#10;W5KNhkacX5GVn95DGlPnlFzN+VttTJmhcX85EDN7WO597DFbadgPE6G9b8/Ip8fRN9ThplNi3jlU&#10;Nm/JbMTZ2M/GMUR96Moa5XoQXh8TNlF6yxVG2Kkwzqywm/YrL8Wf95J1/0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6zMoBAACbAwAADgAAAAAAAAABACAAAAAeAQAAZHJzL2Uyb0Rv&#10;Yy54bWxQSwUGAAAAAAYABgBZAQAAWgUAAAAA&#10;">
              <v:fill on="f" focussize="0,0"/>
              <v:stroke on="f"/>
              <v:imagedata o:title=""/>
              <o:lock v:ext="edit" aspectratio="f"/>
              <v:textbox inset="0mm,0mm,0mm,0mm" style="mso-fit-shape-to-text:t;">
                <w:txbxContent>
                  <w:p w14:paraId="32BAD81B">
                    <w:pPr>
                      <w:pStyle w:val="8"/>
                      <w:snapToGrid/>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105</w:t>
                    </w:r>
                    <w:r>
                      <w:rPr>
                        <w:rFonts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312F4">
    <w:pPr>
      <w:widowControl w:val="0"/>
      <w:ind w:right="360" w:firstLine="360"/>
      <w:rPr>
        <w:rFonts w:hint="eastAsia" w:ascii="宋体" w:hAnsi="宋体" w:eastAsia="宋体" w:cs="Times New Roman"/>
        <w:kern w:val="2"/>
        <w:sz w:val="28"/>
        <w:szCs w:val="28"/>
        <w:lang w:eastAsia="zh-CN"/>
      </w:rPr>
    </w:pPr>
    <w:r>
      <w:rPr>
        <w:rFonts w:ascii="Times New Roman" w:hAnsi="Times New Roman" w:eastAsia="宋体" w:cs="Times New Roman"/>
        <w:kern w:val="2"/>
        <w:sz w:val="28"/>
        <w:szCs w:val="18"/>
        <w:lang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2015C5">
                          <w:pPr>
                            <w:widowControl w:val="0"/>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 PAGE  \* MERGEFORMAT </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eastAsia="zh-CN"/>
                            </w:rPr>
                            <w:t>I</w:t>
                          </w:r>
                          <w:r>
                            <w:rPr>
                              <w:rFonts w:ascii="Times New Roman" w:hAnsi="Times New Roman" w:eastAsia="宋体" w:cs="Times New Roman"/>
                              <w:kern w:val="2"/>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ilCFcoBAACbAwAADgAAAGRycy9lMm9Eb2MueG1srVNLjtswDN0X6B0E&#10;7SdyMmg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TdNSWWG5z46fev059/p78/&#10;yTwL1HkoMe/OY2bsP7oe1yYJl/yAzsS7b4JJX2REMI7yHs/yyj4SkR4tF8tlgSGBsemCOOzy3AeI&#10;n6QzJBkVDTi/LCs/fIE4pE4pqZp1t0rrPENtHzkQM3nYpcdkxX7bj41vXX1EPh2OvqIWN50S/dmi&#10;smlLJiNMxnYy9j6oXZvXKNUD/2EfsYncW6owwI6FcWaZ3bhfaSke3nPW5Z9a/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ilCFcoBAACbAwAADgAAAAAAAAABACAAAAAeAQAAZHJzL2Uyb0Rv&#10;Yy54bWxQSwUGAAAAAAYABgBZAQAAWgUAAAAA&#10;">
              <v:fill on="f" focussize="0,0"/>
              <v:stroke on="f"/>
              <v:imagedata o:title=""/>
              <o:lock v:ext="edit" aspectratio="f"/>
              <v:textbox inset="0mm,0mm,0mm,0mm" style="mso-fit-shape-to-text:t;">
                <w:txbxContent>
                  <w:p w14:paraId="422015C5">
                    <w:pPr>
                      <w:widowControl w:val="0"/>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 PAGE  \* MERGEFORMAT </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eastAsia="zh-CN"/>
                      </w:rPr>
                      <w:t>I</w:t>
                    </w:r>
                    <w:r>
                      <w:rPr>
                        <w:rFonts w:ascii="Times New Roman" w:hAnsi="Times New Roman" w:eastAsia="宋体" w:cs="Times New Roman"/>
                        <w:kern w:val="2"/>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1487D">
    <w:pPr>
      <w:widowControl w:val="0"/>
      <w:jc w:val="center"/>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PAGE   \* MERGEFORMAT</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val="zh-CN" w:eastAsia="zh-CN"/>
      </w:rPr>
      <w:t>28</w:t>
    </w:r>
    <w:r>
      <w:rPr>
        <w:rFonts w:ascii="Times New Roman" w:hAnsi="Times New Roman" w:eastAsia="宋体" w:cs="Times New Roman"/>
        <w:kern w:val="2"/>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541D">
    <w:pPr>
      <w:widowControl w:val="0"/>
      <w:jc w:val="center"/>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PAGE   \* MERGEFORMAT</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val="zh-CN" w:eastAsia="zh-CN"/>
      </w:rPr>
      <w:t>101</w:t>
    </w:r>
    <w:r>
      <w:rPr>
        <w:rFonts w:ascii="Times New Roman" w:hAnsi="Times New Roman" w:eastAsia="宋体" w:cs="Times New Roman"/>
        <w:kern w:val="2"/>
        <w:lang w:eastAsia="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BA29C">
    <w:pPr>
      <w:widowControl w:val="0"/>
      <w:tabs>
        <w:tab w:val="center" w:pos="4422"/>
      </w:tabs>
      <w:kinsoku/>
      <w:autoSpaceDE/>
      <w:autoSpaceDN/>
      <w:adjustRightInd/>
      <w:snapToGrid/>
      <w:jc w:val="both"/>
      <w:textAlignment w:val="auto"/>
      <w:rPr>
        <w:rFonts w:ascii="Times New Roman" w:hAnsi="Times New Roman" w:eastAsia="宋体" w:cs="Times New Roman"/>
        <w:snapToGrid/>
        <w:kern w:val="2"/>
        <w:sz w:val="18"/>
        <w:szCs w:val="18"/>
        <w:lang w:eastAsia="zh-CN"/>
      </w:rPr>
    </w:pPr>
    <w:r>
      <w:rPr>
        <w:rFonts w:ascii="Times New Roman" w:hAnsi="Times New Roman" w:eastAsia="宋体" w:cs="Times New Roman"/>
        <w:snapToGrid/>
        <w:kern w:val="2"/>
        <w:sz w:val="18"/>
        <w:szCs w:val="24"/>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6CD979">
                          <w:pPr>
                            <w:widowControl w:val="0"/>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 PAGE  \* MERGEFORMAT </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eastAsia="zh-CN"/>
                            </w:rPr>
                            <w:t>49</w:t>
                          </w:r>
                          <w:r>
                            <w:rPr>
                              <w:rFonts w:ascii="Times New Roman" w:hAnsi="Times New Roman" w:eastAsia="宋体" w:cs="Times New Roman"/>
                              <w:kern w:val="2"/>
                              <w:lang w:eastAsia="zh-CN"/>
                            </w:rP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Z4I2soBAACb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PUNJY5bnPjlx/fLz9+XX9/I&#10;cpUF6gPUmHcfMDMNb/2AazP7AZ2Z96CizV9kRDCO8p6v8sohEZEfrV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Z4I2soBAACbAwAADgAAAAAAAAABACAAAAAeAQAAZHJzL2Uyb0Rv&#10;Yy54bWxQSwUGAAAAAAYABgBZAQAAWgUAAAAA&#10;">
              <v:fill on="f" focussize="0,0"/>
              <v:stroke on="f"/>
              <v:imagedata o:title=""/>
              <o:lock v:ext="edit" aspectratio="f"/>
              <v:textbox inset="0mm,0mm,0mm,0mm" style="mso-fit-shape-to-text:t;">
                <w:txbxContent>
                  <w:p w14:paraId="2E6CD979">
                    <w:pPr>
                      <w:widowControl w:val="0"/>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 PAGE  \* MERGEFORMAT </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eastAsia="zh-CN"/>
                      </w:rPr>
                      <w:t>49</w:t>
                    </w:r>
                    <w:r>
                      <w:rPr>
                        <w:rFonts w:ascii="Times New Roman" w:hAnsi="Times New Roman" w:eastAsia="宋体" w:cs="Times New Roman"/>
                        <w:kern w:val="2"/>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399D">
    <w:pPr>
      <w:widowControl w:val="0"/>
      <w:kinsoku/>
      <w:autoSpaceDE/>
      <w:autoSpaceDN/>
      <w:adjustRightInd/>
      <w:snapToGrid/>
      <w:spacing w:line="440" w:lineRule="exact"/>
      <w:jc w:val="center"/>
      <w:textAlignment w:val="auto"/>
      <w:rPr>
        <w:rFonts w:hint="eastAsia" w:ascii="Times New Roman" w:hAnsi="Times New Roman" w:eastAsia="仿宋" w:cs="Times New Roman"/>
        <w:snapToGrid/>
        <w:kern w:val="2"/>
        <w:sz w:val="18"/>
        <w:szCs w:val="18"/>
        <w:lang w:eastAsia="zh-CN"/>
      </w:rPr>
    </w:pPr>
    <w:r>
      <w:rPr>
        <w:rFonts w:ascii="Times New Roman" w:hAnsi="Times New Roman" w:eastAsia="宋体" w:cs="Times New Roman"/>
        <w:snapToGrid/>
        <w:kern w:val="2"/>
        <w:sz w:val="18"/>
        <w:szCs w:val="24"/>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73689C">
                          <w:pPr>
                            <w:widowControl w:val="0"/>
                            <w:kinsoku/>
                            <w:autoSpaceDE/>
                            <w:autoSpaceDN/>
                            <w:adjustRightInd/>
                            <w:snapToGrid/>
                            <w:spacing w:line="440" w:lineRule="exact"/>
                            <w:jc w:val="center"/>
                            <w:textAlignment w:val="auto"/>
                            <w:rPr>
                              <w:rFonts w:ascii="Times New Roman" w:hAnsi="Times New Roman" w:eastAsia="宋体" w:cs="Times New Roman"/>
                              <w:snapToGrid/>
                              <w:kern w:val="2"/>
                              <w:sz w:val="32"/>
                              <w:szCs w:val="24"/>
                              <w:lang w:eastAsia="zh-CN"/>
                            </w:rPr>
                          </w:pPr>
                          <w:r>
                            <w:rPr>
                              <w:rFonts w:ascii="Times New Roman" w:hAnsi="Times New Roman" w:eastAsia="宋体" w:cs="Times New Roman"/>
                              <w:snapToGrid/>
                              <w:kern w:val="2"/>
                              <w:sz w:val="18"/>
                              <w:szCs w:val="18"/>
                              <w:lang w:eastAsia="zh-CN"/>
                            </w:rPr>
                            <w:fldChar w:fldCharType="begin"/>
                          </w:r>
                          <w:r>
                            <w:rPr>
                              <w:rFonts w:ascii="Times New Roman" w:hAnsi="Times New Roman" w:eastAsia="宋体" w:cs="Times New Roman"/>
                              <w:snapToGrid/>
                              <w:kern w:val="2"/>
                              <w:sz w:val="18"/>
                              <w:szCs w:val="18"/>
                              <w:lang w:eastAsia="zh-CN"/>
                            </w:rPr>
                            <w:instrText xml:space="preserve">PAGE   \* MERGEFORMAT</w:instrText>
                          </w:r>
                          <w:r>
                            <w:rPr>
                              <w:rFonts w:ascii="Times New Roman" w:hAnsi="Times New Roman" w:eastAsia="宋体" w:cs="Times New Roman"/>
                              <w:snapToGrid/>
                              <w:kern w:val="2"/>
                              <w:sz w:val="18"/>
                              <w:szCs w:val="18"/>
                              <w:lang w:eastAsia="zh-CN"/>
                            </w:rPr>
                            <w:fldChar w:fldCharType="separate"/>
                          </w:r>
                          <w:r>
                            <w:rPr>
                              <w:rFonts w:ascii="Times New Roman" w:hAnsi="Times New Roman" w:eastAsia="宋体" w:cs="Times New Roman"/>
                              <w:snapToGrid/>
                              <w:kern w:val="2"/>
                              <w:sz w:val="18"/>
                              <w:szCs w:val="18"/>
                              <w:lang w:val="zh-CN" w:eastAsia="zh-CN"/>
                            </w:rPr>
                            <w:t>51</w:t>
                          </w:r>
                          <w:r>
                            <w:rPr>
                              <w:rFonts w:ascii="Times New Roman" w:hAnsi="Times New Roman" w:eastAsia="宋体" w:cs="Times New Roman"/>
                              <w:snapToGrid/>
                              <w:kern w:val="2"/>
                              <w:sz w:val="18"/>
                              <w:szCs w:val="18"/>
                              <w:lang w:eastAsia="zh-CN"/>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3NC8oBAACbAwAADgAAAGRycy9lMm9Eb2MueG1srVNNrtMwEN4jcQfL&#10;e+q0I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L15R4rjFiV++f7v8+HX5+ZUs&#10;n2eB+gA15t0FzEzDGz/g2sx+QGfmPaho8xcZEYyjvOervHJIRORH69V6XWFIYGy+ID67fx4ipLfS&#10;W5KNhkacX5GVn95DGlPnlFzN+VttTJmhcX85EDN7WO597DFbadgPE6G9b8/Ip8fRN9ThplNi3jlU&#10;Nm/JbMTZ2M/GMUR96Moa5XoQXh8TNlF6yxVG2Kkwzqywm/YrL8Wf95J1/0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f3NC8oBAACbAwAADgAAAAAAAAABACAAAAAeAQAAZHJzL2Uyb0Rv&#10;Yy54bWxQSwUGAAAAAAYABgBZAQAAWgUAAAAA&#10;">
              <v:fill on="f" focussize="0,0"/>
              <v:stroke on="f"/>
              <v:imagedata o:title=""/>
              <o:lock v:ext="edit" aspectratio="f"/>
              <v:textbox inset="0mm,0mm,0mm,0mm" style="mso-fit-shape-to-text:t;">
                <w:txbxContent>
                  <w:p w14:paraId="6273689C">
                    <w:pPr>
                      <w:widowControl w:val="0"/>
                      <w:kinsoku/>
                      <w:autoSpaceDE/>
                      <w:autoSpaceDN/>
                      <w:adjustRightInd/>
                      <w:snapToGrid/>
                      <w:spacing w:line="440" w:lineRule="exact"/>
                      <w:jc w:val="center"/>
                      <w:textAlignment w:val="auto"/>
                      <w:rPr>
                        <w:rFonts w:ascii="Times New Roman" w:hAnsi="Times New Roman" w:eastAsia="宋体" w:cs="Times New Roman"/>
                        <w:snapToGrid/>
                        <w:kern w:val="2"/>
                        <w:sz w:val="32"/>
                        <w:szCs w:val="24"/>
                        <w:lang w:eastAsia="zh-CN"/>
                      </w:rPr>
                    </w:pPr>
                    <w:r>
                      <w:rPr>
                        <w:rFonts w:ascii="Times New Roman" w:hAnsi="Times New Roman" w:eastAsia="宋体" w:cs="Times New Roman"/>
                        <w:snapToGrid/>
                        <w:kern w:val="2"/>
                        <w:sz w:val="18"/>
                        <w:szCs w:val="18"/>
                        <w:lang w:eastAsia="zh-CN"/>
                      </w:rPr>
                      <w:fldChar w:fldCharType="begin"/>
                    </w:r>
                    <w:r>
                      <w:rPr>
                        <w:rFonts w:ascii="Times New Roman" w:hAnsi="Times New Roman" w:eastAsia="宋体" w:cs="Times New Roman"/>
                        <w:snapToGrid/>
                        <w:kern w:val="2"/>
                        <w:sz w:val="18"/>
                        <w:szCs w:val="18"/>
                        <w:lang w:eastAsia="zh-CN"/>
                      </w:rPr>
                      <w:instrText xml:space="preserve">PAGE   \* MERGEFORMAT</w:instrText>
                    </w:r>
                    <w:r>
                      <w:rPr>
                        <w:rFonts w:ascii="Times New Roman" w:hAnsi="Times New Roman" w:eastAsia="宋体" w:cs="Times New Roman"/>
                        <w:snapToGrid/>
                        <w:kern w:val="2"/>
                        <w:sz w:val="18"/>
                        <w:szCs w:val="18"/>
                        <w:lang w:eastAsia="zh-CN"/>
                      </w:rPr>
                      <w:fldChar w:fldCharType="separate"/>
                    </w:r>
                    <w:r>
                      <w:rPr>
                        <w:rFonts w:ascii="Times New Roman" w:hAnsi="Times New Roman" w:eastAsia="宋体" w:cs="Times New Roman"/>
                        <w:snapToGrid/>
                        <w:kern w:val="2"/>
                        <w:sz w:val="18"/>
                        <w:szCs w:val="18"/>
                        <w:lang w:val="zh-CN" w:eastAsia="zh-CN"/>
                      </w:rPr>
                      <w:t>51</w:t>
                    </w:r>
                    <w:r>
                      <w:rPr>
                        <w:rFonts w:ascii="Times New Roman" w:hAnsi="Times New Roman" w:eastAsia="宋体" w:cs="Times New Roman"/>
                        <w:snapToGrid/>
                        <w:kern w:val="2"/>
                        <w:sz w:val="18"/>
                        <w:szCs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274EB">
    <w:pPr>
      <w:widowControl w:val="0"/>
      <w:kinsoku/>
      <w:autoSpaceDE/>
      <w:autoSpaceDN/>
      <w:adjustRightInd/>
      <w:snapToGrid/>
      <w:spacing w:line="440" w:lineRule="exact"/>
      <w:jc w:val="center"/>
      <w:textAlignment w:val="auto"/>
      <w:rPr>
        <w:rFonts w:hint="eastAsia" w:ascii="Times New Roman" w:hAnsi="Times New Roman" w:eastAsia="仿宋" w:cs="Times New Roman"/>
        <w:snapToGrid/>
        <w:kern w:val="2"/>
        <w:sz w:val="18"/>
        <w:szCs w:val="18"/>
        <w:lang w:eastAsia="zh-CN"/>
      </w:rPr>
    </w:pPr>
    <w:r>
      <w:rPr>
        <w:rFonts w:ascii="Times New Roman" w:hAnsi="Times New Roman" w:eastAsia="宋体" w:cs="Times New Roman"/>
        <w:snapToGrid/>
        <w:kern w:val="2"/>
        <w:sz w:val="18"/>
        <w:szCs w:val="24"/>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088225">
                          <w:pPr>
                            <w:widowControl w:val="0"/>
                            <w:kinsoku/>
                            <w:autoSpaceDE/>
                            <w:autoSpaceDN/>
                            <w:adjustRightInd/>
                            <w:snapToGrid/>
                            <w:spacing w:line="440" w:lineRule="exact"/>
                            <w:jc w:val="center"/>
                            <w:textAlignment w:val="auto"/>
                            <w:rPr>
                              <w:rFonts w:ascii="Times New Roman" w:hAnsi="Times New Roman" w:eastAsia="宋体" w:cs="Times New Roman"/>
                              <w:snapToGrid/>
                              <w:kern w:val="2"/>
                              <w:sz w:val="32"/>
                              <w:szCs w:val="24"/>
                              <w:lang w:eastAsia="zh-CN"/>
                            </w:rPr>
                          </w:pPr>
                          <w:r>
                            <w:rPr>
                              <w:rFonts w:ascii="Times New Roman" w:hAnsi="Times New Roman" w:eastAsia="宋体" w:cs="Times New Roman"/>
                              <w:snapToGrid/>
                              <w:kern w:val="2"/>
                              <w:sz w:val="18"/>
                              <w:szCs w:val="18"/>
                              <w:lang w:eastAsia="zh-CN"/>
                            </w:rPr>
                            <w:fldChar w:fldCharType="begin"/>
                          </w:r>
                          <w:r>
                            <w:rPr>
                              <w:rFonts w:ascii="Times New Roman" w:hAnsi="Times New Roman" w:eastAsia="宋体" w:cs="Times New Roman"/>
                              <w:snapToGrid/>
                              <w:kern w:val="2"/>
                              <w:sz w:val="18"/>
                              <w:szCs w:val="18"/>
                              <w:lang w:eastAsia="zh-CN"/>
                            </w:rPr>
                            <w:instrText xml:space="preserve">PAGE   \* MERGEFORMAT</w:instrText>
                          </w:r>
                          <w:r>
                            <w:rPr>
                              <w:rFonts w:ascii="Times New Roman" w:hAnsi="Times New Roman" w:eastAsia="宋体" w:cs="Times New Roman"/>
                              <w:snapToGrid/>
                              <w:kern w:val="2"/>
                              <w:sz w:val="18"/>
                              <w:szCs w:val="18"/>
                              <w:lang w:eastAsia="zh-CN"/>
                            </w:rPr>
                            <w:fldChar w:fldCharType="separate"/>
                          </w:r>
                          <w:r>
                            <w:rPr>
                              <w:rFonts w:ascii="Times New Roman" w:hAnsi="Times New Roman" w:eastAsia="宋体" w:cs="Times New Roman"/>
                              <w:snapToGrid/>
                              <w:kern w:val="2"/>
                              <w:sz w:val="18"/>
                              <w:szCs w:val="18"/>
                              <w:lang w:val="zh-CN" w:eastAsia="zh-CN"/>
                            </w:rPr>
                            <w:t>56</w:t>
                          </w:r>
                          <w:r>
                            <w:rPr>
                              <w:rFonts w:ascii="Times New Roman" w:hAnsi="Times New Roman" w:eastAsia="宋体" w:cs="Times New Roman"/>
                              <w:snapToGrid/>
                              <w:kern w:val="2"/>
                              <w:sz w:val="18"/>
                              <w:szCs w:val="18"/>
                              <w:lang w:eastAsia="zh-CN"/>
                            </w:rP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2mh8oBAACb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XO3XGLE7/8+H75+fvy6xtZ&#10;3mSB+gA15t0HzEzDWz/g2sx+QGfmPaho8xcZEYyjvOervHJIRORH69V6XWFIYGy+ID57eB4ipHfS&#10;W5KNhkacX5GVnz5AGlPnlFzN+TttTJmhcX85EDN7WO597DFbadgPE6G9b8/Ip8fRN9ThplNi3jtU&#10;Nm/JbMTZ2M/GMUR96Moa5XoQ3hwTNlF6yxVG2Kkwzqywm/YrL8Xje8l6+Ke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tX2mh8oBAACbAwAADgAAAAAAAAABACAAAAAeAQAAZHJzL2Uyb0Rv&#10;Yy54bWxQSwUGAAAAAAYABgBZAQAAWgUAAAAA&#10;">
              <v:fill on="f" focussize="0,0"/>
              <v:stroke on="f"/>
              <v:imagedata o:title=""/>
              <o:lock v:ext="edit" aspectratio="f"/>
              <v:textbox inset="0mm,0mm,0mm,0mm" style="mso-fit-shape-to-text:t;">
                <w:txbxContent>
                  <w:p w14:paraId="43088225">
                    <w:pPr>
                      <w:widowControl w:val="0"/>
                      <w:kinsoku/>
                      <w:autoSpaceDE/>
                      <w:autoSpaceDN/>
                      <w:adjustRightInd/>
                      <w:snapToGrid/>
                      <w:spacing w:line="440" w:lineRule="exact"/>
                      <w:jc w:val="center"/>
                      <w:textAlignment w:val="auto"/>
                      <w:rPr>
                        <w:rFonts w:ascii="Times New Roman" w:hAnsi="Times New Roman" w:eastAsia="宋体" w:cs="Times New Roman"/>
                        <w:snapToGrid/>
                        <w:kern w:val="2"/>
                        <w:sz w:val="32"/>
                        <w:szCs w:val="24"/>
                        <w:lang w:eastAsia="zh-CN"/>
                      </w:rPr>
                    </w:pPr>
                    <w:r>
                      <w:rPr>
                        <w:rFonts w:ascii="Times New Roman" w:hAnsi="Times New Roman" w:eastAsia="宋体" w:cs="Times New Roman"/>
                        <w:snapToGrid/>
                        <w:kern w:val="2"/>
                        <w:sz w:val="18"/>
                        <w:szCs w:val="18"/>
                        <w:lang w:eastAsia="zh-CN"/>
                      </w:rPr>
                      <w:fldChar w:fldCharType="begin"/>
                    </w:r>
                    <w:r>
                      <w:rPr>
                        <w:rFonts w:ascii="Times New Roman" w:hAnsi="Times New Roman" w:eastAsia="宋体" w:cs="Times New Roman"/>
                        <w:snapToGrid/>
                        <w:kern w:val="2"/>
                        <w:sz w:val="18"/>
                        <w:szCs w:val="18"/>
                        <w:lang w:eastAsia="zh-CN"/>
                      </w:rPr>
                      <w:instrText xml:space="preserve">PAGE   \* MERGEFORMAT</w:instrText>
                    </w:r>
                    <w:r>
                      <w:rPr>
                        <w:rFonts w:ascii="Times New Roman" w:hAnsi="Times New Roman" w:eastAsia="宋体" w:cs="Times New Roman"/>
                        <w:snapToGrid/>
                        <w:kern w:val="2"/>
                        <w:sz w:val="18"/>
                        <w:szCs w:val="18"/>
                        <w:lang w:eastAsia="zh-CN"/>
                      </w:rPr>
                      <w:fldChar w:fldCharType="separate"/>
                    </w:r>
                    <w:r>
                      <w:rPr>
                        <w:rFonts w:ascii="Times New Roman" w:hAnsi="Times New Roman" w:eastAsia="宋体" w:cs="Times New Roman"/>
                        <w:snapToGrid/>
                        <w:kern w:val="2"/>
                        <w:sz w:val="18"/>
                        <w:szCs w:val="18"/>
                        <w:lang w:val="zh-CN" w:eastAsia="zh-CN"/>
                      </w:rPr>
                      <w:t>56</w:t>
                    </w:r>
                    <w:r>
                      <w:rPr>
                        <w:rFonts w:ascii="Times New Roman" w:hAnsi="Times New Roman" w:eastAsia="宋体" w:cs="Times New Roman"/>
                        <w:snapToGrid/>
                        <w:kern w:val="2"/>
                        <w:sz w:val="18"/>
                        <w:szCs w:val="1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65F1E">
    <w:pPr>
      <w:widowControl w:val="0"/>
      <w:kinsoku/>
      <w:autoSpaceDE/>
      <w:autoSpaceDN/>
      <w:adjustRightInd/>
      <w:snapToGrid/>
      <w:spacing w:line="440" w:lineRule="exact"/>
      <w:jc w:val="center"/>
      <w:textAlignment w:val="auto"/>
      <w:rPr>
        <w:rFonts w:hint="eastAsia" w:ascii="Times New Roman" w:hAnsi="Times New Roman" w:eastAsia="仿宋" w:cs="Times New Roman"/>
        <w:snapToGrid/>
        <w:kern w:val="2"/>
        <w:sz w:val="18"/>
        <w:szCs w:val="18"/>
        <w:lang w:eastAsia="zh-CN"/>
      </w:rPr>
    </w:pPr>
    <w:r>
      <w:rPr>
        <w:rFonts w:ascii="Times New Roman" w:hAnsi="Times New Roman" w:eastAsia="宋体" w:cs="Times New Roman"/>
        <w:snapToGrid/>
        <w:kern w:val="2"/>
        <w:sz w:val="18"/>
        <w:szCs w:val="24"/>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779A1F">
                          <w:pPr>
                            <w:widowControl w:val="0"/>
                            <w:kinsoku/>
                            <w:autoSpaceDE/>
                            <w:autoSpaceDN/>
                            <w:adjustRightInd/>
                            <w:snapToGrid/>
                            <w:spacing w:line="440" w:lineRule="exact"/>
                            <w:jc w:val="center"/>
                            <w:textAlignment w:val="auto"/>
                            <w:rPr>
                              <w:rFonts w:ascii="Times New Roman" w:hAnsi="Times New Roman" w:eastAsia="宋体" w:cs="Times New Roman"/>
                              <w:snapToGrid/>
                              <w:kern w:val="2"/>
                              <w:sz w:val="32"/>
                              <w:szCs w:val="24"/>
                              <w:lang w:eastAsia="zh-CN"/>
                            </w:rPr>
                          </w:pPr>
                          <w:r>
                            <w:rPr>
                              <w:rFonts w:ascii="Times New Roman" w:hAnsi="Times New Roman" w:eastAsia="宋体" w:cs="Times New Roman"/>
                              <w:snapToGrid/>
                              <w:kern w:val="2"/>
                              <w:sz w:val="18"/>
                              <w:szCs w:val="18"/>
                              <w:lang w:eastAsia="zh-CN"/>
                            </w:rPr>
                            <w:fldChar w:fldCharType="begin"/>
                          </w:r>
                          <w:r>
                            <w:rPr>
                              <w:rFonts w:ascii="Times New Roman" w:hAnsi="Times New Roman" w:eastAsia="宋体" w:cs="Times New Roman"/>
                              <w:snapToGrid/>
                              <w:kern w:val="2"/>
                              <w:sz w:val="18"/>
                              <w:szCs w:val="18"/>
                              <w:lang w:eastAsia="zh-CN"/>
                            </w:rPr>
                            <w:instrText xml:space="preserve">PAGE   \* MERGEFORMAT</w:instrText>
                          </w:r>
                          <w:r>
                            <w:rPr>
                              <w:rFonts w:ascii="Times New Roman" w:hAnsi="Times New Roman" w:eastAsia="宋体" w:cs="Times New Roman"/>
                              <w:snapToGrid/>
                              <w:kern w:val="2"/>
                              <w:sz w:val="18"/>
                              <w:szCs w:val="18"/>
                              <w:lang w:eastAsia="zh-CN"/>
                            </w:rPr>
                            <w:fldChar w:fldCharType="separate"/>
                          </w:r>
                          <w:r>
                            <w:rPr>
                              <w:rFonts w:ascii="Times New Roman" w:hAnsi="Times New Roman" w:eastAsia="宋体" w:cs="Times New Roman"/>
                              <w:snapToGrid/>
                              <w:kern w:val="2"/>
                              <w:sz w:val="18"/>
                              <w:szCs w:val="18"/>
                              <w:lang w:val="zh-CN" w:eastAsia="zh-CN"/>
                            </w:rPr>
                            <w:t>82</w:t>
                          </w:r>
                          <w:r>
                            <w:rPr>
                              <w:rFonts w:ascii="Times New Roman" w:hAnsi="Times New Roman" w:eastAsia="宋体" w:cs="Times New Roman"/>
                              <w:snapToGrid/>
                              <w:kern w:val="2"/>
                              <w:sz w:val="18"/>
                              <w:szCs w:val="18"/>
                              <w:lang w:eastAsia="zh-CN"/>
                            </w:rP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R5jVsoBAACbAwAADgAAAAAAAAABACAAAAAeAQAAZHJzL2Uyb0Rv&#10;Yy54bWxQSwUGAAAAAAYABgBZAQAAWgUAAAAA&#10;">
              <v:fill on="f" focussize="0,0"/>
              <v:stroke on="f"/>
              <v:imagedata o:title=""/>
              <o:lock v:ext="edit" aspectratio="f"/>
              <v:textbox inset="0mm,0mm,0mm,0mm" style="mso-fit-shape-to-text:t;">
                <w:txbxContent>
                  <w:p w14:paraId="28779A1F">
                    <w:pPr>
                      <w:widowControl w:val="0"/>
                      <w:kinsoku/>
                      <w:autoSpaceDE/>
                      <w:autoSpaceDN/>
                      <w:adjustRightInd/>
                      <w:snapToGrid/>
                      <w:spacing w:line="440" w:lineRule="exact"/>
                      <w:jc w:val="center"/>
                      <w:textAlignment w:val="auto"/>
                      <w:rPr>
                        <w:rFonts w:ascii="Times New Roman" w:hAnsi="Times New Roman" w:eastAsia="宋体" w:cs="Times New Roman"/>
                        <w:snapToGrid/>
                        <w:kern w:val="2"/>
                        <w:sz w:val="32"/>
                        <w:szCs w:val="24"/>
                        <w:lang w:eastAsia="zh-CN"/>
                      </w:rPr>
                    </w:pPr>
                    <w:r>
                      <w:rPr>
                        <w:rFonts w:ascii="Times New Roman" w:hAnsi="Times New Roman" w:eastAsia="宋体" w:cs="Times New Roman"/>
                        <w:snapToGrid/>
                        <w:kern w:val="2"/>
                        <w:sz w:val="18"/>
                        <w:szCs w:val="18"/>
                        <w:lang w:eastAsia="zh-CN"/>
                      </w:rPr>
                      <w:fldChar w:fldCharType="begin"/>
                    </w:r>
                    <w:r>
                      <w:rPr>
                        <w:rFonts w:ascii="Times New Roman" w:hAnsi="Times New Roman" w:eastAsia="宋体" w:cs="Times New Roman"/>
                        <w:snapToGrid/>
                        <w:kern w:val="2"/>
                        <w:sz w:val="18"/>
                        <w:szCs w:val="18"/>
                        <w:lang w:eastAsia="zh-CN"/>
                      </w:rPr>
                      <w:instrText xml:space="preserve">PAGE   \* MERGEFORMAT</w:instrText>
                    </w:r>
                    <w:r>
                      <w:rPr>
                        <w:rFonts w:ascii="Times New Roman" w:hAnsi="Times New Roman" w:eastAsia="宋体" w:cs="Times New Roman"/>
                        <w:snapToGrid/>
                        <w:kern w:val="2"/>
                        <w:sz w:val="18"/>
                        <w:szCs w:val="18"/>
                        <w:lang w:eastAsia="zh-CN"/>
                      </w:rPr>
                      <w:fldChar w:fldCharType="separate"/>
                    </w:r>
                    <w:r>
                      <w:rPr>
                        <w:rFonts w:ascii="Times New Roman" w:hAnsi="Times New Roman" w:eastAsia="宋体" w:cs="Times New Roman"/>
                        <w:snapToGrid/>
                        <w:kern w:val="2"/>
                        <w:sz w:val="18"/>
                        <w:szCs w:val="18"/>
                        <w:lang w:val="zh-CN" w:eastAsia="zh-CN"/>
                      </w:rPr>
                      <w:t>82</w:t>
                    </w:r>
                    <w:r>
                      <w:rPr>
                        <w:rFonts w:ascii="Times New Roman" w:hAnsi="Times New Roman" w:eastAsia="宋体" w:cs="Times New Roman"/>
                        <w:snapToGrid/>
                        <w:kern w:val="2"/>
                        <w:sz w:val="18"/>
                        <w:szCs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F9DD1">
    <w:pPr>
      <w:widowControl w:val="0"/>
      <w:snapToGrid/>
      <w:jc w:val="center"/>
      <w:rPr>
        <w:rFonts w:hint="eastAsia" w:ascii="Times New Roman" w:hAnsi="Times New Roman" w:eastAsia="仿宋" w:cs="Times New Roman"/>
        <w:kern w:val="2"/>
        <w:sz w:val="18"/>
        <w:szCs w:val="18"/>
        <w:lang w:eastAsia="zh-CN"/>
      </w:rPr>
    </w:pPr>
    <w:r>
      <w:rPr>
        <w:rFonts w:ascii="Times New Roman" w:hAnsi="Times New Roman" w:eastAsia="宋体" w:cs="Times New Roman"/>
        <w:kern w:val="2"/>
        <w:sz w:val="18"/>
        <w:szCs w:val="18"/>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7EE3A6">
                          <w:pPr>
                            <w:widowControl w:val="0"/>
                            <w:snapToGrid/>
                            <w:jc w:val="center"/>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PAGE   \* MERGEFORMAT</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val="zh-CN" w:eastAsia="zh-CN"/>
                            </w:rPr>
                            <w:t>104</w:t>
                          </w:r>
                          <w:r>
                            <w:rPr>
                              <w:rFonts w:ascii="Times New Roman" w:hAnsi="Times New Roman" w:eastAsia="宋体" w:cs="Times New Roman"/>
                              <w:kern w:val="2"/>
                              <w:lang w:eastAsia="zh-CN"/>
                            </w:rP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GwTS8oBAACb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oiSWG5z4+fu3849f559f&#10;ybJMAvUeKsx78pgZhzs34NrMfkBn4j20waQvMiIYR6zTRV45RCLSo3JVlgWGBMbmC+Kz5+c+QHwv&#10;nSHJqGnA+WVZ+fER4pg6p6Rq1t0rrfMMtf3LgZjJw1LvY4/JisNumAjtXHNCPj2OvqYWN50S/WBR&#10;WewvzkaYjd1sHHxQ+y6vUaoH/vYQsYncW6owwk6FcWaZ3bRfaSn+vOes539q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GwTS8oBAACbAwAADgAAAAAAAAABACAAAAAeAQAAZHJzL2Uyb0Rv&#10;Yy54bWxQSwUGAAAAAAYABgBZAQAAWgUAAAAA&#10;">
              <v:fill on="f" focussize="0,0"/>
              <v:stroke on="f"/>
              <v:imagedata o:title=""/>
              <o:lock v:ext="edit" aspectratio="f"/>
              <v:textbox inset="0mm,0mm,0mm,0mm" style="mso-fit-shape-to-text:t;">
                <w:txbxContent>
                  <w:p w14:paraId="727EE3A6">
                    <w:pPr>
                      <w:widowControl w:val="0"/>
                      <w:snapToGrid/>
                      <w:jc w:val="center"/>
                      <w:rPr>
                        <w:rFonts w:ascii="Times New Roman" w:hAnsi="Times New Roman" w:eastAsia="宋体" w:cs="Times New Roman"/>
                        <w:kern w:val="2"/>
                        <w:lang w:eastAsia="zh-CN"/>
                      </w:rPr>
                    </w:pPr>
                    <w:r>
                      <w:rPr>
                        <w:rFonts w:ascii="Times New Roman" w:hAnsi="Times New Roman" w:eastAsia="宋体" w:cs="Times New Roman"/>
                        <w:kern w:val="2"/>
                        <w:lang w:eastAsia="zh-CN"/>
                      </w:rPr>
                      <w:fldChar w:fldCharType="begin"/>
                    </w:r>
                    <w:r>
                      <w:rPr>
                        <w:rFonts w:ascii="Times New Roman" w:hAnsi="Times New Roman" w:eastAsia="宋体" w:cs="Times New Roman"/>
                        <w:kern w:val="2"/>
                        <w:lang w:eastAsia="zh-CN"/>
                      </w:rPr>
                      <w:instrText xml:space="preserve">PAGE   \* MERGEFORMAT</w:instrText>
                    </w:r>
                    <w:r>
                      <w:rPr>
                        <w:rFonts w:ascii="Times New Roman" w:hAnsi="Times New Roman" w:eastAsia="宋体" w:cs="Times New Roman"/>
                        <w:kern w:val="2"/>
                        <w:lang w:eastAsia="zh-CN"/>
                      </w:rPr>
                      <w:fldChar w:fldCharType="separate"/>
                    </w:r>
                    <w:r>
                      <w:rPr>
                        <w:rFonts w:ascii="Times New Roman" w:hAnsi="Times New Roman" w:eastAsia="宋体" w:cs="Times New Roman"/>
                        <w:kern w:val="2"/>
                        <w:lang w:val="zh-CN" w:eastAsia="zh-CN"/>
                      </w:rPr>
                      <w:t>104</w:t>
                    </w:r>
                    <w:r>
                      <w:rPr>
                        <w:rFonts w:ascii="Times New Roman" w:hAnsi="Times New Roman" w:eastAsia="宋体" w:cs="Times New Roman"/>
                        <w:kern w:val="2"/>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0FCF">
    <w:pPr>
      <w:widowControl w:val="0"/>
      <w:jc w:val="center"/>
      <w:rPr>
        <w:rFonts w:ascii="Times New Roman" w:hAnsi="Times New Roman" w:eastAsia="宋体" w:cs="Times New Roman"/>
        <w:kern w:val="2"/>
        <w:sz w:val="18"/>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A36A3">
    <w:pPr>
      <w:widowControl w:val="0"/>
      <w:jc w:val="center"/>
      <w:rPr>
        <w:rFonts w:ascii="Times New Roman" w:hAnsi="Times New Roman" w:eastAsia="宋体" w:cs="Times New Roman"/>
        <w:kern w:val="2"/>
        <w:sz w:val="18"/>
        <w:szCs w:val="18"/>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2C549">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ACB0">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0B95B"/>
    <w:multiLevelType w:val="singleLevel"/>
    <w:tmpl w:val="0B50B95B"/>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iYTc1YjA5NGZlNjFlYjBhNmE1MDM1OTA0MGI3NjgifQ=="/>
  </w:docVars>
  <w:rsids>
    <w:rsidRoot w:val="5D8A64B3"/>
    <w:rsid w:val="00006970"/>
    <w:rsid w:val="00175239"/>
    <w:rsid w:val="00213BDE"/>
    <w:rsid w:val="002B5169"/>
    <w:rsid w:val="00381885"/>
    <w:rsid w:val="003C4592"/>
    <w:rsid w:val="005E45F6"/>
    <w:rsid w:val="008D3E8E"/>
    <w:rsid w:val="00950031"/>
    <w:rsid w:val="009B7E13"/>
    <w:rsid w:val="00B1371B"/>
    <w:rsid w:val="00B22F4D"/>
    <w:rsid w:val="00B23CD3"/>
    <w:rsid w:val="00BB1D48"/>
    <w:rsid w:val="00D80F0D"/>
    <w:rsid w:val="00DF346B"/>
    <w:rsid w:val="00E9504F"/>
    <w:rsid w:val="00F2296E"/>
    <w:rsid w:val="00FE718A"/>
    <w:rsid w:val="0296048B"/>
    <w:rsid w:val="09176020"/>
    <w:rsid w:val="0AC81F49"/>
    <w:rsid w:val="0E1D46AC"/>
    <w:rsid w:val="0FAD2BEC"/>
    <w:rsid w:val="10196493"/>
    <w:rsid w:val="13B17782"/>
    <w:rsid w:val="13EC3D3F"/>
    <w:rsid w:val="15064E11"/>
    <w:rsid w:val="17EB5785"/>
    <w:rsid w:val="19612554"/>
    <w:rsid w:val="19D11E91"/>
    <w:rsid w:val="1C567F47"/>
    <w:rsid w:val="1CAC763D"/>
    <w:rsid w:val="202B0E9B"/>
    <w:rsid w:val="20875058"/>
    <w:rsid w:val="267635BF"/>
    <w:rsid w:val="277D6C1D"/>
    <w:rsid w:val="27E304B2"/>
    <w:rsid w:val="27F3369B"/>
    <w:rsid w:val="29166BDD"/>
    <w:rsid w:val="29754D4E"/>
    <w:rsid w:val="2CB82A3D"/>
    <w:rsid w:val="2DC647A7"/>
    <w:rsid w:val="2E7496EB"/>
    <w:rsid w:val="2F160BAC"/>
    <w:rsid w:val="2F45652D"/>
    <w:rsid w:val="2FD951A4"/>
    <w:rsid w:val="31FE57E6"/>
    <w:rsid w:val="36072DE4"/>
    <w:rsid w:val="36B3674F"/>
    <w:rsid w:val="36D8198B"/>
    <w:rsid w:val="37203291"/>
    <w:rsid w:val="376C68FE"/>
    <w:rsid w:val="383D01FC"/>
    <w:rsid w:val="393A1962"/>
    <w:rsid w:val="3A272FB0"/>
    <w:rsid w:val="3C140A7B"/>
    <w:rsid w:val="3D2A703F"/>
    <w:rsid w:val="3E6C3DE0"/>
    <w:rsid w:val="429513FF"/>
    <w:rsid w:val="4AC26B51"/>
    <w:rsid w:val="4BFC6C3C"/>
    <w:rsid w:val="4D64410A"/>
    <w:rsid w:val="4DCE0B69"/>
    <w:rsid w:val="4F08040B"/>
    <w:rsid w:val="4FB10BE2"/>
    <w:rsid w:val="514339FE"/>
    <w:rsid w:val="51A93855"/>
    <w:rsid w:val="52146C33"/>
    <w:rsid w:val="53162013"/>
    <w:rsid w:val="55E70D4B"/>
    <w:rsid w:val="58254B7B"/>
    <w:rsid w:val="5A530D45"/>
    <w:rsid w:val="5A6E263F"/>
    <w:rsid w:val="5C52680F"/>
    <w:rsid w:val="5CFB2F4E"/>
    <w:rsid w:val="5D8A64B3"/>
    <w:rsid w:val="5FBD6586"/>
    <w:rsid w:val="647A6C66"/>
    <w:rsid w:val="651D10B4"/>
    <w:rsid w:val="655C6080"/>
    <w:rsid w:val="676042AA"/>
    <w:rsid w:val="68D46099"/>
    <w:rsid w:val="68D9516A"/>
    <w:rsid w:val="6B5B458D"/>
    <w:rsid w:val="6F682EED"/>
    <w:rsid w:val="6F6F5D73"/>
    <w:rsid w:val="7118035A"/>
    <w:rsid w:val="71245578"/>
    <w:rsid w:val="71367B5F"/>
    <w:rsid w:val="71536CC7"/>
    <w:rsid w:val="73104006"/>
    <w:rsid w:val="74631D81"/>
    <w:rsid w:val="7486340E"/>
    <w:rsid w:val="749B322B"/>
    <w:rsid w:val="74A523B8"/>
    <w:rsid w:val="76920F93"/>
    <w:rsid w:val="77757ECA"/>
    <w:rsid w:val="77E2BAD2"/>
    <w:rsid w:val="7AA93949"/>
    <w:rsid w:val="7ACE4ED2"/>
    <w:rsid w:val="7AEF6D32"/>
    <w:rsid w:val="7B4B3F65"/>
    <w:rsid w:val="7BB3D7CB"/>
    <w:rsid w:val="7C5B1C56"/>
    <w:rsid w:val="7E560C57"/>
    <w:rsid w:val="7EDE408A"/>
    <w:rsid w:val="7FEDACB7"/>
    <w:rsid w:val="7FEFE2CF"/>
    <w:rsid w:val="9FEE333C"/>
    <w:rsid w:val="CEFB029C"/>
    <w:rsid w:val="EF2B83B1"/>
    <w:rsid w:val="F1F7B83D"/>
    <w:rsid w:val="FEFE4952"/>
    <w:rsid w:val="FFFE4E3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t">
      <v:fill on="f" focussize="0,0"/>
      <v:stroke color="#000001"/>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9"/>
    <w:qFormat/>
    <w:uiPriority w:val="0"/>
    <w:pPr>
      <w:keepNext/>
      <w:keepLines/>
      <w:spacing w:before="180" w:after="180" w:line="440" w:lineRule="exact"/>
      <w:outlineLvl w:val="0"/>
    </w:pPr>
    <w:rPr>
      <w:rFonts w:ascii="Times New Roman" w:hAnsi="Times New Roman" w:eastAsia="黑体" w:cs="Times New Roman"/>
      <w:b/>
      <w:bCs/>
      <w:snapToGrid/>
      <w:color w:val="auto"/>
      <w:kern w:val="44"/>
      <w:sz w:val="44"/>
      <w:szCs w:val="44"/>
    </w:rPr>
  </w:style>
  <w:style w:type="paragraph" w:styleId="3">
    <w:name w:val="heading 2"/>
    <w:basedOn w:val="1"/>
    <w:next w:val="1"/>
    <w:qFormat/>
    <w:uiPriority w:val="0"/>
    <w:pPr>
      <w:keepNext/>
      <w:keepLines/>
      <w:spacing w:before="120" w:beforeLines="0" w:beforeAutospacing="0" w:after="120" w:afterLines="0" w:afterAutospacing="0" w:line="440" w:lineRule="exact"/>
      <w:outlineLvl w:val="1"/>
    </w:pPr>
    <w:rPr>
      <w:rFonts w:ascii="Times New Roman" w:hAnsi="Times New Roman" w:eastAsia="黑体"/>
      <w:b/>
      <w:sz w:val="36"/>
    </w:rPr>
  </w:style>
  <w:style w:type="paragraph" w:styleId="4">
    <w:name w:val="heading 3"/>
    <w:basedOn w:val="1"/>
    <w:next w:val="1"/>
    <w:qFormat/>
    <w:uiPriority w:val="0"/>
    <w:pPr>
      <w:keepNext/>
      <w:keepLines/>
      <w:spacing w:before="60" w:beforeLines="0" w:beforeAutospacing="0" w:after="60" w:afterLines="0" w:afterAutospacing="0" w:line="440" w:lineRule="exact"/>
      <w:outlineLvl w:val="2"/>
    </w:pPr>
    <w:rPr>
      <w:rFonts w:ascii="Times New Roman" w:hAnsi="Times New Roman" w:eastAsia="黑体"/>
      <w:b/>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Style w:val="14"/>
      <w:tblCellMar>
        <w:top w:w="0" w:type="dxa"/>
        <w:left w:w="108" w:type="dxa"/>
        <w:bottom w:w="0" w:type="dxa"/>
        <w:right w:w="108" w:type="dxa"/>
      </w:tblCellMar>
    </w:tblPr>
  </w:style>
  <w:style w:type="paragraph" w:styleId="6">
    <w:name w:val="Body Text"/>
    <w:basedOn w:val="1"/>
    <w:semiHidden/>
    <w:qFormat/>
    <w:uiPriority w:val="0"/>
    <w:rPr>
      <w:rFonts w:ascii="仿宋" w:hAnsi="仿宋" w:eastAsia="仿宋" w:cs="仿宋"/>
      <w:sz w:val="34"/>
      <w:szCs w:val="34"/>
      <w:lang w:val="en-US" w:eastAsia="en-US" w:bidi="ar-SA"/>
    </w:rPr>
  </w:style>
  <w:style w:type="paragraph" w:styleId="7">
    <w:name w:val="toc 3"/>
    <w:basedOn w:val="1"/>
    <w:next w:val="1"/>
    <w:uiPriority w:val="0"/>
    <w:pPr>
      <w:ind w:left="840" w:leftChars="4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uiPriority w:val="0"/>
    <w:pPr>
      <w:spacing w:before="100" w:beforeAutospacing="1" w:after="100" w:afterAutospacing="1"/>
      <w:ind w:left="0" w:right="0"/>
      <w:jc w:val="left"/>
    </w:pPr>
    <w:rPr>
      <w:kern w:val="0"/>
      <w:sz w:val="24"/>
      <w:lang w:val="en-US" w:eastAsia="zh-CN" w:bidi="ar"/>
    </w:rPr>
  </w:style>
  <w:style w:type="table" w:styleId="15">
    <w:name w:val="Table Grid"/>
    <w:basedOn w:val="14"/>
    <w:uiPriority w:val="0"/>
    <w:pPr>
      <w:widowControl w:val="0"/>
      <w:jc w:val="both"/>
    </w:pPr>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character" w:customStyle="1" w:styleId="19">
    <w:name w:val="标题 1 Char"/>
    <w:link w:val="2"/>
    <w:qFormat/>
    <w:uiPriority w:val="0"/>
    <w:rPr>
      <w:rFonts w:ascii="Times New Roman" w:hAnsi="Times New Roman" w:eastAsia="黑体"/>
      <w:b/>
      <w:bCs/>
      <w:kern w:val="44"/>
      <w:sz w:val="44"/>
      <w:szCs w:val="44"/>
    </w:rPr>
  </w:style>
  <w:style w:type="paragraph" w:customStyle="1" w:styleId="20">
    <w:name w:val="_Style 7"/>
    <w:basedOn w:val="2"/>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21">
    <w:name w:val="TOC 标题1"/>
    <w:next w:val="1"/>
    <w:qFormat/>
    <w:uiPriority w:val="39"/>
    <w:pPr>
      <w:widowControl w:val="0"/>
      <w:tabs>
        <w:tab w:val="left" w:pos="1440"/>
        <w:tab w:val="left" w:pos="5670"/>
      </w:tabs>
      <w:adjustRightInd w:val="0"/>
      <w:snapToGrid w:val="0"/>
      <w:spacing w:line="276" w:lineRule="auto"/>
      <w:jc w:val="center"/>
    </w:pPr>
    <w:rPr>
      <w:rFonts w:ascii="仿宋" w:hAnsi="仿宋" w:eastAsia="仿宋"/>
      <w:bCs/>
      <w:color w:val="000000"/>
      <w:sz w:val="44"/>
      <w:szCs w:val="32"/>
      <w:lang w:val="en-US" w:eastAsia="zh-CN" w:bidi="ar-SA"/>
    </w:rPr>
  </w:style>
  <w:style w:type="paragraph" w:customStyle="1" w:styleId="22">
    <w:name w:val="T正文"/>
    <w:basedOn w:val="1"/>
    <w:uiPriority w:val="0"/>
    <w:pPr>
      <w:spacing w:line="580" w:lineRule="exact"/>
      <w:ind w:firstLine="880" w:firstLineChars="200"/>
    </w:pPr>
    <w:rPr>
      <w:rFonts w:ascii="Times New Roman" w:hAnsi="Times New Roman" w:eastAsia="仿宋"/>
    </w:rPr>
  </w:style>
  <w:style w:type="paragraph" w:customStyle="1" w:styleId="23">
    <w:name w:val="T表内文字"/>
    <w:basedOn w:val="24"/>
    <w:qFormat/>
    <w:uiPriority w:val="0"/>
    <w:pPr>
      <w:kinsoku w:val="0"/>
      <w:overflowPunct w:val="0"/>
      <w:snapToGrid w:val="0"/>
      <w:spacing w:line="240" w:lineRule="auto"/>
      <w:jc w:val="center"/>
    </w:pPr>
    <w:rPr>
      <w:rFonts w:ascii="Times New Roman" w:hAnsi="Times New Roman" w:eastAsia="宋体" w:cs="宋体"/>
      <w:bCs/>
      <w:sz w:val="21"/>
    </w:rPr>
  </w:style>
  <w:style w:type="paragraph" w:customStyle="1" w:styleId="24">
    <w:name w:val="Table Paragraph"/>
    <w:basedOn w:val="1"/>
    <w:qFormat/>
    <w:uiPriority w:val="1"/>
    <w:pPr>
      <w:autoSpaceDE w:val="0"/>
      <w:autoSpaceDN w:val="0"/>
      <w:adjustRightInd w:val="0"/>
      <w:jc w:val="left"/>
    </w:pPr>
    <w:rPr>
      <w:rFonts w:eastAsia="宋体"/>
      <w:kern w:val="0"/>
      <w:sz w:val="24"/>
      <w:szCs w:val="24"/>
    </w:rPr>
  </w:style>
  <w:style w:type="paragraph" w:customStyle="1" w:styleId="25">
    <w:name w:val="正文001"/>
    <w:basedOn w:val="1"/>
    <w:qFormat/>
    <w:uiPriority w:val="0"/>
    <w:pPr>
      <w:spacing w:before="60" w:line="420" w:lineRule="exact"/>
      <w:ind w:firstLine="482"/>
    </w:pPr>
    <w:rPr>
      <w:rFonts w:ascii="Calibri" w:hAnsi="Calibri" w:eastAsia="宋体" w:cs="Times New Roman"/>
      <w:sz w:val="24"/>
      <w:szCs w:val="24"/>
    </w:rPr>
  </w:style>
  <w:style w:type="paragraph" w:customStyle="1" w:styleId="26">
    <w:name w:val="正文01"/>
    <w:basedOn w:val="1"/>
    <w:qFormat/>
    <w:uiPriority w:val="0"/>
    <w:pPr>
      <w:spacing w:before="60" w:line="460" w:lineRule="exact"/>
      <w:ind w:firstLine="200" w:firstLineChars="200"/>
    </w:pPr>
    <w:rPr>
      <w:rFonts w:ascii="Calibri" w:hAnsi="Calibri" w:eastAsia="宋体" w:cs="Times New Roman"/>
      <w:sz w:val="24"/>
      <w:szCs w:val="24"/>
    </w:rPr>
  </w:style>
  <w:style w:type="character" w:customStyle="1" w:styleId="27">
    <w:name w:val="表格正文 Char"/>
    <w:link w:val="28"/>
    <w:qFormat/>
    <w:locked/>
    <w:uiPriority w:val="0"/>
    <w:rPr>
      <w:rFonts w:ascii="Calibri" w:hAnsi="Calibri" w:eastAsia="宋体" w:cs="Times New Roman"/>
      <w:sz w:val="21"/>
      <w:szCs w:val="21"/>
    </w:rPr>
  </w:style>
  <w:style w:type="paragraph" w:customStyle="1" w:styleId="28">
    <w:name w:val="表格正文"/>
    <w:basedOn w:val="1"/>
    <w:link w:val="27"/>
    <w:qFormat/>
    <w:uiPriority w:val="0"/>
    <w:pPr>
      <w:spacing w:line="360" w:lineRule="exact"/>
      <w:jc w:val="center"/>
    </w:pPr>
    <w:rPr>
      <w:rFonts w:ascii="Calibri" w:hAnsi="Calibri" w:eastAsia="宋体" w:cs="Times New Roman"/>
      <w:snapToGrid/>
      <w:color w:val="auto"/>
    </w:rPr>
  </w:style>
  <w:style w:type="paragraph" w:customStyle="1" w:styleId="29">
    <w:name w:val="正文_0"/>
    <w:qFormat/>
    <w:uiPriority w:val="0"/>
    <w:pPr>
      <w:widowControl w:val="0"/>
      <w:jc w:val="both"/>
    </w:pPr>
    <w:rPr>
      <w:rFonts w:ascii="Calibri" w:hAnsi="Calibri"/>
      <w:kern w:val="2"/>
      <w:sz w:val="21"/>
      <w:lang w:val="en-US" w:eastAsia="zh-CN" w:bidi="ar-SA"/>
    </w:rPr>
  </w:style>
  <w:style w:type="character" w:customStyle="1" w:styleId="30">
    <w:name w:val="font11"/>
    <w:basedOn w:val="16"/>
    <w:uiPriority w:val="0"/>
    <w:rPr>
      <w:rFonts w:hint="eastAsia" w:ascii="宋体" w:hAnsi="宋体" w:eastAsia="宋体" w:cs="宋体"/>
      <w:color w:val="3D3D3D"/>
      <w:sz w:val="24"/>
      <w:szCs w:val="24"/>
      <w:u w:val="none"/>
    </w:rPr>
  </w:style>
  <w:style w:type="character" w:customStyle="1" w:styleId="31">
    <w:name w:val="font21"/>
    <w:basedOn w:val="16"/>
    <w:uiPriority w:val="0"/>
    <w:rPr>
      <w:rFonts w:hint="eastAsia" w:ascii="宋体" w:hAnsi="宋体" w:eastAsia="宋体" w:cs="宋体"/>
      <w:color w:val="3D3D3D"/>
      <w:sz w:val="24"/>
      <w:szCs w:val="24"/>
      <w:u w:val="none"/>
    </w:rPr>
  </w:style>
  <w:style w:type="character" w:customStyle="1" w:styleId="32">
    <w:name w:val="font61"/>
    <w:basedOn w:val="16"/>
    <w:uiPriority w:val="0"/>
    <w:rPr>
      <w:rFonts w:hint="eastAsia" w:ascii="宋体" w:hAnsi="宋体" w:eastAsia="宋体" w:cs="宋体"/>
      <w:color w:val="3D3D3D"/>
      <w:sz w:val="15"/>
      <w:szCs w:val="15"/>
      <w:u w:val="none"/>
    </w:rPr>
  </w:style>
  <w:style w:type="character" w:customStyle="1" w:styleId="33">
    <w:name w:val="font71"/>
    <w:basedOn w:val="16"/>
    <w:uiPriority w:val="0"/>
    <w:rPr>
      <w:rFonts w:hint="eastAsia" w:ascii="宋体" w:hAnsi="宋体" w:eastAsia="宋体" w:cs="宋体"/>
      <w:color w:val="3D3D3D"/>
      <w:sz w:val="16"/>
      <w:szCs w:val="16"/>
      <w:u w:val="none"/>
    </w:rPr>
  </w:style>
  <w:style w:type="character" w:customStyle="1" w:styleId="34">
    <w:name w:val="font51"/>
    <w:basedOn w:val="16"/>
    <w:uiPriority w:val="0"/>
    <w:rPr>
      <w:rFonts w:hint="eastAsia" w:ascii="宋体" w:hAnsi="宋体" w:eastAsia="宋体" w:cs="宋体"/>
      <w:color w:val="3D3D3D"/>
      <w:sz w:val="22"/>
      <w:szCs w:val="22"/>
      <w:u w:val="none"/>
    </w:rPr>
  </w:style>
  <w:style w:type="character" w:customStyle="1" w:styleId="35">
    <w:name w:val="font31"/>
    <w:basedOn w:val="16"/>
    <w:uiPriority w:val="0"/>
    <w:rPr>
      <w:rFonts w:hint="eastAsia" w:ascii="宋体" w:hAnsi="宋体" w:eastAsia="宋体" w:cs="宋体"/>
      <w:color w:val="3D3D3D"/>
      <w:sz w:val="24"/>
      <w:szCs w:val="24"/>
      <w:u w:val="none"/>
    </w:rPr>
  </w:style>
  <w:style w:type="paragraph" w:customStyle="1" w:styleId="36">
    <w:name w:val="Default"/>
    <w:qFormat/>
    <w:uiPriority w:val="0"/>
    <w:pPr>
      <w:widowControl w:val="0"/>
      <w:autoSpaceDE w:val="0"/>
      <w:autoSpaceDN w:val="0"/>
      <w:adjustRightInd w:val="0"/>
    </w:pPr>
    <w:rPr>
      <w:rFonts w:ascii="宋体-方正超大字符集" w:hAnsi="Times New Roman" w:eastAsia="宋体-方正超大字符集" w:cs="宋体-方正超大字符集"/>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jpeg"/><Relationship Id="rId51" Type="http://schemas.openxmlformats.org/officeDocument/2006/relationships/image" Target="media/image19.jpeg"/><Relationship Id="rId50" Type="http://schemas.openxmlformats.org/officeDocument/2006/relationships/image" Target="media/image18.wmf"/><Relationship Id="rId5" Type="http://schemas.openxmlformats.org/officeDocument/2006/relationships/footer" Target="footer1.xml"/><Relationship Id="rId49" Type="http://schemas.openxmlformats.org/officeDocument/2006/relationships/oleObject" Target="embeddings/oleObject14.bin"/><Relationship Id="rId48" Type="http://schemas.openxmlformats.org/officeDocument/2006/relationships/image" Target="media/image17.wmf"/><Relationship Id="rId47" Type="http://schemas.openxmlformats.org/officeDocument/2006/relationships/oleObject" Target="embeddings/oleObject13.bin"/><Relationship Id="rId46" Type="http://schemas.openxmlformats.org/officeDocument/2006/relationships/image" Target="media/image16.wmf"/><Relationship Id="rId45" Type="http://schemas.openxmlformats.org/officeDocument/2006/relationships/oleObject" Target="embeddings/oleObject12.bin"/><Relationship Id="rId44" Type="http://schemas.openxmlformats.org/officeDocument/2006/relationships/image" Target="media/image15.wmf"/><Relationship Id="rId43" Type="http://schemas.openxmlformats.org/officeDocument/2006/relationships/oleObject" Target="embeddings/oleObject11.bin"/><Relationship Id="rId42" Type="http://schemas.openxmlformats.org/officeDocument/2006/relationships/image" Target="media/image14.wmf"/><Relationship Id="rId41" Type="http://schemas.openxmlformats.org/officeDocument/2006/relationships/oleObject" Target="embeddings/oleObject10.bin"/><Relationship Id="rId40" Type="http://schemas.openxmlformats.org/officeDocument/2006/relationships/image" Target="media/image13.wmf"/><Relationship Id="rId4" Type="http://schemas.openxmlformats.org/officeDocument/2006/relationships/header" Target="header2.xml"/><Relationship Id="rId39" Type="http://schemas.openxmlformats.org/officeDocument/2006/relationships/oleObject" Target="embeddings/oleObject9.bin"/><Relationship Id="rId38" Type="http://schemas.openxmlformats.org/officeDocument/2006/relationships/image" Target="media/image12.wmf"/><Relationship Id="rId37" Type="http://schemas.openxmlformats.org/officeDocument/2006/relationships/oleObject" Target="embeddings/oleObject8.bin"/><Relationship Id="rId36" Type="http://schemas.openxmlformats.org/officeDocument/2006/relationships/image" Target="media/image11.wmf"/><Relationship Id="rId35" Type="http://schemas.openxmlformats.org/officeDocument/2006/relationships/oleObject" Target="embeddings/oleObject7.bin"/><Relationship Id="rId34" Type="http://schemas.openxmlformats.org/officeDocument/2006/relationships/image" Target="media/image10.wmf"/><Relationship Id="rId33" Type="http://schemas.openxmlformats.org/officeDocument/2006/relationships/oleObject" Target="embeddings/oleObject6.bin"/><Relationship Id="rId32" Type="http://schemas.openxmlformats.org/officeDocument/2006/relationships/image" Target="media/image9.wmf"/><Relationship Id="rId31" Type="http://schemas.openxmlformats.org/officeDocument/2006/relationships/oleObject" Target="embeddings/oleObject5.bin"/><Relationship Id="rId30" Type="http://schemas.openxmlformats.org/officeDocument/2006/relationships/image" Target="media/image8.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7.wmf"/><Relationship Id="rId27" Type="http://schemas.openxmlformats.org/officeDocument/2006/relationships/oleObject" Target="embeddings/oleObject3.bin"/><Relationship Id="rId26" Type="http://schemas.openxmlformats.org/officeDocument/2006/relationships/image" Target="media/image6.wmf"/><Relationship Id="rId25" Type="http://schemas.openxmlformats.org/officeDocument/2006/relationships/oleObject" Target="embeddings/oleObject2.bin"/><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81</Pages>
  <Words>2231</Words>
  <Characters>2398</Characters>
  <Lines>489</Lines>
  <Paragraphs>137</Paragraphs>
  <TotalTime>9</TotalTime>
  <ScaleCrop>false</ScaleCrop>
  <LinksUpToDate>false</LinksUpToDate>
  <CharactersWithSpaces>2543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2024-07-10T03:29:00Z</dcterms:created>
  <dc:creator>義</dc:creator>
  <cp:lastModifiedBy>Administrator</cp:lastModifiedBy>
  <cp:lastPrinted>2024-11-01T00:05:38Z</cp:lastPrinted>
  <dcterms:modified xsi:type="dcterms:W3CDTF">2024-11-01T01:38:27Z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E8078AFA93A74B1CBA29B1FFE9299E27_13</vt:lpwstr>
  </property>
</Properties>
</file>