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A146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黑体" w:hAnsi="黑体" w:eastAsia="黑体" w:cs="黑体"/>
          <w:sz w:val="32"/>
          <w:szCs w:val="32"/>
          <w:lang w:val="en-US" w:eastAsia="zh-CN"/>
        </w:rPr>
      </w:pPr>
      <w:bookmarkStart w:id="22"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E60463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44"/>
          <w:szCs w:val="44"/>
          <w:highlight w:val="none"/>
          <w:lang w:eastAsia="zh-CN"/>
        </w:rPr>
      </w:pPr>
      <w:r>
        <w:rPr>
          <w:rFonts w:hint="default" w:ascii="Times New Roman" w:hAnsi="Times New Roman" w:eastAsia="黑体" w:cs="Times New Roman"/>
          <w:sz w:val="44"/>
          <w:szCs w:val="44"/>
          <w:highlight w:val="none"/>
        </w:rPr>
        <w:t>株洲市</w:t>
      </w:r>
      <w:r>
        <w:rPr>
          <w:rFonts w:hint="default" w:ascii="Times New Roman" w:hAnsi="Times New Roman" w:eastAsia="黑体" w:cs="Times New Roman"/>
          <w:sz w:val="44"/>
          <w:szCs w:val="44"/>
          <w:highlight w:val="none"/>
          <w:lang w:eastAsia="zh-CN"/>
        </w:rPr>
        <w:t>农业产业高质量发展资金</w:t>
      </w:r>
    </w:p>
    <w:p w14:paraId="2B2F19CD">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黑体" w:cs="Times New Roman"/>
          <w:sz w:val="44"/>
          <w:szCs w:val="44"/>
          <w:highlight w:val="none"/>
          <w:lang w:eastAsia="zh-CN"/>
        </w:rPr>
      </w:pPr>
      <w:r>
        <w:rPr>
          <w:rFonts w:hint="default" w:ascii="Times New Roman" w:hAnsi="Times New Roman" w:eastAsia="黑体" w:cs="Times New Roman"/>
          <w:sz w:val="44"/>
          <w:szCs w:val="44"/>
          <w:highlight w:val="none"/>
          <w:lang w:eastAsia="zh-CN"/>
        </w:rPr>
        <w:t>管理办法</w:t>
      </w:r>
    </w:p>
    <w:bookmarkEnd w:id="22"/>
    <w:p w14:paraId="39A85D04">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Times New Roman" w:hAnsi="Times New Roman" w:eastAsia="仿宋_GB2312" w:cs="Times New Roman"/>
          <w:sz w:val="30"/>
          <w:szCs w:val="30"/>
          <w:highlight w:val="none"/>
          <w:lang w:val="en"/>
        </w:rPr>
      </w:pPr>
      <w:r>
        <w:rPr>
          <w:rFonts w:hint="default" w:ascii="Times New Roman" w:hAnsi="Times New Roman" w:eastAsia="华文楷体" w:cs="Times New Roman"/>
          <w:sz w:val="30"/>
          <w:szCs w:val="30"/>
          <w:highlight w:val="none"/>
          <w:lang w:val="en"/>
        </w:rPr>
        <w:t>(</w:t>
      </w:r>
      <w:r>
        <w:rPr>
          <w:rFonts w:hint="default" w:ascii="Times New Roman" w:hAnsi="Times New Roman" w:eastAsia="华文楷体" w:cs="Times New Roman"/>
          <w:sz w:val="30"/>
          <w:szCs w:val="30"/>
          <w:highlight w:val="none"/>
          <w:lang w:val="en" w:eastAsia="zh-CN"/>
        </w:rPr>
        <w:t>征求意见稿</w:t>
      </w:r>
      <w:r>
        <w:rPr>
          <w:rFonts w:hint="default" w:ascii="Times New Roman" w:hAnsi="Times New Roman" w:eastAsia="华文楷体" w:cs="Times New Roman"/>
          <w:sz w:val="30"/>
          <w:szCs w:val="30"/>
          <w:highlight w:val="none"/>
          <w:lang w:val="en"/>
        </w:rPr>
        <w:t>)</w:t>
      </w:r>
    </w:p>
    <w:p w14:paraId="1F80E5A3">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textAlignment w:val="auto"/>
        <w:rPr>
          <w:rFonts w:hint="default" w:ascii="Times New Roman" w:hAnsi="Times New Roman" w:cs="Times New Roman"/>
          <w:b/>
          <w:bCs/>
          <w:sz w:val="32"/>
          <w:szCs w:val="32"/>
          <w:highlight w:val="none"/>
        </w:rPr>
      </w:pPr>
    </w:p>
    <w:p w14:paraId="66D4C3D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为加强和规范农业产业高质量发展资金管理，提高资金使用绩效，推动农业产业高质量发展，服务</w:t>
      </w:r>
      <w:r>
        <w:rPr>
          <w:rFonts w:hint="default" w:ascii="Times New Roman" w:hAnsi="Times New Roman" w:eastAsia="仿宋_GB2312" w:cs="Times New Roman"/>
          <w:i w:val="0"/>
          <w:iCs w:val="0"/>
          <w:caps w:val="0"/>
          <w:color w:val="000000"/>
          <w:spacing w:val="0"/>
          <w:kern w:val="2"/>
          <w:sz w:val="32"/>
          <w:szCs w:val="32"/>
          <w:highlight w:val="none"/>
          <w:shd w:val="clear" w:color="auto" w:fill="FFFFFF"/>
          <w:lang w:bidi="ar-SA"/>
        </w:rPr>
        <w:t>乡村振兴战略</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根据《中华人民共和国预算法》《株洲市人民政府办公室关于印发株洲市市本级财政专项资金分配审批管理办法的通知》（株政办﹝2020﹞11号）、《株洲市农业农村局株洲市财政局关于印发&lt;株洲市市本级乡村振兴专项资金使用管理办法&gt;的通知》</w:t>
      </w:r>
      <w:r>
        <w:rPr>
          <w:rFonts w:hint="default" w:ascii="Times New Roman" w:hAnsi="Times New Roman" w:eastAsia="仿宋_GB2312" w:cs="Times New Roman"/>
          <w:color w:val="000000"/>
          <w:kern w:val="2"/>
          <w:sz w:val="32"/>
          <w:szCs w:val="32"/>
          <w:highlight w:val="none"/>
          <w:shd w:val="clear" w:color="auto" w:fill="auto"/>
          <w:lang w:eastAsia="zh-CN" w:bidi="ar-SA"/>
        </w:rPr>
        <w:t>（株农联</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w:t>
      </w:r>
      <w:r>
        <w:rPr>
          <w:rFonts w:hint="default" w:ascii="Times New Roman" w:hAnsi="Times New Roman" w:eastAsia="仿宋_GB2312" w:cs="Times New Roman"/>
          <w:color w:val="000000"/>
          <w:kern w:val="2"/>
          <w:sz w:val="32"/>
          <w:szCs w:val="32"/>
          <w:highlight w:val="none"/>
          <w:shd w:val="clear" w:color="auto" w:fill="auto"/>
          <w:lang w:val="en-US" w:eastAsia="zh-CN" w:bidi="ar-SA"/>
        </w:rPr>
        <w:t>2021</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w:t>
      </w:r>
      <w:r>
        <w:rPr>
          <w:rFonts w:hint="default" w:ascii="Times New Roman" w:hAnsi="Times New Roman" w:eastAsia="仿宋_GB2312" w:cs="Times New Roman"/>
          <w:color w:val="000000"/>
          <w:kern w:val="2"/>
          <w:sz w:val="32"/>
          <w:szCs w:val="32"/>
          <w:highlight w:val="none"/>
          <w:shd w:val="clear" w:color="auto" w:fill="auto"/>
          <w:lang w:val="en-US" w:eastAsia="zh-CN" w:bidi="ar-SA"/>
        </w:rPr>
        <w:t>24号</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等法律法规和制度规定，特制定本</w:t>
      </w:r>
      <w:r>
        <w:rPr>
          <w:rFonts w:hint="eastAsia"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办法</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w:t>
      </w:r>
    </w:p>
    <w:p w14:paraId="2E44EECE">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黑体" w:cs="Times New Roman"/>
          <w:b w:val="0"/>
          <w:bCs w:val="0"/>
          <w:color w:val="000000"/>
          <w:sz w:val="32"/>
          <w:szCs w:val="32"/>
          <w:highlight w:val="none"/>
          <w:lang w:eastAsia="zh-CN"/>
        </w:rPr>
      </w:pPr>
      <w:r>
        <w:rPr>
          <w:rFonts w:hint="default" w:ascii="Times New Roman" w:hAnsi="Times New Roman" w:eastAsia="黑体" w:cs="Times New Roman"/>
          <w:b w:val="0"/>
          <w:bCs w:val="0"/>
          <w:color w:val="000000"/>
          <w:sz w:val="32"/>
          <w:szCs w:val="32"/>
          <w:highlight w:val="none"/>
          <w:lang w:eastAsia="zh-CN"/>
        </w:rPr>
        <w:t>一、总则</w:t>
      </w:r>
    </w:p>
    <w:p w14:paraId="5F65C5C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pPr>
      <w:r>
        <w:rPr>
          <w:rFonts w:hint="default" w:ascii="Times New Roman" w:hAnsi="Times New Roman" w:eastAsia="仿宋_GB2312" w:cs="Times New Roman"/>
          <w:b/>
          <w:bCs/>
          <w:color w:val="000000"/>
          <w:kern w:val="2"/>
          <w:sz w:val="32"/>
          <w:szCs w:val="32"/>
          <w:highlight w:val="none"/>
          <w:lang w:bidi="ar-SA"/>
        </w:rPr>
        <w:t>第</w:t>
      </w:r>
      <w:r>
        <w:rPr>
          <w:rFonts w:hint="default" w:ascii="Times New Roman" w:hAnsi="Times New Roman" w:eastAsia="仿宋_GB2312" w:cs="Times New Roman"/>
          <w:b/>
          <w:bCs/>
          <w:color w:val="000000"/>
          <w:kern w:val="2"/>
          <w:sz w:val="32"/>
          <w:szCs w:val="32"/>
          <w:highlight w:val="none"/>
          <w:lang w:eastAsia="zh-CN" w:bidi="ar-SA"/>
        </w:rPr>
        <w:t>一</w:t>
      </w:r>
      <w:r>
        <w:rPr>
          <w:rFonts w:hint="default" w:ascii="Times New Roman" w:hAnsi="Times New Roman" w:eastAsia="仿宋_GB2312" w:cs="Times New Roman"/>
          <w:b/>
          <w:bCs/>
          <w:color w:val="000000"/>
          <w:kern w:val="2"/>
          <w:sz w:val="32"/>
          <w:szCs w:val="32"/>
          <w:highlight w:val="none"/>
          <w:lang w:bidi="ar-SA"/>
        </w:rPr>
        <w:t>条</w:t>
      </w:r>
      <w:r>
        <w:rPr>
          <w:rFonts w:hint="default" w:ascii="Times New Roman" w:hAnsi="Times New Roman" w:eastAsia="仿宋_GB2312" w:cs="Times New Roman"/>
          <w:b w:val="0"/>
          <w:bCs w:val="0"/>
          <w:color w:val="000000"/>
          <w:kern w:val="2"/>
          <w:sz w:val="32"/>
          <w:szCs w:val="32"/>
          <w:highlight w:val="none"/>
          <w:lang w:val="en-US" w:eastAsia="zh-CN" w:bidi="ar-SA"/>
        </w:rPr>
        <w:t xml:space="preserve"> </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本办法所称农业产业高质量发展资金（以下简称“专项资金”）是指</w:t>
      </w:r>
      <w:r>
        <w:rPr>
          <w:rFonts w:hint="default" w:ascii="Times New Roman" w:hAnsi="Times New Roman" w:eastAsia="仿宋_GB2312" w:cs="Times New Roman"/>
          <w:color w:val="000000"/>
          <w:kern w:val="2"/>
          <w:sz w:val="32"/>
          <w:szCs w:val="32"/>
          <w:highlight w:val="none"/>
          <w:shd w:val="clear" w:color="auto" w:fill="auto"/>
          <w:lang w:val="en-US" w:eastAsia="zh-CN" w:bidi="ar-SA"/>
        </w:rPr>
        <w:t>由市本级财政年度预算安排的</w:t>
      </w:r>
      <w:r>
        <w:rPr>
          <w:rFonts w:hint="default" w:ascii="Times New Roman" w:hAnsi="Times New Roman" w:eastAsia="仿宋_GB2312" w:cs="Times New Roman"/>
          <w:color w:val="000000"/>
          <w:kern w:val="2"/>
          <w:sz w:val="32"/>
          <w:szCs w:val="32"/>
          <w:highlight w:val="none"/>
          <w:shd w:val="clear" w:color="auto" w:fill="auto"/>
          <w:lang w:eastAsia="zh-CN" w:bidi="ar-SA"/>
        </w:rPr>
        <w:t>乡村振兴专项资金中用于支持农业产业高质量发展的资金</w:t>
      </w:r>
      <w:r>
        <w:rPr>
          <w:rFonts w:hint="default" w:ascii="Times New Roman" w:hAnsi="Times New Roman" w:eastAsia="仿宋_GB2312" w:cs="Times New Roman"/>
          <w:color w:val="000000"/>
          <w:kern w:val="2"/>
          <w:sz w:val="32"/>
          <w:szCs w:val="32"/>
          <w:highlight w:val="none"/>
          <w:shd w:val="clear" w:color="auto" w:fill="auto"/>
          <w:lang w:val="en-US" w:eastAsia="zh-CN" w:bidi="ar-SA"/>
        </w:rPr>
        <w:t>，主要</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用于我市重要农产品稳产保供，重点农业产业链发展完善，特色农产品品牌建设推广、新型主体培育等工作。其中对重点农业产业链的支持，应在对整个产业链开展分析诊断的基础上进行补链延链，补短扶强。对于市场供应充足、市场竞争充分、不具备地方优势的农业产业不在本专项资金支持范围。</w:t>
      </w:r>
    </w:p>
    <w:p w14:paraId="3BB07BAA">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bCs/>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 xml:space="preserve">第二条 </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专项资金</w:t>
      </w:r>
      <w:r>
        <w:rPr>
          <w:rFonts w:hint="default" w:ascii="Times New Roman" w:hAnsi="Times New Roman" w:eastAsia="仿宋_GB2312" w:cs="Times New Roman"/>
          <w:i w:val="0"/>
          <w:caps w:val="0"/>
          <w:color w:val="000000"/>
          <w:spacing w:val="0"/>
          <w:sz w:val="32"/>
          <w:szCs w:val="32"/>
          <w:highlight w:val="none"/>
          <w:shd w:val="clear" w:color="auto" w:fill="FFFFFF"/>
        </w:rPr>
        <w:t>实施期限原则上</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为</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三年</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实施同一项目的农业经营主体</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在三年内</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不得重复申报</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w:t>
      </w:r>
      <w:r>
        <w:rPr>
          <w:rFonts w:hint="default" w:ascii="Times New Roman" w:hAnsi="Times New Roman" w:eastAsia="仿宋_GB2312" w:cs="Times New Roman"/>
          <w:i w:val="0"/>
          <w:caps w:val="0"/>
          <w:color w:val="000000"/>
          <w:spacing w:val="0"/>
          <w:kern w:val="2"/>
          <w:sz w:val="32"/>
          <w:szCs w:val="32"/>
          <w:highlight w:val="none"/>
          <w:shd w:val="clear" w:color="auto" w:fill="FFFFFF"/>
          <w:lang w:val="en-US" w:eastAsia="zh-CN" w:bidi="ar-SA"/>
        </w:rPr>
        <w:t>，</w:t>
      </w:r>
      <w:r>
        <w:rPr>
          <w:rFonts w:hint="default" w:ascii="Times New Roman" w:hAnsi="Times New Roman" w:eastAsia="仿宋_GB2312" w:cs="Times New Roman"/>
          <w:color w:val="000000"/>
          <w:kern w:val="2"/>
          <w:sz w:val="32"/>
          <w:szCs w:val="32"/>
          <w:highlight w:val="none"/>
          <w:shd w:val="clear" w:color="auto" w:fill="FFFFFF"/>
          <w:lang w:bidi="ar-SA"/>
        </w:rPr>
        <w:t>试行一年</w:t>
      </w:r>
      <w:r>
        <w:rPr>
          <w:rFonts w:hint="default" w:ascii="Times New Roman" w:hAnsi="Times New Roman" w:eastAsia="仿宋_GB2312" w:cs="Times New Roman"/>
          <w:color w:val="000000"/>
          <w:kern w:val="2"/>
          <w:sz w:val="32"/>
          <w:szCs w:val="32"/>
          <w:highlight w:val="none"/>
          <w:shd w:val="clear" w:color="auto" w:fill="FFFFFF"/>
          <w:lang w:eastAsia="zh-CN" w:bidi="ar-SA"/>
        </w:rPr>
        <w:t>，</w:t>
      </w:r>
      <w:r>
        <w:rPr>
          <w:rFonts w:hint="default" w:ascii="Times New Roman" w:hAnsi="Times New Roman" w:eastAsia="仿宋_GB2312" w:cs="Times New Roman"/>
          <w:i w:val="0"/>
          <w:caps w:val="0"/>
          <w:color w:val="000000"/>
          <w:spacing w:val="0"/>
          <w:sz w:val="32"/>
          <w:szCs w:val="32"/>
          <w:highlight w:val="none"/>
          <w:shd w:val="clear" w:color="auto" w:fill="FFFFFF"/>
        </w:rPr>
        <w:t>到期后，</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市</w:t>
      </w:r>
      <w:r>
        <w:rPr>
          <w:rFonts w:hint="default" w:ascii="Times New Roman" w:hAnsi="Times New Roman" w:eastAsia="仿宋_GB2312" w:cs="Times New Roman"/>
          <w:i w:val="0"/>
          <w:caps w:val="0"/>
          <w:color w:val="000000"/>
          <w:spacing w:val="0"/>
          <w:sz w:val="32"/>
          <w:szCs w:val="32"/>
          <w:highlight w:val="none"/>
          <w:shd w:val="clear" w:color="auto" w:fill="FFFFFF"/>
        </w:rPr>
        <w:t>农业农村</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局</w:t>
      </w:r>
      <w:r>
        <w:rPr>
          <w:rFonts w:hint="default" w:ascii="Times New Roman" w:hAnsi="Times New Roman" w:eastAsia="仿宋_GB2312" w:cs="Times New Roman"/>
          <w:i w:val="0"/>
          <w:caps w:val="0"/>
          <w:color w:val="000000"/>
          <w:spacing w:val="0"/>
          <w:sz w:val="32"/>
          <w:szCs w:val="32"/>
          <w:highlight w:val="none"/>
          <w:shd w:val="clear" w:color="auto" w:fill="FFFFFF"/>
        </w:rPr>
        <w:t>会同</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市</w:t>
      </w:r>
      <w:r>
        <w:rPr>
          <w:rFonts w:hint="default" w:ascii="Times New Roman" w:hAnsi="Times New Roman" w:eastAsia="仿宋_GB2312" w:cs="Times New Roman"/>
          <w:i w:val="0"/>
          <w:caps w:val="0"/>
          <w:color w:val="000000"/>
          <w:spacing w:val="0"/>
          <w:sz w:val="32"/>
          <w:szCs w:val="32"/>
          <w:highlight w:val="none"/>
          <w:shd w:val="clear" w:color="auto" w:fill="FFFFFF"/>
        </w:rPr>
        <w:t>财政</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局</w:t>
      </w:r>
      <w:r>
        <w:rPr>
          <w:rFonts w:hint="default" w:ascii="Times New Roman" w:hAnsi="Times New Roman" w:eastAsia="仿宋_GB2312" w:cs="Times New Roman"/>
          <w:i w:val="0"/>
          <w:caps w:val="0"/>
          <w:color w:val="000000"/>
          <w:spacing w:val="0"/>
          <w:sz w:val="32"/>
          <w:szCs w:val="32"/>
          <w:highlight w:val="none"/>
          <w:shd w:val="clear" w:color="auto" w:fill="FFFFFF"/>
        </w:rPr>
        <w:t>对实施总体情况开展绩效评价，并根据评价结果确定</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专项资金</w:t>
      </w:r>
      <w:r>
        <w:rPr>
          <w:rFonts w:hint="default" w:ascii="Times New Roman" w:hAnsi="Times New Roman" w:eastAsia="仿宋_GB2312" w:cs="Times New Roman"/>
          <w:i w:val="0"/>
          <w:caps w:val="0"/>
          <w:color w:val="000000"/>
          <w:spacing w:val="0"/>
          <w:sz w:val="32"/>
          <w:szCs w:val="32"/>
          <w:highlight w:val="none"/>
          <w:shd w:val="clear" w:color="auto" w:fill="FFFFFF"/>
        </w:rPr>
        <w:t>及相关支持政策保留、调整或取消。</w:t>
      </w:r>
    </w:p>
    <w:p w14:paraId="116D97CC">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color w:val="000000"/>
          <w:kern w:val="2"/>
          <w:sz w:val="32"/>
          <w:szCs w:val="32"/>
          <w:highlight w:val="none"/>
          <w:lang w:bidi="ar-SA"/>
        </w:rPr>
      </w:pPr>
      <w:r>
        <w:rPr>
          <w:rFonts w:hint="default" w:ascii="Times New Roman" w:hAnsi="Times New Roman" w:eastAsia="仿宋_GB2312" w:cs="Times New Roman"/>
          <w:b/>
          <w:bCs/>
          <w:color w:val="000000"/>
          <w:kern w:val="2"/>
          <w:sz w:val="32"/>
          <w:szCs w:val="32"/>
          <w:highlight w:val="none"/>
          <w:lang w:bidi="ar-SA"/>
        </w:rPr>
        <w:t>第</w:t>
      </w:r>
      <w:r>
        <w:rPr>
          <w:rFonts w:hint="default" w:ascii="Times New Roman" w:hAnsi="Times New Roman" w:eastAsia="仿宋_GB2312" w:cs="Times New Roman"/>
          <w:b/>
          <w:bCs/>
          <w:color w:val="000000"/>
          <w:kern w:val="2"/>
          <w:sz w:val="32"/>
          <w:szCs w:val="32"/>
          <w:highlight w:val="none"/>
          <w:lang w:eastAsia="zh-CN" w:bidi="ar-SA"/>
        </w:rPr>
        <w:t>三</w:t>
      </w:r>
      <w:r>
        <w:rPr>
          <w:rFonts w:hint="default" w:ascii="Times New Roman" w:hAnsi="Times New Roman" w:eastAsia="仿宋_GB2312" w:cs="Times New Roman"/>
          <w:b/>
          <w:bCs/>
          <w:color w:val="000000"/>
          <w:kern w:val="2"/>
          <w:sz w:val="32"/>
          <w:szCs w:val="32"/>
          <w:highlight w:val="none"/>
          <w:lang w:bidi="ar-SA"/>
        </w:rPr>
        <w:t>条</w:t>
      </w:r>
      <w:r>
        <w:rPr>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专项资金</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由</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市</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农业农村</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局</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会同</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市</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财政</w:t>
      </w:r>
      <w:r>
        <w:rPr>
          <w:rFonts w:hint="default" w:ascii="Times New Roman" w:hAnsi="Times New Roman" w:eastAsia="仿宋_GB2312" w:cs="Times New Roman"/>
          <w:i w:val="0"/>
          <w:caps w:val="0"/>
          <w:color w:val="000000"/>
          <w:spacing w:val="0"/>
          <w:kern w:val="2"/>
          <w:sz w:val="32"/>
          <w:szCs w:val="32"/>
          <w:highlight w:val="none"/>
          <w:shd w:val="clear" w:color="auto" w:fill="FFFFFF"/>
          <w:lang w:eastAsia="zh-CN" w:bidi="ar-SA"/>
        </w:rPr>
        <w:t>局</w:t>
      </w:r>
      <w:r>
        <w:rPr>
          <w:rFonts w:hint="default" w:ascii="Times New Roman" w:hAnsi="Times New Roman" w:eastAsia="仿宋_GB2312" w:cs="Times New Roman"/>
          <w:i w:val="0"/>
          <w:caps w:val="0"/>
          <w:color w:val="000000"/>
          <w:spacing w:val="0"/>
          <w:kern w:val="2"/>
          <w:sz w:val="32"/>
          <w:szCs w:val="32"/>
          <w:highlight w:val="none"/>
          <w:shd w:val="clear" w:color="auto" w:fill="FFFFFF"/>
          <w:lang w:bidi="ar-SA"/>
        </w:rPr>
        <w:t>共同管理，按照“目标清晰、重点突出、绩效导向、公开透明”的原则分配、使用和管理。</w:t>
      </w:r>
    </w:p>
    <w:p w14:paraId="66071D4D">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color w:val="000000"/>
          <w:kern w:val="2"/>
          <w:sz w:val="32"/>
          <w:szCs w:val="32"/>
          <w:highlight w:val="none"/>
          <w:shd w:val="clear" w:color="auto" w:fill="auto"/>
          <w:lang w:bidi="ar-SA"/>
        </w:rPr>
        <w:t>市财政局负责资金预算安排</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审核资金分配建议方案</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加强资金使用监管和绩效管理</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视情开展重点绩效评价</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指导县市区加强资金管理</w:t>
      </w:r>
      <w:r>
        <w:rPr>
          <w:rFonts w:hint="default" w:ascii="Times New Roman" w:hAnsi="Times New Roman" w:eastAsia="仿宋_GB2312" w:cs="Times New Roman"/>
          <w:color w:val="000000"/>
          <w:kern w:val="2"/>
          <w:sz w:val="32"/>
          <w:szCs w:val="32"/>
          <w:highlight w:val="none"/>
          <w:shd w:val="clear" w:color="auto" w:fill="auto"/>
          <w:lang w:eastAsia="zh-CN" w:bidi="ar-SA"/>
        </w:rPr>
        <w:t>等。</w:t>
      </w:r>
    </w:p>
    <w:p w14:paraId="52910804">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shd w:val="clear" w:color="auto" w:fill="auto"/>
          <w:lang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color w:val="000000"/>
          <w:kern w:val="2"/>
          <w:sz w:val="32"/>
          <w:szCs w:val="32"/>
          <w:highlight w:val="none"/>
          <w:shd w:val="clear" w:color="auto" w:fill="auto"/>
          <w:lang w:bidi="ar-SA"/>
        </w:rPr>
        <w:t>市农业农村局负责研究制定相关规划计划、政策措施</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研究提出资金分配建议方案、绩效目标和工作任务（任务清单）</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做好资金的全过程预算绩效管理</w:t>
      </w:r>
      <w:r>
        <w:rPr>
          <w:rFonts w:hint="default" w:ascii="Times New Roman" w:hAnsi="Times New Roman" w:eastAsia="仿宋_GB2312" w:cs="Times New Roman"/>
          <w:color w:val="000000"/>
          <w:kern w:val="2"/>
          <w:sz w:val="32"/>
          <w:szCs w:val="32"/>
          <w:highlight w:val="none"/>
          <w:shd w:val="clear" w:color="auto" w:fill="auto"/>
          <w:lang w:eastAsia="zh-CN" w:bidi="ar-SA"/>
        </w:rPr>
        <w:t>，</w:t>
      </w:r>
      <w:r>
        <w:rPr>
          <w:rFonts w:hint="default" w:ascii="Times New Roman" w:hAnsi="Times New Roman" w:eastAsia="仿宋_GB2312" w:cs="Times New Roman"/>
          <w:color w:val="000000"/>
          <w:kern w:val="2"/>
          <w:sz w:val="32"/>
          <w:szCs w:val="32"/>
          <w:highlight w:val="none"/>
          <w:shd w:val="clear" w:color="auto" w:fill="auto"/>
          <w:lang w:bidi="ar-SA"/>
        </w:rPr>
        <w:t>指导督促、监督检查资金任务落地落实</w:t>
      </w:r>
      <w:r>
        <w:rPr>
          <w:rFonts w:hint="default" w:ascii="Times New Roman" w:hAnsi="Times New Roman" w:eastAsia="仿宋_GB2312" w:cs="Times New Roman"/>
          <w:color w:val="000000"/>
          <w:kern w:val="2"/>
          <w:sz w:val="32"/>
          <w:szCs w:val="32"/>
          <w:highlight w:val="none"/>
          <w:shd w:val="clear" w:color="auto" w:fill="auto"/>
          <w:lang w:eastAsia="zh-CN" w:bidi="ar-SA"/>
        </w:rPr>
        <w:t>等。</w:t>
      </w:r>
    </w:p>
    <w:p w14:paraId="25BE921B">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000000"/>
          <w:kern w:val="2"/>
          <w:sz w:val="32"/>
          <w:szCs w:val="32"/>
          <w:highlight w:val="none"/>
          <w:shd w:val="clear" w:color="auto" w:fill="auto"/>
          <w:lang w:val="en-US" w:eastAsia="zh-CN" w:bidi="ar-SA"/>
        </w:rPr>
      </w:pPr>
      <w:r>
        <w:rPr>
          <w:rFonts w:hint="eastAsia" w:ascii="Times New Roman" w:hAnsi="Times New Roman" w:eastAsia="仿宋_GB2312" w:cs="Times New Roman"/>
          <w:color w:val="000000"/>
          <w:kern w:val="2"/>
          <w:sz w:val="32"/>
          <w:szCs w:val="32"/>
          <w:highlight w:val="none"/>
          <w:shd w:val="clear" w:color="auto" w:fill="auto"/>
          <w:lang w:val="en-US" w:eastAsia="zh-CN" w:bidi="ar-SA"/>
        </w:rPr>
        <w:t>（三）</w:t>
      </w:r>
      <w:r>
        <w:rPr>
          <w:rFonts w:hint="default" w:ascii="Times New Roman" w:hAnsi="Times New Roman" w:eastAsia="仿宋_GB2312" w:cs="Times New Roman"/>
          <w:color w:val="000000"/>
          <w:kern w:val="2"/>
          <w:sz w:val="32"/>
          <w:szCs w:val="32"/>
          <w:highlight w:val="none"/>
          <w:shd w:val="clear" w:color="auto" w:fill="auto"/>
          <w:lang w:val="en-US" w:eastAsia="zh-CN" w:bidi="ar-SA"/>
        </w:rPr>
        <w:t>各县市区农业农村、财政部门根据本办法规定，结合当地实际，全面负责目标任务落实、资金项目管理和绩效管理，明确资金项目管理具体职责分工和流程，监理健全相应的工作运行机制和管理制度体系，确保项目资金管理有章可循。</w:t>
      </w:r>
    </w:p>
    <w:p w14:paraId="20A71B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b w:val="0"/>
          <w:bCs w:val="0"/>
          <w:color w:val="000000"/>
          <w:sz w:val="32"/>
          <w:szCs w:val="32"/>
          <w:highlight w:val="none"/>
          <w:lang w:eastAsia="zh-CN"/>
        </w:rPr>
        <w:t>二、</w:t>
      </w:r>
      <w:r>
        <w:rPr>
          <w:rFonts w:hint="default" w:ascii="Times New Roman" w:hAnsi="Times New Roman" w:eastAsia="黑体" w:cs="Times New Roman"/>
          <w:sz w:val="32"/>
          <w:szCs w:val="32"/>
          <w:highlight w:val="none"/>
        </w:rPr>
        <w:t>支持对象</w:t>
      </w:r>
      <w:r>
        <w:rPr>
          <w:rFonts w:hint="eastAsia" w:ascii="Times New Roman" w:hAnsi="Times New Roman" w:eastAsia="黑体" w:cs="Times New Roman"/>
          <w:sz w:val="32"/>
          <w:szCs w:val="32"/>
          <w:highlight w:val="none"/>
          <w:lang w:eastAsia="zh-CN"/>
        </w:rPr>
        <w:t>和</w:t>
      </w:r>
      <w:r>
        <w:rPr>
          <w:rFonts w:hint="default" w:ascii="Times New Roman" w:hAnsi="Times New Roman" w:eastAsia="黑体" w:cs="Times New Roman"/>
          <w:sz w:val="32"/>
          <w:szCs w:val="32"/>
          <w:highlight w:val="none"/>
          <w:lang w:eastAsia="zh-CN"/>
        </w:rPr>
        <w:t>支出范围</w:t>
      </w:r>
    </w:p>
    <w:p w14:paraId="46BFF3A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i w:val="0"/>
          <w:caps w:val="0"/>
          <w:color w:val="000000"/>
          <w:spacing w:val="0"/>
          <w:sz w:val="32"/>
          <w:szCs w:val="32"/>
          <w:highlight w:val="none"/>
          <w:shd w:val="clear" w:color="auto" w:fill="FFFFFF"/>
          <w:lang w:val="en-US" w:eastAsia="zh-CN"/>
        </w:rPr>
        <w:t>第四条</w:t>
      </w:r>
      <w:r>
        <w:rPr>
          <w:rFonts w:hint="default" w:ascii="Times New Roman" w:hAnsi="Times New Roman" w:eastAsia="仿宋_GB2312" w:cs="Times New Roman"/>
          <w:i w:val="0"/>
          <w:caps w:val="0"/>
          <w:color w:val="000000"/>
          <w:spacing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000000"/>
          <w:spacing w:val="0"/>
          <w:kern w:val="2"/>
          <w:sz w:val="32"/>
          <w:szCs w:val="32"/>
          <w:highlight w:val="none"/>
          <w:shd w:val="clear" w:color="auto" w:fill="auto"/>
          <w:lang w:eastAsia="zh-CN" w:bidi="ar-SA"/>
        </w:rPr>
        <w:t>专项资金</w:t>
      </w:r>
      <w:r>
        <w:rPr>
          <w:rFonts w:hint="default" w:ascii="Times New Roman" w:hAnsi="Times New Roman" w:eastAsia="仿宋_GB2312" w:cs="Times New Roman"/>
          <w:i w:val="0"/>
          <w:caps w:val="0"/>
          <w:color w:val="000000"/>
          <w:spacing w:val="0"/>
          <w:kern w:val="2"/>
          <w:sz w:val="32"/>
          <w:szCs w:val="32"/>
          <w:highlight w:val="none"/>
          <w:shd w:val="clear" w:color="auto" w:fill="auto"/>
          <w:lang w:bidi="ar-SA"/>
        </w:rPr>
        <w:t>支持对象主要是符合条件的农民、农创客（新农人）、</w:t>
      </w:r>
      <w:r>
        <w:rPr>
          <w:rFonts w:hint="default" w:ascii="Times New Roman" w:hAnsi="Times New Roman" w:eastAsia="仿宋_GB2312" w:cs="Times New Roman"/>
          <w:i w:val="0"/>
          <w:caps w:val="0"/>
          <w:color w:val="000000"/>
          <w:spacing w:val="0"/>
          <w:kern w:val="2"/>
          <w:sz w:val="32"/>
          <w:szCs w:val="32"/>
          <w:highlight w:val="none"/>
          <w:shd w:val="clear" w:color="auto" w:fill="auto"/>
          <w:lang w:eastAsia="zh-CN" w:bidi="ar-SA"/>
        </w:rPr>
        <w:t>国有农场、</w:t>
      </w:r>
      <w:r>
        <w:rPr>
          <w:rFonts w:hint="default" w:ascii="Times New Roman" w:hAnsi="Times New Roman" w:eastAsia="仿宋_GB2312" w:cs="Times New Roman"/>
          <w:i w:val="0"/>
          <w:caps w:val="0"/>
          <w:color w:val="000000"/>
          <w:spacing w:val="0"/>
          <w:kern w:val="2"/>
          <w:sz w:val="32"/>
          <w:szCs w:val="32"/>
          <w:highlight w:val="none"/>
          <w:shd w:val="clear" w:color="auto" w:fill="auto"/>
          <w:lang w:bidi="ar-SA"/>
        </w:rPr>
        <w:t>家庭农场、农民专业合作组织、农业企业、村集体经济组织</w:t>
      </w:r>
      <w:r>
        <w:rPr>
          <w:rFonts w:hint="eastAsia" w:ascii="Times New Roman" w:hAnsi="Times New Roman" w:eastAsia="仿宋_GB2312" w:cs="Times New Roman"/>
          <w:i w:val="0"/>
          <w:caps w:val="0"/>
          <w:color w:val="000000"/>
          <w:spacing w:val="0"/>
          <w:kern w:val="2"/>
          <w:sz w:val="32"/>
          <w:szCs w:val="32"/>
          <w:highlight w:val="none"/>
          <w:shd w:val="clear" w:color="auto" w:fill="auto"/>
          <w:lang w:eastAsia="zh-CN" w:bidi="ar-SA"/>
        </w:rPr>
        <w:t>等</w:t>
      </w:r>
      <w:r>
        <w:rPr>
          <w:rFonts w:hint="default" w:ascii="Times New Roman" w:hAnsi="Times New Roman" w:eastAsia="仿宋_GB2312" w:cs="Times New Roman"/>
          <w:i w:val="0"/>
          <w:caps w:val="0"/>
          <w:color w:val="000000"/>
          <w:spacing w:val="0"/>
          <w:kern w:val="2"/>
          <w:sz w:val="32"/>
          <w:szCs w:val="32"/>
          <w:highlight w:val="none"/>
          <w:shd w:val="clear" w:color="auto" w:fill="auto"/>
          <w:lang w:bidi="ar-SA"/>
        </w:rPr>
        <w:t>。</w:t>
      </w:r>
    </w:p>
    <w:p w14:paraId="7AE3484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val="0"/>
          <w:bCs w:val="0"/>
          <w:color w:val="000000"/>
          <w:sz w:val="32"/>
          <w:szCs w:val="32"/>
          <w:highlight w:val="none"/>
          <w:lang w:val="en-US" w:eastAsia="zh-CN"/>
        </w:rPr>
      </w:pPr>
      <w:r>
        <w:rPr>
          <w:rFonts w:hint="default" w:ascii="Times New Roman" w:hAnsi="Times New Roman" w:eastAsia="仿宋_GB2312" w:cs="Times New Roman"/>
          <w:b/>
          <w:bCs/>
          <w:color w:val="000000"/>
          <w:sz w:val="32"/>
          <w:szCs w:val="32"/>
          <w:highlight w:val="none"/>
          <w:lang w:eastAsia="zh-CN"/>
        </w:rPr>
        <w:t>第五条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lang w:eastAsia="zh-CN"/>
        </w:rPr>
        <w:t>专项资金支出范围包括：</w:t>
      </w:r>
    </w:p>
    <w:p w14:paraId="1593D3B6">
      <w:pPr>
        <w:keepNext w:val="0"/>
        <w:keepLines w:val="0"/>
        <w:pageBreakBefore w:val="0"/>
        <w:widowControl w:val="0"/>
        <w:kinsoku/>
        <w:wordWrap/>
        <w:overflowPunct w:val="0"/>
        <w:topLinePunct w:val="0"/>
        <w:autoSpaceDE/>
        <w:autoSpaceDN/>
        <w:bidi w:val="0"/>
        <w:adjustRightInd w:val="0"/>
        <w:snapToGrid w:val="0"/>
        <w:spacing w:line="600" w:lineRule="exact"/>
        <w:ind w:firstLine="0" w:firstLineChars="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i w:val="0"/>
          <w:caps w:val="0"/>
          <w:color w:val="000000"/>
          <w:spacing w:val="0"/>
          <w:kern w:val="2"/>
          <w:sz w:val="32"/>
          <w:szCs w:val="32"/>
          <w:highlight w:val="none"/>
          <w:shd w:val="clear" w:color="auto" w:fill="auto"/>
          <w:lang w:val="en-US" w:eastAsia="zh-CN" w:bidi="ar"/>
        </w:rPr>
        <w:t xml:space="preserve">    </w:t>
      </w:r>
      <w:bookmarkStart w:id="0" w:name="OLE_LINK5"/>
      <w:bookmarkStart w:id="1" w:name="OLE_LINK4"/>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i w:val="0"/>
          <w:caps w:val="0"/>
          <w:color w:val="000000"/>
          <w:spacing w:val="0"/>
          <w:kern w:val="2"/>
          <w:sz w:val="32"/>
          <w:szCs w:val="32"/>
          <w:highlight w:val="none"/>
          <w:shd w:val="clear" w:color="auto" w:fill="auto"/>
          <w:lang w:val="en-US" w:eastAsia="zh-CN" w:bidi="ar"/>
        </w:rPr>
        <w:t>稳产保供。</w:t>
      </w:r>
      <w:r>
        <w:rPr>
          <w:rFonts w:hint="default" w:ascii="Times New Roman" w:hAnsi="Times New Roman" w:eastAsia="仿宋_GB2312" w:cs="Times New Roman"/>
          <w:color w:val="000000"/>
          <w:sz w:val="32"/>
          <w:szCs w:val="32"/>
          <w:highlight w:val="none"/>
          <w:lang w:eastAsia="zh-CN"/>
        </w:rPr>
        <w:t>主要用于粮食油料</w:t>
      </w:r>
      <w:bookmarkStart w:id="2" w:name="OLE_LINK7"/>
      <w:r>
        <w:rPr>
          <w:rFonts w:hint="default" w:ascii="Times New Roman" w:hAnsi="Times New Roman" w:eastAsia="仿宋_GB2312" w:cs="Times New Roman"/>
          <w:color w:val="000000"/>
          <w:kern w:val="2"/>
          <w:sz w:val="32"/>
          <w:szCs w:val="32"/>
          <w:highlight w:val="none"/>
          <w:lang w:val="en-US" w:eastAsia="zh-CN" w:bidi="ar-SA"/>
        </w:rPr>
        <w:t>优良品种培育、推广与规模化发展</w:t>
      </w:r>
      <w:bookmarkEnd w:id="2"/>
      <w:r>
        <w:rPr>
          <w:rFonts w:hint="eastAsia" w:ascii="Times New Roman" w:hAnsi="Times New Roman" w:eastAsia="仿宋_GB2312" w:cs="Times New Roman"/>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推进农业设施化、机械化和服务社会化以及技术装备能力提升、新技术培训与推广、耕地抛荒治理、粮食生产生产吻合率达标奖励</w:t>
      </w:r>
      <w:r>
        <w:rPr>
          <w:rFonts w:hint="default" w:ascii="Times New Roman" w:hAnsi="Times New Roman" w:eastAsia="仿宋_GB2312" w:cs="Times New Roman"/>
          <w:color w:val="000000"/>
          <w:sz w:val="32"/>
          <w:szCs w:val="32"/>
          <w:highlight w:val="none"/>
          <w:lang w:eastAsia="zh-CN"/>
        </w:rPr>
        <w:t>。</w:t>
      </w:r>
      <w:bookmarkEnd w:id="0"/>
    </w:p>
    <w:bookmarkEnd w:id="1"/>
    <w:p w14:paraId="3F26216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highlight w:val="none"/>
          <w:lang w:val="en-US" w:eastAsia="zh-CN"/>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val="en-US" w:eastAsia="zh-CN" w:bidi="ar-SA"/>
        </w:rPr>
        <w:t>农产品加工。</w:t>
      </w:r>
      <w:r>
        <w:rPr>
          <w:rFonts w:ascii="Times New Roman" w:hAnsi="Times New Roman" w:eastAsia="仿宋_GB2312" w:cs="Times New Roman"/>
          <w:color w:val="000000"/>
          <w:kern w:val="0"/>
          <w:sz w:val="32"/>
          <w:szCs w:val="32"/>
          <w:highlight w:val="none"/>
          <w:lang w:val="en-US" w:eastAsia="zh-CN" w:bidi="ar"/>
        </w:rPr>
        <w:t>支持企业加快技术改造、</w:t>
      </w:r>
      <w:r>
        <w:rPr>
          <w:rFonts w:hint="default" w:ascii="Times New Roman" w:hAnsi="Times New Roman" w:eastAsia="仿宋_GB2312" w:cs="Times New Roman"/>
          <w:color w:val="000000"/>
          <w:kern w:val="0"/>
          <w:sz w:val="32"/>
          <w:szCs w:val="32"/>
          <w:highlight w:val="none"/>
          <w:lang w:val="en-US" w:eastAsia="zh-CN" w:bidi="ar"/>
        </w:rPr>
        <w:t>装备升级，对市级以上龙头企业新建精深加工生产线和加工设备，按投资发票金额的30%、单个企业不高于100万元的标准予以补助。已获得上级补助资金的不重复补助。</w:t>
      </w:r>
    </w:p>
    <w:p w14:paraId="544553B1">
      <w:pPr>
        <w:numPr>
          <w:ilvl w:val="0"/>
          <w:numId w:val="0"/>
        </w:numPr>
        <w:overflowPunct w:val="0"/>
        <w:adjustRightInd w:val="0"/>
        <w:snapToGrid w:val="0"/>
        <w:spacing w:line="600" w:lineRule="exact"/>
        <w:ind w:firstLine="640" w:firstLineChars="200"/>
        <w:rPr>
          <w:rFonts w:hint="default" w:ascii="Times New Roman" w:hAnsi="Times New Roman"/>
          <w:highlight w:val="none"/>
          <w:lang w:val="en-US"/>
        </w:rPr>
      </w:pP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color w:val="000000"/>
          <w:kern w:val="0"/>
          <w:sz w:val="32"/>
          <w:szCs w:val="32"/>
          <w:highlight w:val="none"/>
          <w:lang w:eastAsia="zh-CN" w:bidi="ar"/>
        </w:rPr>
        <w:t>重点农业产业发展。主要用于市委市政府确定的重点产业全产业链发展</w:t>
      </w:r>
      <w:r>
        <w:rPr>
          <w:rFonts w:hint="eastAsia"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eastAsia="zh-CN" w:bidi="ar"/>
        </w:rPr>
        <w:t>扶持市场竞争力强、发展前景好的经营主体，推进经营主体转型升</w:t>
      </w:r>
      <w:r>
        <w:rPr>
          <w:rFonts w:hint="default" w:ascii="Times New Roman" w:hAnsi="Times New Roman" w:eastAsia="仿宋_GB2312" w:cs="Times New Roman"/>
          <w:color w:val="000000"/>
          <w:sz w:val="32"/>
          <w:szCs w:val="32"/>
          <w:highlight w:val="none"/>
          <w:lang w:eastAsia="zh-CN"/>
        </w:rPr>
        <w:t>级和可持续发展。重点储备具有良好联农带农机制的产业发展项目，尤其是财政资金优先形成固定资产、带动农户（特别是脱贫户、监测户）持续增收的项目。</w:t>
      </w:r>
    </w:p>
    <w:p w14:paraId="0FD92314">
      <w:pPr>
        <w:spacing w:line="600" w:lineRule="exact"/>
        <w:jc w:val="center"/>
        <w:rPr>
          <w:rFonts w:hint="default" w:ascii="Times New Roman" w:hAnsi="Times New Roman" w:eastAsia="黑体" w:cs="Times New Roman"/>
          <w:sz w:val="32"/>
          <w:szCs w:val="32"/>
          <w:highlight w:val="none"/>
          <w:lang w:val="en-US"/>
        </w:rPr>
      </w:pPr>
      <w:r>
        <w:rPr>
          <w:rFonts w:hint="default" w:ascii="Times New Roman" w:hAnsi="Times New Roman" w:eastAsia="黑体" w:cs="Times New Roman"/>
          <w:color w:val="auto"/>
          <w:sz w:val="32"/>
          <w:szCs w:val="32"/>
          <w:highlight w:val="none"/>
          <w:lang w:val="en-US" w:eastAsia="zh-CN"/>
        </w:rPr>
        <w:t>三、</w:t>
      </w:r>
      <w:bookmarkStart w:id="3" w:name="OLE_LINK11"/>
      <w:r>
        <w:rPr>
          <w:rFonts w:hint="default" w:ascii="Times New Roman" w:hAnsi="Times New Roman" w:eastAsia="黑体" w:cs="Times New Roman"/>
          <w:color w:val="auto"/>
          <w:sz w:val="32"/>
          <w:szCs w:val="32"/>
          <w:highlight w:val="none"/>
          <w:lang w:val="en-US" w:eastAsia="zh-CN"/>
        </w:rPr>
        <w:t>资</w:t>
      </w:r>
      <w:bookmarkStart w:id="4" w:name="OLE_LINK8"/>
      <w:r>
        <w:rPr>
          <w:rFonts w:hint="default" w:ascii="Times New Roman" w:hAnsi="Times New Roman" w:eastAsia="黑体" w:cs="Times New Roman"/>
          <w:color w:val="auto"/>
          <w:sz w:val="32"/>
          <w:szCs w:val="32"/>
          <w:highlight w:val="none"/>
          <w:lang w:val="en-US" w:eastAsia="zh-CN"/>
        </w:rPr>
        <w:t>金分配和</w:t>
      </w:r>
      <w:bookmarkEnd w:id="4"/>
      <w:r>
        <w:rPr>
          <w:rFonts w:hint="eastAsia" w:ascii="Times New Roman" w:hAnsi="Times New Roman" w:eastAsia="黑体" w:cs="Times New Roman"/>
          <w:color w:val="auto"/>
          <w:sz w:val="32"/>
          <w:szCs w:val="32"/>
          <w:highlight w:val="none"/>
          <w:lang w:val="en-US" w:eastAsia="zh-CN"/>
        </w:rPr>
        <w:t>负面事项</w:t>
      </w:r>
    </w:p>
    <w:bookmarkEnd w:id="3"/>
    <w:p w14:paraId="71527DB2">
      <w:pPr>
        <w:pStyle w:val="6"/>
        <w:pBdr>
          <w:top w:val="none" w:color="auto" w:sz="0" w:space="0"/>
          <w:left w:val="none" w:color="auto" w:sz="0" w:space="0"/>
          <w:bottom w:val="none" w:color="auto" w:sz="0" w:space="0"/>
          <w:right w:val="none" w:color="auto" w:sz="0" w:space="0"/>
        </w:pBdr>
        <w:spacing w:before="0" w:beforeAutospacing="0" w:after="0" w:afterAutospacing="0" w:line="600" w:lineRule="exact"/>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bCs/>
          <w:color w:val="000000"/>
          <w:sz w:val="32"/>
          <w:szCs w:val="32"/>
          <w:highlight w:val="none"/>
          <w:lang w:val="en-US" w:eastAsia="zh-CN"/>
        </w:rPr>
        <w:t xml:space="preserve">    </w:t>
      </w:r>
      <w:r>
        <w:rPr>
          <w:rFonts w:hint="default" w:ascii="Times New Roman" w:hAnsi="Times New Roman" w:eastAsia="仿宋_GB2312" w:cs="Times New Roman"/>
          <w:b/>
          <w:bCs/>
          <w:color w:val="000000"/>
          <w:sz w:val="32"/>
          <w:szCs w:val="32"/>
          <w:highlight w:val="none"/>
          <w:lang w:eastAsia="zh-CN"/>
        </w:rPr>
        <w:t>第六条</w:t>
      </w:r>
      <w:r>
        <w:rPr>
          <w:rFonts w:hint="default" w:ascii="Times New Roman" w:hAnsi="Times New Roman" w:eastAsia="仿宋_GB2312" w:cs="Times New Roman"/>
          <w:b w:val="0"/>
          <w:bCs w:val="0"/>
          <w:color w:val="000000"/>
          <w:sz w:val="32"/>
          <w:szCs w:val="32"/>
          <w:highlight w:val="none"/>
          <w:lang w:val="en-US" w:eastAsia="zh-CN"/>
        </w:rPr>
        <w:t xml:space="preserve"> </w:t>
      </w:r>
      <w:r>
        <w:rPr>
          <w:rFonts w:hint="default" w:ascii="Times New Roman" w:hAnsi="Times New Roman" w:eastAsia="仿宋_GB2312" w:cs="Times New Roman"/>
          <w:b w:val="0"/>
          <w:bCs w:val="0"/>
          <w:color w:val="000000"/>
          <w:kern w:val="2"/>
          <w:sz w:val="32"/>
          <w:szCs w:val="32"/>
          <w:highlight w:val="none"/>
          <w:lang w:bidi="ar-SA"/>
        </w:rPr>
        <w:t>专项资金采取因素法分配、竞争性分配、</w:t>
      </w:r>
      <w:r>
        <w:rPr>
          <w:rFonts w:hint="default" w:ascii="Times New Roman" w:hAnsi="Times New Roman" w:eastAsia="仿宋_GB2312" w:cs="Times New Roman"/>
          <w:b w:val="0"/>
          <w:bCs w:val="0"/>
          <w:color w:val="000000"/>
          <w:kern w:val="2"/>
          <w:sz w:val="32"/>
          <w:szCs w:val="32"/>
          <w:highlight w:val="none"/>
          <w:lang w:eastAsia="zh-CN" w:bidi="ar-SA"/>
        </w:rPr>
        <w:t>政策性</w:t>
      </w:r>
      <w:r>
        <w:rPr>
          <w:rFonts w:hint="default" w:ascii="Times New Roman" w:hAnsi="Times New Roman" w:eastAsia="仿宋_GB2312" w:cs="Times New Roman"/>
          <w:b w:val="0"/>
          <w:bCs w:val="0"/>
          <w:color w:val="000000"/>
          <w:kern w:val="2"/>
          <w:sz w:val="32"/>
          <w:szCs w:val="32"/>
          <w:highlight w:val="none"/>
          <w:lang w:bidi="ar-SA"/>
        </w:rPr>
        <w:t>分配相结合的方式进行分配。</w:t>
      </w:r>
    </w:p>
    <w:p w14:paraId="04C37F16">
      <w:pPr>
        <w:pStyle w:val="6"/>
        <w:overflowPunct/>
        <w:adjustRightInd/>
        <w:snapToGrid/>
        <w:spacing w:before="0" w:beforeAutospacing="0" w:after="0" w:afterAutospacing="0" w:line="600" w:lineRule="exact"/>
        <w:ind w:firstLine="641"/>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bidi="ar-SA"/>
        </w:rPr>
        <w:t>因素法分配。根据</w:t>
      </w:r>
      <w:r>
        <w:rPr>
          <w:rFonts w:hint="default" w:ascii="Times New Roman" w:hAnsi="Times New Roman" w:eastAsia="仿宋_GB2312" w:cs="Times New Roman"/>
          <w:b w:val="0"/>
          <w:bCs w:val="0"/>
          <w:color w:val="000000"/>
          <w:kern w:val="2"/>
          <w:sz w:val="32"/>
          <w:szCs w:val="32"/>
          <w:highlight w:val="none"/>
          <w:lang w:eastAsia="zh-CN" w:bidi="ar-SA"/>
        </w:rPr>
        <w:t>工作任务（任务清单）</w:t>
      </w:r>
      <w:r>
        <w:rPr>
          <w:rFonts w:hint="default" w:ascii="Times New Roman" w:hAnsi="Times New Roman" w:eastAsia="仿宋_GB2312" w:cs="Times New Roman"/>
          <w:b w:val="0"/>
          <w:bCs w:val="0"/>
          <w:color w:val="000000"/>
          <w:kern w:val="2"/>
          <w:sz w:val="32"/>
          <w:szCs w:val="32"/>
          <w:highlight w:val="none"/>
          <w:lang w:bidi="ar-SA"/>
        </w:rPr>
        <w:t>、政策目标、以往年度实施成效</w:t>
      </w:r>
      <w:bookmarkStart w:id="5" w:name="OLE_LINK10"/>
      <w:r>
        <w:rPr>
          <w:rFonts w:hint="default" w:ascii="Times New Roman" w:hAnsi="Times New Roman" w:eastAsia="仿宋_GB2312" w:cs="Times New Roman"/>
          <w:b w:val="0"/>
          <w:bCs w:val="0"/>
          <w:color w:val="000000"/>
          <w:kern w:val="2"/>
          <w:sz w:val="32"/>
          <w:szCs w:val="32"/>
          <w:highlight w:val="none"/>
          <w:lang w:bidi="ar-SA"/>
        </w:rPr>
        <w:t>等情况，选择相应的具体因素和权重进行测算分配，</w:t>
      </w:r>
      <w:r>
        <w:rPr>
          <w:rFonts w:hint="default" w:ascii="Times New Roman" w:hAnsi="Times New Roman" w:eastAsia="仿宋_GB2312" w:cs="Times New Roman"/>
          <w:b w:val="0"/>
          <w:bCs w:val="0"/>
          <w:color w:val="000000"/>
          <w:kern w:val="2"/>
          <w:sz w:val="32"/>
          <w:szCs w:val="32"/>
          <w:highlight w:val="none"/>
          <w:lang w:eastAsia="zh-CN" w:bidi="ar-SA"/>
        </w:rPr>
        <w:t>创新</w:t>
      </w:r>
      <w:r>
        <w:rPr>
          <w:rFonts w:hint="default" w:ascii="Times New Roman" w:hAnsi="Times New Roman" w:eastAsia="仿宋_GB2312" w:cs="Times New Roman"/>
          <w:b w:val="0"/>
          <w:bCs w:val="0"/>
          <w:color w:val="000000"/>
          <w:kern w:val="2"/>
          <w:sz w:val="32"/>
          <w:szCs w:val="32"/>
          <w:highlight w:val="none"/>
          <w:lang w:bidi="ar-SA"/>
        </w:rPr>
        <w:t>试点、探索示范</w:t>
      </w:r>
      <w:bookmarkEnd w:id="5"/>
      <w:r>
        <w:rPr>
          <w:rFonts w:hint="default" w:ascii="Times New Roman" w:hAnsi="Times New Roman" w:eastAsia="仿宋_GB2312" w:cs="Times New Roman"/>
          <w:b w:val="0"/>
          <w:bCs w:val="0"/>
          <w:color w:val="000000"/>
          <w:kern w:val="2"/>
          <w:sz w:val="32"/>
          <w:szCs w:val="32"/>
          <w:highlight w:val="none"/>
          <w:lang w:bidi="ar-SA"/>
        </w:rPr>
        <w:t>等可根据需要采取定额分配方式</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val="en-US" w:eastAsia="zh-CN" w:bidi="ar-SA"/>
        </w:rPr>
        <w:t>。</w:t>
      </w:r>
    </w:p>
    <w:p w14:paraId="4CD67A82">
      <w:pPr>
        <w:pStyle w:val="6"/>
        <w:overflowPunct/>
        <w:adjustRightInd/>
        <w:snapToGrid/>
        <w:spacing w:before="0" w:beforeAutospacing="0" w:after="0" w:afterAutospacing="0" w:line="600" w:lineRule="exact"/>
        <w:ind w:firstLine="641"/>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bidi="ar-SA"/>
        </w:rPr>
        <w:t>竞争性分配。根据实施乡村振兴战略和推进</w:t>
      </w:r>
      <w:r>
        <w:rPr>
          <w:rFonts w:hint="default" w:ascii="Times New Roman" w:hAnsi="Times New Roman" w:eastAsia="仿宋_GB2312" w:cs="Times New Roman"/>
          <w:b w:val="0"/>
          <w:bCs w:val="0"/>
          <w:color w:val="000000"/>
          <w:kern w:val="2"/>
          <w:sz w:val="32"/>
          <w:szCs w:val="32"/>
          <w:highlight w:val="none"/>
          <w:lang w:eastAsia="zh-CN" w:bidi="ar-SA"/>
        </w:rPr>
        <w:t>农业产业高质量</w:t>
      </w:r>
      <w:r>
        <w:rPr>
          <w:rFonts w:hint="default" w:ascii="Times New Roman" w:hAnsi="Times New Roman" w:eastAsia="仿宋_GB2312" w:cs="Times New Roman"/>
          <w:b w:val="0"/>
          <w:bCs w:val="0"/>
          <w:color w:val="000000"/>
          <w:kern w:val="2"/>
          <w:sz w:val="32"/>
          <w:szCs w:val="32"/>
          <w:highlight w:val="none"/>
          <w:lang w:bidi="ar-SA"/>
        </w:rPr>
        <w:t>发展实际需要，开展竞争性遴选，通过项目立项方式，择优在部分地区开展专项激励政策等。</w:t>
      </w:r>
    </w:p>
    <w:p w14:paraId="53F692A1">
      <w:pPr>
        <w:pStyle w:val="6"/>
        <w:spacing w:before="0" w:beforeAutospacing="0" w:after="0" w:afterAutospacing="0" w:line="600" w:lineRule="exact"/>
        <w:ind w:firstLine="642"/>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eastAsia="zh-CN" w:bidi="ar-SA"/>
        </w:rPr>
        <w:t>政策性</w:t>
      </w:r>
      <w:r>
        <w:rPr>
          <w:rFonts w:hint="default" w:ascii="Times New Roman" w:hAnsi="Times New Roman" w:eastAsia="仿宋_GB2312" w:cs="Times New Roman"/>
          <w:b w:val="0"/>
          <w:bCs w:val="0"/>
          <w:color w:val="000000"/>
          <w:kern w:val="2"/>
          <w:sz w:val="32"/>
          <w:szCs w:val="32"/>
          <w:highlight w:val="none"/>
          <w:lang w:bidi="ar-SA"/>
        </w:rPr>
        <w:t>分配</w:t>
      </w:r>
      <w:bookmarkStart w:id="6" w:name="OLE_LINK3"/>
      <w:r>
        <w:rPr>
          <w:rFonts w:hint="default" w:ascii="Times New Roman" w:hAnsi="Times New Roman" w:eastAsia="仿宋_GB2312" w:cs="Times New Roman"/>
          <w:b w:val="0"/>
          <w:bCs w:val="0"/>
          <w:color w:val="000000"/>
          <w:kern w:val="2"/>
          <w:sz w:val="32"/>
          <w:szCs w:val="32"/>
          <w:highlight w:val="none"/>
          <w:lang w:bidi="ar-SA"/>
        </w:rPr>
        <w:t>。</w:t>
      </w:r>
      <w:r>
        <w:rPr>
          <w:rFonts w:hint="default" w:ascii="Times New Roman" w:hAnsi="Times New Roman" w:eastAsia="仿宋_GB2312" w:cs="Times New Roman"/>
          <w:b w:val="0"/>
          <w:bCs w:val="0"/>
          <w:color w:val="000000"/>
          <w:kern w:val="2"/>
          <w:sz w:val="32"/>
          <w:szCs w:val="32"/>
          <w:highlight w:val="none"/>
          <w:lang w:eastAsia="zh-CN" w:bidi="ar-SA"/>
        </w:rPr>
        <w:t>根据既定的政策性奖补标准和实际发生面积、数量、规模等进行测算分配，主要为奖励、补助、补贴类政策，由市农业农村局会同市财政局根据有关政策标准及文件规定，在专项资金中兑付</w:t>
      </w:r>
      <w:r>
        <w:rPr>
          <w:rFonts w:hint="default" w:ascii="Times New Roman" w:hAnsi="Times New Roman" w:eastAsia="仿宋_GB2312" w:cs="Times New Roman"/>
          <w:color w:val="000000"/>
          <w:kern w:val="2"/>
          <w:sz w:val="32"/>
          <w:szCs w:val="32"/>
          <w:highlight w:val="none"/>
          <w:lang w:val="en-US" w:eastAsia="zh-CN" w:bidi="ar-SA"/>
        </w:rPr>
        <w:t>。</w:t>
      </w:r>
    </w:p>
    <w:p w14:paraId="44593285">
      <w:pPr>
        <w:pStyle w:val="6"/>
        <w:spacing w:before="0" w:beforeAutospacing="0" w:after="0" w:afterAutospacing="0" w:line="600" w:lineRule="exact"/>
        <w:ind w:firstLine="642"/>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第七条</w:t>
      </w:r>
      <w:r>
        <w:rPr>
          <w:rFonts w:hint="eastAsia" w:ascii="Times New Roman" w:hAnsi="Times New Roman" w:eastAsia="仿宋_GB2312" w:cs="Times New Roman"/>
          <w:color w:val="000000"/>
          <w:kern w:val="2"/>
          <w:sz w:val="32"/>
          <w:szCs w:val="32"/>
          <w:highlight w:val="none"/>
          <w:lang w:val="en-US" w:eastAsia="zh-CN" w:bidi="ar-SA"/>
        </w:rPr>
        <w:t xml:space="preserve"> 市农业农村局负责拟定资金分配方案，经市财政局审核后报市政府审批下达资金</w:t>
      </w:r>
      <w:r>
        <w:rPr>
          <w:rFonts w:hint="eastAsia" w:ascii="Times New Roman" w:hAnsi="Times New Roman" w:eastAsia="仿宋_GB2312" w:cs="Times New Roman"/>
          <w:b w:val="0"/>
          <w:bCs w:val="0"/>
          <w:color w:val="000000"/>
          <w:kern w:val="2"/>
          <w:sz w:val="32"/>
          <w:szCs w:val="32"/>
          <w:highlight w:val="none"/>
          <w:lang w:val="en-US" w:eastAsia="zh-CN" w:bidi="ar-SA"/>
        </w:rPr>
        <w:t>。</w:t>
      </w:r>
    </w:p>
    <w:bookmarkEnd w:id="6"/>
    <w:p w14:paraId="033BA65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0" w:beforeAutospacing="0" w:after="0" w:afterAutospacing="0" w:line="600" w:lineRule="exact"/>
        <w:ind w:right="0" w:firstLine="643"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b/>
          <w:bCs/>
          <w:color w:val="000000"/>
          <w:kern w:val="2"/>
          <w:sz w:val="32"/>
          <w:szCs w:val="32"/>
          <w:highlight w:val="none"/>
          <w:lang w:val="en-US" w:eastAsia="zh-CN" w:bidi="ar-SA"/>
        </w:rPr>
        <w:t>第</w:t>
      </w:r>
      <w:r>
        <w:rPr>
          <w:rFonts w:hint="eastAsia" w:ascii="Times New Roman" w:hAnsi="Times New Roman" w:eastAsia="仿宋_GB2312" w:cs="Times New Roman"/>
          <w:b/>
          <w:bCs/>
          <w:color w:val="000000"/>
          <w:kern w:val="2"/>
          <w:sz w:val="32"/>
          <w:szCs w:val="32"/>
          <w:highlight w:val="none"/>
          <w:lang w:val="en-US" w:eastAsia="zh-CN" w:bidi="ar-SA"/>
        </w:rPr>
        <w:t>八</w:t>
      </w:r>
      <w:r>
        <w:rPr>
          <w:rFonts w:hint="default" w:ascii="Times New Roman" w:hAnsi="Times New Roman" w:eastAsia="仿宋_GB2312" w:cs="Times New Roman"/>
          <w:b/>
          <w:bCs/>
          <w:color w:val="000000"/>
          <w:kern w:val="2"/>
          <w:sz w:val="32"/>
          <w:szCs w:val="32"/>
          <w:highlight w:val="none"/>
          <w:lang w:val="en-US" w:eastAsia="zh-CN" w:bidi="ar-SA"/>
        </w:rPr>
        <w:t>条</w:t>
      </w:r>
      <w:r>
        <w:rPr>
          <w:rFonts w:hint="default" w:ascii="Times New Roman" w:hAnsi="Times New Roman" w:eastAsia="仿宋_GB2312" w:cs="Times New Roman"/>
          <w:color w:val="000000"/>
          <w:kern w:val="2"/>
          <w:sz w:val="32"/>
          <w:szCs w:val="32"/>
          <w:highlight w:val="none"/>
          <w:lang w:val="en-US" w:eastAsia="zh-CN" w:bidi="ar-SA"/>
        </w:rPr>
        <w:t xml:space="preserve"> 实行</w:t>
      </w:r>
      <w:r>
        <w:rPr>
          <w:rFonts w:hint="eastAsia" w:ascii="Times New Roman" w:hAnsi="Times New Roman" w:eastAsia="仿宋_GB2312" w:cs="Times New Roman"/>
          <w:color w:val="000000"/>
          <w:kern w:val="2"/>
          <w:sz w:val="32"/>
          <w:szCs w:val="32"/>
          <w:highlight w:val="none"/>
          <w:lang w:val="en-US" w:eastAsia="zh-CN" w:bidi="ar-SA"/>
        </w:rPr>
        <w:t>因</w:t>
      </w:r>
      <w:bookmarkStart w:id="7" w:name="OLE_LINK6"/>
      <w:r>
        <w:rPr>
          <w:rFonts w:hint="eastAsia" w:ascii="Times New Roman" w:hAnsi="Times New Roman" w:eastAsia="仿宋_GB2312" w:cs="Times New Roman"/>
          <w:color w:val="000000"/>
          <w:kern w:val="2"/>
          <w:sz w:val="32"/>
          <w:szCs w:val="32"/>
          <w:highlight w:val="none"/>
          <w:lang w:val="en-US" w:eastAsia="zh-CN" w:bidi="ar-SA"/>
        </w:rPr>
        <w:t>素法</w:t>
      </w:r>
      <w:r>
        <w:rPr>
          <w:rFonts w:hint="default" w:ascii="Times New Roman" w:hAnsi="Times New Roman" w:eastAsia="仿宋_GB2312" w:cs="Times New Roman"/>
          <w:color w:val="000000"/>
          <w:kern w:val="2"/>
          <w:sz w:val="32"/>
          <w:szCs w:val="32"/>
          <w:highlight w:val="none"/>
          <w:lang w:val="en-US" w:eastAsia="zh-CN" w:bidi="ar-SA"/>
        </w:rPr>
        <w:t>和</w:t>
      </w:r>
      <w:r>
        <w:rPr>
          <w:rFonts w:hint="default" w:ascii="Times New Roman" w:hAnsi="Times New Roman" w:eastAsia="仿宋_GB2312" w:cs="Times New Roman"/>
          <w:b w:val="0"/>
          <w:bCs w:val="0"/>
          <w:color w:val="000000"/>
          <w:kern w:val="2"/>
          <w:sz w:val="32"/>
          <w:szCs w:val="32"/>
          <w:highlight w:val="none"/>
          <w:lang w:bidi="ar-SA"/>
        </w:rPr>
        <w:t>竞争性</w:t>
      </w:r>
      <w:r>
        <w:rPr>
          <w:rFonts w:hint="default" w:ascii="Times New Roman" w:hAnsi="Times New Roman" w:eastAsia="仿宋_GB2312" w:cs="Times New Roman"/>
          <w:color w:val="000000"/>
          <w:kern w:val="2"/>
          <w:sz w:val="32"/>
          <w:szCs w:val="32"/>
          <w:highlight w:val="none"/>
          <w:lang w:val="en-US" w:eastAsia="zh-CN" w:bidi="ar-SA"/>
        </w:rPr>
        <w:t>分配</w:t>
      </w:r>
      <w:r>
        <w:rPr>
          <w:rFonts w:hint="eastAsia" w:ascii="Times New Roman" w:hAnsi="Times New Roman" w:eastAsia="仿宋_GB2312" w:cs="Times New Roman"/>
          <w:color w:val="000000"/>
          <w:kern w:val="2"/>
          <w:sz w:val="32"/>
          <w:szCs w:val="32"/>
          <w:highlight w:val="none"/>
          <w:lang w:val="en-US" w:eastAsia="zh-CN" w:bidi="ar-SA"/>
        </w:rPr>
        <w:t>方式</w:t>
      </w:r>
      <w:r>
        <w:rPr>
          <w:rFonts w:hint="default" w:ascii="Times New Roman" w:hAnsi="Times New Roman" w:eastAsia="仿宋_GB2312" w:cs="Times New Roman"/>
          <w:color w:val="000000"/>
          <w:kern w:val="2"/>
          <w:sz w:val="32"/>
          <w:szCs w:val="32"/>
          <w:highlight w:val="none"/>
          <w:lang w:val="en-US" w:eastAsia="zh-CN" w:bidi="ar-SA"/>
        </w:rPr>
        <w:t>的资金，可根据绩效评价结果、项目实施管理和预</w:t>
      </w:r>
      <w:bookmarkStart w:id="8" w:name="OLE_LINK9"/>
      <w:r>
        <w:rPr>
          <w:rFonts w:hint="default" w:ascii="Times New Roman" w:hAnsi="Times New Roman" w:eastAsia="仿宋_GB2312" w:cs="Times New Roman"/>
          <w:color w:val="000000"/>
          <w:kern w:val="2"/>
          <w:sz w:val="32"/>
          <w:szCs w:val="32"/>
          <w:highlight w:val="none"/>
          <w:lang w:val="en-US" w:eastAsia="zh-CN" w:bidi="ar-SA"/>
        </w:rPr>
        <w:t>算执行情况、财会监督及审计等监督检查发现问题等因素进</w:t>
      </w:r>
      <w:bookmarkEnd w:id="7"/>
      <w:r>
        <w:rPr>
          <w:rFonts w:hint="default" w:ascii="Times New Roman" w:hAnsi="Times New Roman" w:eastAsia="仿宋_GB2312" w:cs="Times New Roman"/>
          <w:color w:val="000000"/>
          <w:kern w:val="2"/>
          <w:sz w:val="32"/>
          <w:szCs w:val="32"/>
          <w:highlight w:val="none"/>
          <w:lang w:val="en-US" w:eastAsia="zh-CN" w:bidi="ar-SA"/>
        </w:rPr>
        <w:t>行适当调节，其中：对项目推进快、实施绩效较好的地区，将适当加大扶持力度；对以前年度重点项目实施推进不力的地区，在同类项目竞争性评审时，予以扣分、降档等，成分体现奖优惩劣</w:t>
      </w:r>
      <w:bookmarkEnd w:id="8"/>
      <w:r>
        <w:rPr>
          <w:rFonts w:hint="default" w:ascii="Times New Roman" w:hAnsi="Times New Roman" w:eastAsia="仿宋_GB2312" w:cs="Times New Roman"/>
          <w:color w:val="000000"/>
          <w:kern w:val="2"/>
          <w:sz w:val="32"/>
          <w:szCs w:val="32"/>
          <w:highlight w:val="none"/>
          <w:lang w:val="en-US" w:eastAsia="zh-CN" w:bidi="ar-SA"/>
        </w:rPr>
        <w:t>。</w:t>
      </w:r>
    </w:p>
    <w:p w14:paraId="37026AA2">
      <w:pPr>
        <w:pStyle w:val="4"/>
        <w:pBdr>
          <w:top w:val="none" w:color="auto" w:sz="0" w:space="0"/>
          <w:left w:val="none" w:color="auto" w:sz="0" w:space="0"/>
          <w:bottom w:val="none" w:color="auto" w:sz="0" w:space="0"/>
          <w:right w:val="none" w:color="auto" w:sz="0" w:space="0"/>
        </w:pBdr>
        <w:shd w:val="clear" w:color="auto" w:fill="FFFFFF"/>
        <w:overflowPunct w:val="0"/>
        <w:adjustRightInd w:val="0"/>
        <w:snapToGrid w:val="0"/>
        <w:spacing w:before="0" w:beforeAutospacing="0" w:after="0" w:afterAutospacing="0" w:line="600" w:lineRule="exact"/>
        <w:ind w:firstLine="643" w:firstLineChars="200"/>
        <w:jc w:val="both"/>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000000"/>
          <w:kern w:val="2"/>
          <w:sz w:val="32"/>
          <w:szCs w:val="32"/>
          <w:highlight w:val="none"/>
          <w:lang w:eastAsia="zh-CN" w:bidi="ar-SA"/>
        </w:rPr>
        <w:t>第</w:t>
      </w:r>
      <w:r>
        <w:rPr>
          <w:rFonts w:hint="eastAsia" w:ascii="Times New Roman" w:hAnsi="Times New Roman" w:eastAsia="仿宋_GB2312" w:cs="Times New Roman"/>
          <w:b/>
          <w:bCs/>
          <w:color w:val="000000"/>
          <w:kern w:val="2"/>
          <w:sz w:val="32"/>
          <w:szCs w:val="32"/>
          <w:highlight w:val="none"/>
          <w:lang w:val="en-US" w:eastAsia="zh-CN" w:bidi="ar-SA"/>
        </w:rPr>
        <w:t>九</w:t>
      </w:r>
      <w:r>
        <w:rPr>
          <w:rFonts w:hint="default" w:ascii="Times New Roman" w:hAnsi="Times New Roman" w:eastAsia="仿宋_GB2312" w:cs="Times New Roman"/>
          <w:b/>
          <w:bCs/>
          <w:color w:val="000000"/>
          <w:kern w:val="2"/>
          <w:sz w:val="32"/>
          <w:szCs w:val="32"/>
          <w:highlight w:val="none"/>
          <w:lang w:eastAsia="zh-CN" w:bidi="ar-SA"/>
        </w:rPr>
        <w:t>条</w:t>
      </w:r>
      <w:r>
        <w:rPr>
          <w:rFonts w:hint="default" w:ascii="Times New Roman" w:hAnsi="Times New Roman" w:eastAsia="仿宋_GB2312" w:cs="Times New Roman"/>
          <w:b w:val="0"/>
          <w:bCs w:val="0"/>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eastAsia="zh-CN" w:bidi="ar-SA"/>
        </w:rPr>
        <w:t>专项</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bidi="ar-SA"/>
        </w:rPr>
        <w:t>资金</w:t>
      </w:r>
      <w:bookmarkStart w:id="9" w:name="OLE_LINK22"/>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eastAsia="zh-CN" w:bidi="ar-SA"/>
        </w:rPr>
        <w:t>不得用于新建扩建楼堂馆所等明令禁止的项目建设，以及弥补预算支出缺口、财政补助单位人员和运转经费等与农业产业发展无关的</w:t>
      </w:r>
      <w:bookmarkEnd w:id="9"/>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eastAsia="zh-CN" w:bidi="ar-SA"/>
        </w:rPr>
        <w:t>支出</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bidi="ar-SA"/>
        </w:rPr>
        <w:t>。</w:t>
      </w:r>
      <w:r>
        <w:rPr>
          <w:rFonts w:hint="default" w:ascii="Times New Roman" w:hAnsi="Times New Roman" w:eastAsia="仿宋_GB2312" w:cs="Times New Roman"/>
          <w:b w:val="0"/>
          <w:bCs w:val="0"/>
          <w:i w:val="0"/>
          <w:caps w:val="0"/>
          <w:color w:val="000000"/>
          <w:spacing w:val="0"/>
          <w:kern w:val="2"/>
          <w:sz w:val="32"/>
          <w:szCs w:val="32"/>
          <w:highlight w:val="none"/>
          <w:shd w:val="clear" w:color="auto" w:fill="auto"/>
          <w:lang w:eastAsia="zh-CN" w:bidi="ar-SA"/>
        </w:rPr>
        <w:t>严禁用于破坏耕地和生态保护红线的项目支出。涉及绿心地区新增项目必须及时办理绿心准入手续。对不符合法律法规、政策到期以及从中央基建投资等其他渠道获得性质类同的中央、省级资金支持的项目，要严格审核，不得申请农业产业高质量发展资金支持。</w:t>
      </w:r>
    </w:p>
    <w:p w14:paraId="1DBAD194">
      <w:pPr>
        <w:pStyle w:val="3"/>
        <w:widowControl/>
        <w:spacing w:line="600" w:lineRule="exact"/>
        <w:ind w:firstLine="0"/>
        <w:jc w:val="center"/>
        <w:rPr>
          <w:rFonts w:hint="eastAsia" w:ascii="Times New Roman" w:hAnsi="Times New Roman" w:eastAsia="仿宋_GB2312" w:cs="Times New Roman"/>
          <w:b/>
          <w:bCs/>
          <w:i w:val="0"/>
          <w:iCs w:val="0"/>
          <w:caps w:val="0"/>
          <w:color w:val="auto"/>
          <w:spacing w:val="0"/>
          <w:sz w:val="32"/>
          <w:szCs w:val="32"/>
          <w:highlight w:val="none"/>
          <w:u w:val="none"/>
          <w:shd w:val="clear" w:color="auto" w:fill="auto"/>
          <w:vertAlign w:val="baseline"/>
          <w:lang w:val="en-US" w:eastAsia="zh-CN"/>
        </w:rPr>
      </w:pPr>
      <w:r>
        <w:rPr>
          <w:rFonts w:hint="eastAsia" w:ascii="黑体" w:hAnsi="黑体" w:eastAsia="黑体" w:cs="黑体"/>
          <w:b w:val="0"/>
          <w:bCs/>
          <w:color w:val="000000"/>
          <w:kern w:val="2"/>
          <w:sz w:val="32"/>
          <w:szCs w:val="32"/>
          <w:highlight w:val="none"/>
          <w:lang w:val="en-US" w:eastAsia="zh-CN" w:bidi="ar-SA"/>
        </w:rPr>
        <w:t>四、资金下达和项目管理</w:t>
      </w:r>
    </w:p>
    <w:p w14:paraId="3A96C7E3">
      <w:pPr>
        <w:pStyle w:val="6"/>
        <w:keepNext w:val="0"/>
        <w:keepLines w:val="0"/>
        <w:pageBreakBefore w:val="0"/>
        <w:kinsoku/>
        <w:wordWrap/>
        <w:topLinePunct w:val="0"/>
        <w:autoSpaceDE/>
        <w:autoSpaceDN/>
        <w:bidi w:val="0"/>
        <w:spacing w:before="0" w:beforeAutospacing="0" w:after="0" w:afterAutospacing="0" w:line="600" w:lineRule="exact"/>
        <w:ind w:firstLine="643" w:firstLineChars="200"/>
        <w:jc w:val="both"/>
        <w:rPr>
          <w:rFonts w:hint="eastAsia" w:ascii="仿宋" w:hAnsi="仿宋" w:eastAsia="仿宋" w:cs="仿宋"/>
          <w:b w:val="0"/>
          <w:bCs w:val="0"/>
          <w:i w:val="0"/>
          <w:iCs w:val="0"/>
          <w:caps w:val="0"/>
          <w:color w:val="auto"/>
          <w:spacing w:val="0"/>
          <w:sz w:val="32"/>
          <w:szCs w:val="32"/>
          <w:highlight w:val="none"/>
          <w:u w:val="none"/>
          <w:shd w:val="clear" w:color="auto" w:fill="FFFFFF"/>
          <w:vertAlign w:val="baseline"/>
          <w:lang w:val="en-US" w:eastAsia="zh-CN"/>
        </w:rPr>
      </w:pPr>
      <w:r>
        <w:rPr>
          <w:rFonts w:hint="eastAsia" w:ascii="Times New Roman" w:hAnsi="Times New Roman" w:eastAsia="仿宋_GB2312" w:cs="Times New Roman"/>
          <w:b/>
          <w:bCs/>
          <w:i w:val="0"/>
          <w:iCs w:val="0"/>
          <w:caps w:val="0"/>
          <w:color w:val="auto"/>
          <w:spacing w:val="0"/>
          <w:sz w:val="32"/>
          <w:szCs w:val="32"/>
          <w:highlight w:val="none"/>
          <w:u w:val="none"/>
          <w:shd w:val="clear" w:color="auto" w:fill="auto"/>
          <w:vertAlign w:val="baseline"/>
          <w:lang w:val="en-US" w:eastAsia="zh-CN"/>
        </w:rPr>
        <w:t>第十条</w:t>
      </w: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 xml:space="preserve"> 因素</w:t>
      </w:r>
      <w:bookmarkStart w:id="10" w:name="OLE_LINK2"/>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法分配资金的下达</w:t>
      </w:r>
      <w:bookmarkEnd w:id="10"/>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和使用程序：</w:t>
      </w:r>
    </w:p>
    <w:p w14:paraId="75993F87">
      <w:pPr>
        <w:pStyle w:val="6"/>
        <w:keepNext w:val="0"/>
        <w:keepLines w:val="0"/>
        <w:pageBreakBefore w:val="0"/>
        <w:kinsoku/>
        <w:wordWrap/>
        <w:topLinePunct w:val="0"/>
        <w:autoSpaceDE/>
        <w:autoSpaceDN/>
        <w:bidi w:val="0"/>
        <w:spacing w:before="0" w:beforeAutospacing="0" w:after="0" w:afterAutospacing="0" w:line="600" w:lineRule="exact"/>
        <w:ind w:firstLine="640" w:firstLineChars="200"/>
        <w:jc w:val="both"/>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pP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市农业农村局围绕当年度政策目标和任务要求，设定相应任务因素和权重进行测算分配，制定资金分配建议方案，市财政局审核后报市政府审批下达专项资金，绩效目标随同资金文件一并下达，工</w:t>
      </w:r>
      <w:bookmarkStart w:id="11" w:name="OLE_LINK21"/>
      <w:bookmarkStart w:id="12" w:name="OLE_LINK20"/>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作任务（任务清单）在资金文件下发后10日内另行下达县市区并报市财政局备案。各县市区农业农村部门在收到下达资金</w:t>
      </w:r>
      <w:bookmarkEnd w:id="11"/>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文件3</w:t>
      </w:r>
      <w:bookmarkEnd w:id="12"/>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0日内根据绩效目标、任务清单、实施要求等，细化制订本地资金使用方案，并报市农业农村局和市财政局备案。</w:t>
      </w:r>
    </w:p>
    <w:p w14:paraId="4615FF7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pPr>
      <w:r>
        <w:rPr>
          <w:rFonts w:hint="eastAsia" w:ascii="Times New Roman" w:hAnsi="Times New Roman" w:eastAsia="仿宋_GB2312" w:cs="Times New Roman"/>
          <w:b/>
          <w:bCs/>
          <w:i w:val="0"/>
          <w:iCs w:val="0"/>
          <w:caps w:val="0"/>
          <w:color w:val="auto"/>
          <w:spacing w:val="0"/>
          <w:sz w:val="32"/>
          <w:szCs w:val="32"/>
          <w:highlight w:val="none"/>
          <w:u w:val="none"/>
          <w:shd w:val="clear" w:color="auto" w:fill="auto"/>
          <w:vertAlign w:val="baseline"/>
          <w:lang w:val="en-US" w:eastAsia="zh-CN"/>
        </w:rPr>
        <w:t>第十一条</w:t>
      </w:r>
      <w:r>
        <w:rPr>
          <w:rFonts w:hint="eastAsia" w:ascii="仿宋" w:hAnsi="仿宋" w:eastAsia="仿宋" w:cs="仿宋"/>
          <w:b w:val="0"/>
          <w:bCs w:val="0"/>
          <w:i w:val="0"/>
          <w:iCs w:val="0"/>
          <w:caps w:val="0"/>
          <w:color w:val="auto"/>
          <w:spacing w:val="0"/>
          <w:sz w:val="32"/>
          <w:szCs w:val="32"/>
          <w:highlight w:val="none"/>
          <w:u w:val="none"/>
          <w:shd w:val="clear" w:color="auto" w:fill="FFFFFF"/>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竞争性分配资金项目的下达和使用程序：</w:t>
      </w:r>
    </w:p>
    <w:p w14:paraId="617A582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pPr>
      <w:bookmarkStart w:id="13" w:name="OLE_LINK1"/>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市农业农村局联合市财政局制定下发项目创建方案或申报通知，明确申报对象、申</w:t>
      </w:r>
      <w:bookmarkStart w:id="14" w:name="OLE_LINK13"/>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报条件和申报程序</w:t>
      </w:r>
      <w:bookmarkEnd w:id="14"/>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w:t>
      </w:r>
      <w:bookmarkEnd w:id="13"/>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各县市区农业</w:t>
      </w:r>
      <w:bookmarkStart w:id="15" w:name="OLE_LINK14"/>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农村部门会同同级财政部门按照项目</w:t>
      </w:r>
      <w:bookmarkEnd w:id="15"/>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通知提出申请，根据要求并结合当地实际制定具体工作推进方案，报市农业农村局。市农业农村局会同市财政局组织开展竞争性评审,确定资金分配方案并向社会公示7天无异议后，市农业农村局与市财政局会商报市政府同意后下达专项资金。立项后各县市区农业农村局会同同级财政部门制订具体工作推进方案。</w:t>
      </w:r>
    </w:p>
    <w:p w14:paraId="37DAC6B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3" w:firstLineChars="200"/>
        <w:jc w:val="both"/>
        <w:textAlignment w:val="auto"/>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pPr>
      <w:r>
        <w:rPr>
          <w:rFonts w:hint="eastAsia" w:ascii="Times New Roman" w:hAnsi="Times New Roman" w:eastAsia="仿宋_GB2312" w:cs="Times New Roman"/>
          <w:b/>
          <w:bCs/>
          <w:i w:val="0"/>
          <w:iCs w:val="0"/>
          <w:caps w:val="0"/>
          <w:color w:val="auto"/>
          <w:spacing w:val="0"/>
          <w:sz w:val="32"/>
          <w:szCs w:val="32"/>
          <w:highlight w:val="none"/>
          <w:u w:val="none"/>
          <w:shd w:val="clear" w:color="auto" w:fill="auto"/>
          <w:vertAlign w:val="baseline"/>
          <w:lang w:val="en-US" w:eastAsia="zh-CN"/>
        </w:rPr>
        <w:t>第十二条</w:t>
      </w:r>
      <w:r>
        <w:rPr>
          <w:rFonts w:hint="eastAsia" w:ascii="黑体" w:hAnsi="黑体" w:eastAsia="黑体" w:cs="黑体"/>
          <w:b w:val="0"/>
          <w:bCs w:val="0"/>
          <w:i w:val="0"/>
          <w:iCs w:val="0"/>
          <w:caps w:val="0"/>
          <w:color w:val="auto"/>
          <w:spacing w:val="0"/>
          <w:sz w:val="32"/>
          <w:szCs w:val="32"/>
          <w:highlight w:val="none"/>
          <w:u w:val="none"/>
          <w:shd w:val="clear" w:color="auto" w:fill="FFFFFF"/>
          <w:vertAlign w:val="baseline"/>
          <w:lang w:val="en-US" w:eastAsia="zh-CN"/>
        </w:rPr>
        <w:t xml:space="preserve"> </w:t>
      </w: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政策性分配资金项目的下达和使用程序：</w:t>
      </w:r>
    </w:p>
    <w:p w14:paraId="4C08BEE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pP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由申报对象直接向市农业农村局申报，市农业农村局对申报对象报送的相关材料进行审核，提出支持项目及项目拟扶持资金，并将结果向社会公示7天无异议后，经市财政局审核报市政府批准后下达专项资金。</w:t>
      </w:r>
    </w:p>
    <w:p w14:paraId="57399A49">
      <w:pPr>
        <w:pStyle w:val="6"/>
        <w:widowControl/>
        <w:numPr>
          <w:ilvl w:val="0"/>
          <w:numId w:val="0"/>
        </w:numPr>
        <w:spacing w:before="0" w:beforeAutospacing="0" w:after="0" w:afterAutospacing="0" w:line="600" w:lineRule="exact"/>
        <w:ind w:firstLine="0" w:firstLineChars="0"/>
        <w:textAlignment w:val="baseline"/>
        <w:rPr>
          <w:rFonts w:hint="default" w:ascii="Times New Roman" w:hAnsi="Times New Roman" w:eastAsia="仿宋_GB2312" w:cs="Times New Roman"/>
          <w:b/>
          <w:bCs/>
          <w:color w:val="000000"/>
          <w:kern w:val="2"/>
          <w:sz w:val="32"/>
          <w:szCs w:val="32"/>
          <w:highlight w:val="none"/>
          <w:shd w:val="clear" w:color="auto" w:fill="auto"/>
          <w:lang w:eastAsia="zh-CN" w:bidi="ar-SA"/>
        </w:rPr>
      </w:pPr>
      <w:r>
        <w:rPr>
          <w:rFonts w:hint="eastAsia" w:ascii="黑体" w:hAnsi="黑体" w:eastAsia="黑体" w:cs="黑体"/>
          <w:color w:val="auto"/>
          <w:kern w:val="2"/>
          <w:sz w:val="32"/>
          <w:szCs w:val="32"/>
          <w:highlight w:val="none"/>
          <w:lang w:val="en-US" w:eastAsia="zh-CN" w:bidi="ar-SA"/>
        </w:rPr>
        <w:t xml:space="preserve">    </w:t>
      </w:r>
      <w:r>
        <w:rPr>
          <w:rFonts w:hint="eastAsia" w:ascii="Times New Roman" w:hAnsi="Times New Roman" w:eastAsia="仿宋_GB2312" w:cs="Times New Roman"/>
          <w:b/>
          <w:bCs/>
          <w:color w:val="auto"/>
          <w:kern w:val="0"/>
          <w:sz w:val="32"/>
          <w:szCs w:val="32"/>
          <w:highlight w:val="none"/>
          <w:u w:val="none"/>
          <w:lang w:val="en-US" w:eastAsia="zh-CN" w:bidi="ar-SA"/>
        </w:rPr>
        <w:t>第十三条</w:t>
      </w:r>
      <w:r>
        <w:rPr>
          <w:rFonts w:hint="eastAsia" w:ascii="黑体" w:hAnsi="黑体" w:eastAsia="黑体" w:cs="黑体"/>
          <w:color w:val="auto"/>
          <w:kern w:val="2"/>
          <w:sz w:val="32"/>
          <w:szCs w:val="32"/>
          <w:highlight w:val="none"/>
          <w:lang w:val="en-US" w:eastAsia="zh-CN" w:bidi="ar-SA"/>
        </w:rPr>
        <w:t xml:space="preserve"> </w:t>
      </w:r>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县级项目工作方案报备</w:t>
      </w:r>
      <w:bookmarkStart w:id="16" w:name="OLE_LINK16"/>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后原则上不得调整，因重大</w:t>
      </w:r>
      <w:bookmarkStart w:id="17" w:name="OLE_LINK19"/>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政策</w:t>
      </w:r>
      <w:bookmarkStart w:id="18" w:name="OLE_LINK12"/>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调整</w:t>
      </w:r>
      <w:bookmarkEnd w:id="17"/>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、项目实施条件变化等不可预见因</w:t>
      </w:r>
      <w:bookmarkEnd w:id="16"/>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素影响，调整幅度超过10</w:t>
      </w:r>
      <w:bookmarkStart w:id="19" w:name="OLE_LINK15"/>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%的，需重</w:t>
      </w:r>
      <w:bookmarkEnd w:id="19"/>
      <w:r>
        <w:rPr>
          <w:rFonts w:hint="eastAsia" w:ascii="Times New Roman" w:hAnsi="Times New Roman" w:eastAsia="仿宋_GB2312" w:cs="Times New Roman"/>
          <w:b w:val="0"/>
          <w:bCs w:val="0"/>
          <w:i w:val="0"/>
          <w:iCs w:val="0"/>
          <w:caps w:val="0"/>
          <w:color w:val="auto"/>
          <w:spacing w:val="0"/>
          <w:kern w:val="2"/>
          <w:sz w:val="32"/>
          <w:szCs w:val="32"/>
          <w:highlight w:val="none"/>
          <w:u w:val="none"/>
          <w:shd w:val="clear" w:color="auto" w:fill="auto"/>
          <w:vertAlign w:val="baseline"/>
          <w:lang w:val="en-US" w:eastAsia="zh-CN" w:bidi="ar-SA"/>
        </w:rPr>
        <w:t>新报市农业农村局、市财政局备案。</w:t>
      </w:r>
    </w:p>
    <w:p w14:paraId="7E0433C0">
      <w:pPr>
        <w:pStyle w:val="4"/>
        <w:pBdr>
          <w:top w:val="none" w:color="auto" w:sz="0" w:space="0"/>
          <w:left w:val="none" w:color="auto" w:sz="0" w:space="0"/>
          <w:bottom w:val="none" w:color="auto" w:sz="0" w:space="0"/>
          <w:right w:val="none" w:color="auto" w:sz="0" w:space="0"/>
        </w:pBdr>
        <w:shd w:val="clear" w:color="auto" w:fill="FFFFFF"/>
        <w:overflowPunct w:val="0"/>
        <w:adjustRightInd w:val="0"/>
        <w:snapToGrid w:val="0"/>
        <w:spacing w:before="0" w:beforeAutospacing="0" w:after="0" w:afterAutospacing="0" w:line="600" w:lineRule="exact"/>
        <w:ind w:firstLine="643" w:firstLineChars="200"/>
        <w:jc w:val="both"/>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pPr>
      <w:r>
        <w:rPr>
          <w:rFonts w:hint="default" w:ascii="Times New Roman" w:hAnsi="Times New Roman" w:eastAsia="仿宋_GB2312" w:cs="Times New Roman"/>
          <w:b/>
          <w:bCs/>
          <w:color w:val="000000"/>
          <w:kern w:val="2"/>
          <w:sz w:val="32"/>
          <w:szCs w:val="32"/>
          <w:highlight w:val="none"/>
          <w:shd w:val="clear" w:color="auto" w:fill="auto"/>
          <w:lang w:eastAsia="zh-CN" w:bidi="ar-SA"/>
        </w:rPr>
        <w:t>第</w:t>
      </w:r>
      <w:r>
        <w:rPr>
          <w:rFonts w:hint="eastAsia" w:ascii="Times New Roman" w:hAnsi="Times New Roman" w:eastAsia="仿宋_GB2312" w:cs="Times New Roman"/>
          <w:b/>
          <w:bCs/>
          <w:color w:val="000000"/>
          <w:kern w:val="2"/>
          <w:sz w:val="32"/>
          <w:szCs w:val="32"/>
          <w:highlight w:val="none"/>
          <w:shd w:val="clear" w:color="auto" w:fill="auto"/>
          <w:lang w:eastAsia="zh-CN" w:bidi="ar-SA"/>
        </w:rPr>
        <w:t>十</w:t>
      </w:r>
      <w:r>
        <w:rPr>
          <w:rFonts w:hint="eastAsia" w:ascii="Times New Roman" w:hAnsi="Times New Roman" w:eastAsia="仿宋_GB2312" w:cs="Times New Roman"/>
          <w:b/>
          <w:bCs/>
          <w:color w:val="000000"/>
          <w:kern w:val="2"/>
          <w:sz w:val="32"/>
          <w:szCs w:val="32"/>
          <w:highlight w:val="none"/>
          <w:shd w:val="clear" w:color="auto" w:fill="auto"/>
          <w:lang w:val="en-US" w:eastAsia="zh-CN" w:bidi="ar-SA"/>
        </w:rPr>
        <w:t>四</w:t>
      </w:r>
      <w:r>
        <w:rPr>
          <w:rFonts w:hint="default" w:ascii="Times New Roman" w:hAnsi="Times New Roman" w:eastAsia="仿宋_GB2312" w:cs="Times New Roman"/>
          <w:b/>
          <w:bCs/>
          <w:color w:val="000000"/>
          <w:kern w:val="2"/>
          <w:sz w:val="32"/>
          <w:szCs w:val="32"/>
          <w:highlight w:val="none"/>
          <w:shd w:val="clear" w:color="auto" w:fill="auto"/>
          <w:lang w:eastAsia="zh-CN" w:bidi="ar-SA"/>
        </w:rPr>
        <w:t>条</w:t>
      </w:r>
      <w:r>
        <w:rPr>
          <w:rFonts w:hint="default" w:ascii="Times New Roman" w:hAnsi="Times New Roman" w:eastAsia="仿宋_GB2312" w:cs="Times New Roman"/>
          <w:b/>
          <w:bCs/>
          <w:color w:val="000000"/>
          <w:kern w:val="2"/>
          <w:sz w:val="32"/>
          <w:szCs w:val="32"/>
          <w:highlight w:val="none"/>
          <w:shd w:val="clear" w:color="auto" w:fill="auto"/>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各级财政部门和农业主管部门</w:t>
      </w:r>
      <w:bookmarkStart w:id="20" w:name="OLE_LINK17"/>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应加强</w:t>
      </w:r>
      <w:bookmarkEnd w:id="18"/>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专项</w:t>
      </w:r>
      <w:bookmarkEnd w:id="20"/>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资金的预算</w:t>
      </w:r>
      <w:bookmarkStart w:id="21" w:name="OLE_LINK18"/>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执行管理，提高预算执行的及时性与有效性，提高资金使用效益。结转结余的</w:t>
      </w:r>
      <w:bookmarkEnd w:id="21"/>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专项资金按照结转结余资金管理有关规定处理。</w:t>
      </w:r>
    </w:p>
    <w:p w14:paraId="60DF53AC">
      <w:pPr>
        <w:pStyle w:val="4"/>
        <w:pBdr>
          <w:top w:val="none" w:color="auto" w:sz="0" w:space="0"/>
          <w:left w:val="none" w:color="auto" w:sz="0" w:space="0"/>
          <w:bottom w:val="none" w:color="auto" w:sz="0" w:space="0"/>
          <w:right w:val="none" w:color="auto" w:sz="0" w:space="0"/>
        </w:pBdr>
        <w:shd w:val="clear" w:color="auto" w:fill="FFFFFF"/>
        <w:overflowPunct w:val="0"/>
        <w:adjustRightInd w:val="0"/>
        <w:snapToGrid w:val="0"/>
        <w:spacing w:before="0" w:beforeAutospacing="0" w:after="0" w:afterAutospacing="0" w:line="600" w:lineRule="exact"/>
        <w:ind w:firstLine="643" w:firstLineChars="200"/>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pPr>
      <w:r>
        <w:rPr>
          <w:rFonts w:hint="default" w:ascii="Times New Roman" w:hAnsi="Times New Roman" w:eastAsia="仿宋_GB2312" w:cs="Times New Roman"/>
          <w:b/>
          <w:bCs/>
          <w:color w:val="000000"/>
          <w:kern w:val="2"/>
          <w:sz w:val="32"/>
          <w:szCs w:val="32"/>
          <w:highlight w:val="none"/>
          <w:shd w:val="clear" w:color="auto" w:fill="auto"/>
          <w:lang w:val="en-US" w:eastAsia="zh-CN" w:bidi="ar-SA"/>
        </w:rPr>
        <w:t>第十</w:t>
      </w:r>
      <w:r>
        <w:rPr>
          <w:rFonts w:hint="eastAsia" w:ascii="Times New Roman" w:hAnsi="Times New Roman" w:eastAsia="仿宋_GB2312" w:cs="Times New Roman"/>
          <w:b/>
          <w:bCs/>
          <w:color w:val="000000"/>
          <w:kern w:val="2"/>
          <w:sz w:val="32"/>
          <w:szCs w:val="32"/>
          <w:highlight w:val="none"/>
          <w:shd w:val="clear" w:color="auto" w:fill="auto"/>
          <w:lang w:val="en-US" w:eastAsia="zh-CN" w:bidi="ar-SA"/>
        </w:rPr>
        <w:t>五</w:t>
      </w:r>
      <w:r>
        <w:rPr>
          <w:rFonts w:hint="default" w:ascii="Times New Roman" w:hAnsi="Times New Roman" w:eastAsia="仿宋_GB2312" w:cs="Times New Roman"/>
          <w:b/>
          <w:bCs/>
          <w:color w:val="000000"/>
          <w:kern w:val="2"/>
          <w:sz w:val="32"/>
          <w:szCs w:val="32"/>
          <w:highlight w:val="none"/>
          <w:shd w:val="clear" w:color="auto" w:fill="auto"/>
          <w:lang w:val="en-US" w:eastAsia="zh-CN" w:bidi="ar-SA"/>
        </w:rPr>
        <w:t>条</w:t>
      </w:r>
      <w:r>
        <w:rPr>
          <w:rFonts w:hint="default" w:ascii="Times New Roman" w:hAnsi="Times New Roman" w:eastAsia="仿宋_GB2312" w:cs="Times New Roman"/>
          <w:b w:val="0"/>
          <w:bCs w:val="0"/>
          <w:color w:val="000000"/>
          <w:kern w:val="2"/>
          <w:sz w:val="32"/>
          <w:szCs w:val="32"/>
          <w:highlight w:val="none"/>
          <w:shd w:val="clear" w:color="auto" w:fill="auto"/>
          <w:lang w:val="en-US" w:eastAsia="zh-CN" w:bidi="ar-SA"/>
        </w:rPr>
        <w:t xml:space="preserve"> 竞争类项目申报实行项目储备库制度。市农业农村局严格实行项目库管理，审核入库、遴选出库、动态管理，并向市财政报备。</w:t>
      </w:r>
    </w:p>
    <w:p w14:paraId="17767243">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jc w:val="center"/>
        <w:textAlignment w:val="auto"/>
        <w:rPr>
          <w:rFonts w:hint="default" w:ascii="Times New Roman" w:hAnsi="Times New Roman" w:eastAsia="黑体" w:cs="Times New Roman"/>
          <w:b w:val="0"/>
          <w:bCs w:val="0"/>
          <w:color w:val="000000"/>
          <w:kern w:val="2"/>
          <w:sz w:val="32"/>
          <w:szCs w:val="32"/>
          <w:highlight w:val="none"/>
          <w:lang w:eastAsia="zh-CN" w:bidi="ar-SA"/>
        </w:rPr>
      </w:pPr>
      <w:r>
        <w:rPr>
          <w:rFonts w:hint="eastAsia" w:ascii="Times New Roman" w:hAnsi="Times New Roman" w:eastAsia="黑体" w:cs="Times New Roman"/>
          <w:b w:val="0"/>
          <w:bCs w:val="0"/>
          <w:color w:val="000000"/>
          <w:kern w:val="2"/>
          <w:sz w:val="32"/>
          <w:szCs w:val="32"/>
          <w:highlight w:val="none"/>
          <w:lang w:val="en-US" w:eastAsia="zh-CN" w:bidi="ar-SA"/>
        </w:rPr>
        <w:t>五</w:t>
      </w:r>
      <w:r>
        <w:rPr>
          <w:rFonts w:hint="default" w:ascii="Times New Roman" w:hAnsi="Times New Roman" w:eastAsia="黑体" w:cs="Times New Roman"/>
          <w:b w:val="0"/>
          <w:bCs w:val="0"/>
          <w:color w:val="000000"/>
          <w:kern w:val="2"/>
          <w:sz w:val="32"/>
          <w:szCs w:val="32"/>
          <w:highlight w:val="none"/>
          <w:lang w:val="en-US" w:eastAsia="zh-CN" w:bidi="ar-SA"/>
        </w:rPr>
        <w:t>、</w:t>
      </w:r>
      <w:r>
        <w:rPr>
          <w:rFonts w:hint="default" w:ascii="Times New Roman" w:hAnsi="Times New Roman" w:eastAsia="黑体" w:cs="Times New Roman"/>
          <w:b w:val="0"/>
          <w:bCs w:val="0"/>
          <w:color w:val="000000"/>
          <w:kern w:val="2"/>
          <w:sz w:val="32"/>
          <w:szCs w:val="32"/>
          <w:highlight w:val="none"/>
          <w:lang w:eastAsia="zh-CN" w:bidi="ar-SA"/>
        </w:rPr>
        <w:t>绩效管理和监督检查</w:t>
      </w:r>
    </w:p>
    <w:p w14:paraId="39E74797">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default" w:ascii="Times New Roman" w:hAnsi="Times New Roman" w:eastAsia="仿宋_GB2312" w:cs="Times New Roman"/>
          <w:b/>
          <w:bCs/>
          <w:color w:val="000000"/>
          <w:kern w:val="2"/>
          <w:sz w:val="32"/>
          <w:szCs w:val="32"/>
          <w:highlight w:val="none"/>
          <w:lang w:eastAsia="zh-CN" w:bidi="ar-SA"/>
        </w:rPr>
        <w:t>第</w:t>
      </w:r>
      <w:r>
        <w:rPr>
          <w:rFonts w:hint="eastAsia" w:ascii="Times New Roman" w:hAnsi="Times New Roman" w:eastAsia="仿宋_GB2312" w:cs="Times New Roman"/>
          <w:b/>
          <w:bCs/>
          <w:color w:val="000000"/>
          <w:kern w:val="2"/>
          <w:sz w:val="32"/>
          <w:szCs w:val="32"/>
          <w:highlight w:val="none"/>
          <w:lang w:eastAsia="zh-CN" w:bidi="ar-SA"/>
        </w:rPr>
        <w:t>十</w:t>
      </w:r>
      <w:r>
        <w:rPr>
          <w:rFonts w:hint="eastAsia" w:ascii="Times New Roman" w:hAnsi="Times New Roman" w:eastAsia="仿宋_GB2312" w:cs="Times New Roman"/>
          <w:b/>
          <w:bCs/>
          <w:color w:val="000000"/>
          <w:kern w:val="2"/>
          <w:sz w:val="32"/>
          <w:szCs w:val="32"/>
          <w:highlight w:val="none"/>
          <w:lang w:val="en-US" w:eastAsia="zh-CN" w:bidi="ar-SA"/>
        </w:rPr>
        <w:t>六</w:t>
      </w:r>
      <w:r>
        <w:rPr>
          <w:rFonts w:hint="default" w:ascii="Times New Roman" w:hAnsi="Times New Roman" w:eastAsia="仿宋_GB2312" w:cs="Times New Roman"/>
          <w:b/>
          <w:bCs/>
          <w:color w:val="000000"/>
          <w:kern w:val="2"/>
          <w:sz w:val="32"/>
          <w:szCs w:val="32"/>
          <w:highlight w:val="none"/>
          <w:lang w:eastAsia="zh-CN" w:bidi="ar-SA"/>
        </w:rPr>
        <w:t>条</w:t>
      </w:r>
      <w:r>
        <w:rPr>
          <w:rFonts w:hint="default" w:ascii="Times New Roman" w:hAnsi="Times New Roman" w:eastAsia="仿宋_GB2312" w:cs="Times New Roman"/>
          <w:b/>
          <w:bCs/>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lang w:bidi="ar-SA"/>
        </w:rPr>
        <w:t>绩效管理</w:t>
      </w:r>
    </w:p>
    <w:p w14:paraId="5208DF94">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eastAsia="zh-CN" w:bidi="ar-SA"/>
        </w:rPr>
        <w:t>专项资金实行全过程预算绩效管理，按照绩效管理有关规定，设定绩效目标、开展绩效目标执行情况监控和绩效评价等工作，绩效目标设定应与资金量、成本效应等相匹配。</w:t>
      </w:r>
    </w:p>
    <w:p w14:paraId="3FCAC820">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bidi="ar-SA"/>
        </w:rPr>
        <w:t>市</w:t>
      </w:r>
      <w:r>
        <w:rPr>
          <w:rFonts w:hint="default" w:ascii="Times New Roman" w:hAnsi="Times New Roman" w:eastAsia="仿宋_GB2312" w:cs="Times New Roman"/>
          <w:b w:val="0"/>
          <w:bCs w:val="0"/>
          <w:color w:val="000000"/>
          <w:kern w:val="2"/>
          <w:sz w:val="32"/>
          <w:szCs w:val="32"/>
          <w:highlight w:val="none"/>
          <w:lang w:eastAsia="zh-CN" w:bidi="ar-SA"/>
        </w:rPr>
        <w:t>农业农村局应</w:t>
      </w:r>
      <w:r>
        <w:rPr>
          <w:rFonts w:hint="default" w:ascii="Times New Roman" w:hAnsi="Times New Roman" w:eastAsia="仿宋_GB2312" w:cs="Times New Roman"/>
          <w:b w:val="0"/>
          <w:bCs w:val="0"/>
          <w:color w:val="000000"/>
          <w:kern w:val="2"/>
          <w:sz w:val="32"/>
          <w:szCs w:val="32"/>
          <w:highlight w:val="none"/>
          <w:lang w:bidi="ar-SA"/>
        </w:rPr>
        <w:t>加强项目的绩效目标管理，</w:t>
      </w:r>
      <w:r>
        <w:rPr>
          <w:rFonts w:hint="eastAsia" w:ascii="Times New Roman" w:hAnsi="Times New Roman" w:eastAsia="仿宋_GB2312" w:cs="Times New Roman"/>
          <w:b w:val="0"/>
          <w:bCs w:val="0"/>
          <w:color w:val="000000"/>
          <w:kern w:val="2"/>
          <w:sz w:val="32"/>
          <w:szCs w:val="32"/>
          <w:highlight w:val="none"/>
          <w:lang w:eastAsia="zh-CN" w:bidi="ar-SA"/>
        </w:rPr>
        <w:t>在提出资金分配方案时，应同时提交分项目的绩效目标表</w:t>
      </w:r>
      <w:r>
        <w:rPr>
          <w:rFonts w:hint="default" w:ascii="Times New Roman" w:hAnsi="Times New Roman" w:eastAsia="仿宋_GB2312" w:cs="Times New Roman"/>
          <w:b w:val="0"/>
          <w:bCs w:val="0"/>
          <w:color w:val="000000"/>
          <w:kern w:val="2"/>
          <w:sz w:val="32"/>
          <w:szCs w:val="32"/>
          <w:highlight w:val="none"/>
          <w:lang w:eastAsia="zh-CN" w:bidi="ar-SA"/>
        </w:rPr>
        <w:t>，未按要求设定绩效目标或绩效目标设定不合理且未按要求调整的，不得进入资金分配流程</w:t>
      </w:r>
      <w:r>
        <w:rPr>
          <w:rFonts w:hint="default" w:ascii="Times New Roman" w:hAnsi="Times New Roman" w:eastAsia="仿宋_GB2312" w:cs="Times New Roman"/>
          <w:b w:val="0"/>
          <w:bCs w:val="0"/>
          <w:color w:val="000000"/>
          <w:kern w:val="2"/>
          <w:sz w:val="32"/>
          <w:szCs w:val="32"/>
          <w:highlight w:val="none"/>
          <w:lang w:bidi="ar-SA"/>
        </w:rPr>
        <w:t>。各</w:t>
      </w:r>
      <w:r>
        <w:rPr>
          <w:rFonts w:hint="default" w:ascii="Times New Roman" w:hAnsi="Times New Roman" w:eastAsia="仿宋_GB2312" w:cs="Times New Roman"/>
          <w:b w:val="0"/>
          <w:bCs w:val="0"/>
          <w:color w:val="000000"/>
          <w:kern w:val="2"/>
          <w:sz w:val="32"/>
          <w:szCs w:val="32"/>
          <w:highlight w:val="none"/>
          <w:lang w:eastAsia="zh-CN" w:bidi="ar-SA"/>
        </w:rPr>
        <w:t>县市区农业农村</w:t>
      </w:r>
      <w:r>
        <w:rPr>
          <w:rFonts w:hint="default" w:ascii="Times New Roman" w:hAnsi="Times New Roman" w:eastAsia="仿宋_GB2312" w:cs="Times New Roman"/>
          <w:b w:val="0"/>
          <w:bCs w:val="0"/>
          <w:color w:val="000000"/>
          <w:kern w:val="2"/>
          <w:sz w:val="32"/>
          <w:szCs w:val="32"/>
          <w:highlight w:val="none"/>
          <w:lang w:bidi="ar-SA"/>
        </w:rPr>
        <w:t>部门会同同级财政部门根据项目管理和实施情况组织实施绩效目标申报、绩效监控和绩效评价等工作，切实提高财政资金使用效益。</w:t>
      </w:r>
    </w:p>
    <w:p w14:paraId="663EE659">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0" w:firstLineChars="0"/>
        <w:jc w:val="both"/>
        <w:textAlignment w:val="auto"/>
        <w:outlineLvl w:val="2"/>
        <w:rPr>
          <w:rFonts w:hint="default" w:ascii="Times New Roman" w:hAnsi="Times New Roman" w:eastAsia="仿宋_GB2312" w:cs="Times New Roman"/>
          <w:b w:val="0"/>
          <w:bCs w:val="0"/>
          <w:color w:val="000000"/>
          <w:kern w:val="2"/>
          <w:sz w:val="32"/>
          <w:szCs w:val="32"/>
          <w:highlight w:val="none"/>
          <w:lang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    </w:t>
      </w: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bidi="ar-SA"/>
        </w:rPr>
        <w:t>按照“谁用款、谁负责”的原则，市</w:t>
      </w:r>
      <w:r>
        <w:rPr>
          <w:rFonts w:hint="default" w:ascii="Times New Roman" w:hAnsi="Times New Roman" w:eastAsia="仿宋_GB2312" w:cs="Times New Roman"/>
          <w:b w:val="0"/>
          <w:bCs w:val="0"/>
          <w:color w:val="000000"/>
          <w:kern w:val="2"/>
          <w:sz w:val="32"/>
          <w:szCs w:val="32"/>
          <w:highlight w:val="none"/>
          <w:lang w:eastAsia="zh-CN" w:bidi="ar-SA"/>
        </w:rPr>
        <w:t>农业农村局</w:t>
      </w:r>
      <w:r>
        <w:rPr>
          <w:rFonts w:hint="default" w:ascii="Times New Roman" w:hAnsi="Times New Roman" w:eastAsia="仿宋_GB2312" w:cs="Times New Roman"/>
          <w:b w:val="0"/>
          <w:bCs w:val="0"/>
          <w:color w:val="000000"/>
          <w:kern w:val="2"/>
          <w:sz w:val="32"/>
          <w:szCs w:val="32"/>
          <w:highlight w:val="none"/>
          <w:lang w:bidi="ar-SA"/>
        </w:rPr>
        <w:t>按年度组织各地</w:t>
      </w:r>
      <w:r>
        <w:rPr>
          <w:rFonts w:hint="default" w:ascii="Times New Roman" w:hAnsi="Times New Roman" w:eastAsia="仿宋_GB2312" w:cs="Times New Roman"/>
          <w:b w:val="0"/>
          <w:bCs w:val="0"/>
          <w:color w:val="000000"/>
          <w:kern w:val="2"/>
          <w:sz w:val="32"/>
          <w:szCs w:val="32"/>
          <w:highlight w:val="none"/>
          <w:lang w:eastAsia="zh-CN" w:bidi="ar-SA"/>
        </w:rPr>
        <w:t>农业农村</w:t>
      </w:r>
      <w:r>
        <w:rPr>
          <w:rFonts w:hint="default" w:ascii="Times New Roman" w:hAnsi="Times New Roman" w:eastAsia="仿宋_GB2312" w:cs="Times New Roman"/>
          <w:b w:val="0"/>
          <w:bCs w:val="0"/>
          <w:color w:val="000000"/>
          <w:kern w:val="2"/>
          <w:sz w:val="32"/>
          <w:szCs w:val="32"/>
          <w:highlight w:val="none"/>
          <w:lang w:bidi="ar-SA"/>
        </w:rPr>
        <w:t>部门和项目实施单位开展绩效自评。专项资金到期后，市</w:t>
      </w:r>
      <w:r>
        <w:rPr>
          <w:rFonts w:hint="default" w:ascii="Times New Roman" w:hAnsi="Times New Roman" w:eastAsia="仿宋_GB2312" w:cs="Times New Roman"/>
          <w:b w:val="0"/>
          <w:bCs w:val="0"/>
          <w:color w:val="000000"/>
          <w:kern w:val="2"/>
          <w:sz w:val="32"/>
          <w:szCs w:val="32"/>
          <w:highlight w:val="none"/>
          <w:lang w:eastAsia="zh-CN" w:bidi="ar-SA"/>
        </w:rPr>
        <w:t>农业农村局</w:t>
      </w:r>
      <w:r>
        <w:rPr>
          <w:rFonts w:hint="default" w:ascii="Times New Roman" w:hAnsi="Times New Roman" w:eastAsia="仿宋_GB2312" w:cs="Times New Roman"/>
          <w:b w:val="0"/>
          <w:bCs w:val="0"/>
          <w:color w:val="000000"/>
          <w:kern w:val="2"/>
          <w:sz w:val="32"/>
          <w:szCs w:val="32"/>
          <w:highlight w:val="none"/>
          <w:lang w:bidi="ar-SA"/>
        </w:rPr>
        <w:t>对专项资金实施总体情况开展绩效自评,市财政局开展重点绩效评价,并根据评价结果</w:t>
      </w:r>
      <w:r>
        <w:rPr>
          <w:rFonts w:hint="default" w:ascii="Times New Roman" w:hAnsi="Times New Roman" w:eastAsia="仿宋_GB2312" w:cs="Times New Roman"/>
          <w:b w:val="0"/>
          <w:bCs w:val="0"/>
          <w:color w:val="000000"/>
          <w:kern w:val="2"/>
          <w:sz w:val="32"/>
          <w:szCs w:val="32"/>
          <w:highlight w:val="none"/>
          <w:lang w:eastAsia="zh-CN" w:bidi="ar-SA"/>
        </w:rPr>
        <w:t>提出</w:t>
      </w:r>
      <w:r>
        <w:rPr>
          <w:rFonts w:hint="default" w:ascii="Times New Roman" w:hAnsi="Times New Roman" w:eastAsia="仿宋_GB2312" w:cs="Times New Roman"/>
          <w:b w:val="0"/>
          <w:bCs w:val="0"/>
          <w:color w:val="000000"/>
          <w:kern w:val="2"/>
          <w:sz w:val="32"/>
          <w:szCs w:val="32"/>
          <w:highlight w:val="none"/>
          <w:lang w:bidi="ar-SA"/>
        </w:rPr>
        <w:t>专项资金保留、调整或取消</w:t>
      </w:r>
      <w:r>
        <w:rPr>
          <w:rFonts w:hint="default" w:ascii="Times New Roman" w:hAnsi="Times New Roman" w:eastAsia="仿宋_GB2312" w:cs="Times New Roman"/>
          <w:b w:val="0"/>
          <w:bCs w:val="0"/>
          <w:color w:val="000000"/>
          <w:kern w:val="2"/>
          <w:sz w:val="32"/>
          <w:szCs w:val="32"/>
          <w:highlight w:val="none"/>
          <w:lang w:eastAsia="zh-CN" w:bidi="ar-SA"/>
        </w:rPr>
        <w:t>的建议，报市人民政府审定</w:t>
      </w:r>
      <w:r>
        <w:rPr>
          <w:rFonts w:hint="default" w:ascii="Times New Roman" w:hAnsi="Times New Roman" w:eastAsia="仿宋_GB2312" w:cs="Times New Roman"/>
          <w:b w:val="0"/>
          <w:bCs w:val="0"/>
          <w:color w:val="000000"/>
          <w:kern w:val="2"/>
          <w:sz w:val="32"/>
          <w:szCs w:val="32"/>
          <w:highlight w:val="none"/>
          <w:lang w:bidi="ar-SA"/>
        </w:rPr>
        <w:t>。</w:t>
      </w:r>
    </w:p>
    <w:p w14:paraId="7DB1E0E5">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0" w:firstLineChars="0"/>
        <w:jc w:val="both"/>
        <w:textAlignment w:val="auto"/>
        <w:outlineLvl w:val="2"/>
        <w:rPr>
          <w:rFonts w:hint="default" w:ascii="Times New Roman" w:hAnsi="Times New Roman" w:eastAsia="仿宋_GB2312" w:cs="Times New Roman"/>
          <w:b w:val="0"/>
          <w:bCs w:val="0"/>
          <w:color w:val="000000"/>
          <w:kern w:val="2"/>
          <w:sz w:val="32"/>
          <w:szCs w:val="32"/>
          <w:highlight w:val="none"/>
          <w:lang w:bidi="ar-SA"/>
        </w:rPr>
      </w:pPr>
      <w:r>
        <w:rPr>
          <w:rFonts w:hint="default" w:ascii="Times New Roman" w:hAnsi="Times New Roman" w:eastAsia="仿宋_GB2312" w:cs="Times New Roman"/>
          <w:b w:val="0"/>
          <w:bCs w:val="0"/>
          <w:color w:val="000000"/>
          <w:kern w:val="2"/>
          <w:sz w:val="32"/>
          <w:szCs w:val="32"/>
          <w:highlight w:val="none"/>
          <w:lang w:val="en-US" w:eastAsia="zh-CN" w:bidi="ar-SA"/>
        </w:rPr>
        <w:t xml:space="preserve">    </w:t>
      </w: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eastAsia="zh-CN" w:bidi="ar-SA"/>
        </w:rPr>
        <w:t>市农业农村局应及时向社会公开专项资金绩效评价报告，以及绩效评价、监督检查和审计结果运用情况。</w:t>
      </w:r>
    </w:p>
    <w:p w14:paraId="00B73B19">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3"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default" w:ascii="Times New Roman" w:hAnsi="Times New Roman" w:eastAsia="仿宋_GB2312" w:cs="Times New Roman"/>
          <w:b/>
          <w:bCs/>
          <w:color w:val="000000"/>
          <w:kern w:val="2"/>
          <w:sz w:val="32"/>
          <w:szCs w:val="32"/>
          <w:highlight w:val="none"/>
          <w:lang w:eastAsia="zh-CN" w:bidi="ar-SA"/>
        </w:rPr>
        <w:t>第</w:t>
      </w:r>
      <w:r>
        <w:rPr>
          <w:rFonts w:hint="eastAsia" w:ascii="Times New Roman" w:hAnsi="Times New Roman" w:eastAsia="仿宋_GB2312" w:cs="Times New Roman"/>
          <w:b/>
          <w:bCs/>
          <w:color w:val="000000"/>
          <w:kern w:val="2"/>
          <w:sz w:val="32"/>
          <w:szCs w:val="32"/>
          <w:highlight w:val="none"/>
          <w:lang w:eastAsia="zh-CN" w:bidi="ar-SA"/>
        </w:rPr>
        <w:t>十</w:t>
      </w:r>
      <w:r>
        <w:rPr>
          <w:rFonts w:hint="eastAsia" w:ascii="Times New Roman" w:hAnsi="Times New Roman" w:eastAsia="仿宋_GB2312" w:cs="Times New Roman"/>
          <w:b/>
          <w:bCs/>
          <w:color w:val="000000"/>
          <w:kern w:val="2"/>
          <w:sz w:val="32"/>
          <w:szCs w:val="32"/>
          <w:highlight w:val="none"/>
          <w:lang w:val="en-US" w:eastAsia="zh-CN" w:bidi="ar-SA"/>
        </w:rPr>
        <w:t>七</w:t>
      </w:r>
      <w:r>
        <w:rPr>
          <w:rFonts w:hint="default" w:ascii="Times New Roman" w:hAnsi="Times New Roman" w:eastAsia="仿宋_GB2312" w:cs="Times New Roman"/>
          <w:b/>
          <w:bCs/>
          <w:color w:val="000000"/>
          <w:kern w:val="2"/>
          <w:sz w:val="32"/>
          <w:szCs w:val="32"/>
          <w:highlight w:val="none"/>
          <w:lang w:eastAsia="zh-CN" w:bidi="ar-SA"/>
        </w:rPr>
        <w:t>条</w:t>
      </w:r>
      <w:r>
        <w:rPr>
          <w:rFonts w:hint="default" w:ascii="Times New Roman" w:hAnsi="Times New Roman" w:eastAsia="仿宋_GB2312" w:cs="Times New Roman"/>
          <w:b/>
          <w:bCs/>
          <w:color w:val="000000"/>
          <w:kern w:val="2"/>
          <w:sz w:val="32"/>
          <w:szCs w:val="32"/>
          <w:highlight w:val="none"/>
          <w:lang w:val="en-US" w:eastAsia="zh-CN" w:bidi="ar-SA"/>
        </w:rPr>
        <w:t xml:space="preserve"> </w:t>
      </w:r>
      <w:r>
        <w:rPr>
          <w:rFonts w:hint="default" w:ascii="Times New Roman" w:hAnsi="Times New Roman" w:eastAsia="仿宋_GB2312" w:cs="Times New Roman"/>
          <w:b w:val="0"/>
          <w:bCs w:val="0"/>
          <w:color w:val="000000"/>
          <w:kern w:val="2"/>
          <w:sz w:val="32"/>
          <w:szCs w:val="32"/>
          <w:highlight w:val="none"/>
          <w:lang w:bidi="ar-SA"/>
        </w:rPr>
        <w:t>监督检查</w:t>
      </w:r>
    </w:p>
    <w:p w14:paraId="4BECE91C">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（一）</w:t>
      </w:r>
      <w:r>
        <w:rPr>
          <w:rFonts w:hint="default" w:ascii="Times New Roman" w:hAnsi="Times New Roman" w:eastAsia="仿宋_GB2312" w:cs="Times New Roman"/>
          <w:b w:val="0"/>
          <w:bCs w:val="0"/>
          <w:color w:val="000000"/>
          <w:kern w:val="2"/>
          <w:sz w:val="32"/>
          <w:szCs w:val="32"/>
          <w:highlight w:val="none"/>
          <w:lang w:bidi="ar-SA"/>
        </w:rPr>
        <w:t>专项资金使用管理接受审计、纪检监察、财政等部门的监督检查。对骗取、截留、挪用、挤占财政专项资金等违反财经纪律的行为，由各级</w:t>
      </w:r>
      <w:r>
        <w:rPr>
          <w:rFonts w:hint="default" w:ascii="Times New Roman" w:hAnsi="Times New Roman" w:eastAsia="仿宋_GB2312" w:cs="Times New Roman"/>
          <w:b w:val="0"/>
          <w:bCs w:val="0"/>
          <w:color w:val="000000"/>
          <w:kern w:val="2"/>
          <w:sz w:val="32"/>
          <w:szCs w:val="32"/>
          <w:highlight w:val="none"/>
          <w:lang w:eastAsia="zh-CN" w:bidi="ar-SA"/>
        </w:rPr>
        <w:t>农业农村</w:t>
      </w:r>
      <w:r>
        <w:rPr>
          <w:rFonts w:hint="default" w:ascii="Times New Roman" w:hAnsi="Times New Roman" w:eastAsia="仿宋_GB2312" w:cs="Times New Roman"/>
          <w:b w:val="0"/>
          <w:bCs w:val="0"/>
          <w:color w:val="000000"/>
          <w:kern w:val="2"/>
          <w:sz w:val="32"/>
          <w:szCs w:val="32"/>
          <w:highlight w:val="none"/>
          <w:lang w:bidi="ar-SA"/>
        </w:rPr>
        <w:t>部门及时收回相关资金，并将相关情况报送各级财政部门；各级财政部门依据《中华人民共和国预算法》《财政违法行为处罚处分条例》等有关法律法规的规定进行处理。涉嫌犯罪的，依法移送司法机关处理。</w:t>
      </w:r>
    </w:p>
    <w:p w14:paraId="1D1046B2">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（二）</w:t>
      </w:r>
      <w:r>
        <w:rPr>
          <w:rFonts w:hint="default" w:ascii="Times New Roman" w:hAnsi="Times New Roman" w:eastAsia="仿宋_GB2312" w:cs="Times New Roman"/>
          <w:b w:val="0"/>
          <w:bCs w:val="0"/>
          <w:color w:val="000000"/>
          <w:kern w:val="2"/>
          <w:sz w:val="32"/>
          <w:szCs w:val="32"/>
          <w:highlight w:val="none"/>
          <w:lang w:bidi="ar-SA"/>
        </w:rPr>
        <w:t>各级财政、</w:t>
      </w:r>
      <w:r>
        <w:rPr>
          <w:rFonts w:hint="default" w:ascii="Times New Roman" w:hAnsi="Times New Roman" w:eastAsia="仿宋_GB2312" w:cs="Times New Roman"/>
          <w:b w:val="0"/>
          <w:bCs w:val="0"/>
          <w:color w:val="000000"/>
          <w:kern w:val="2"/>
          <w:sz w:val="32"/>
          <w:szCs w:val="32"/>
          <w:highlight w:val="none"/>
          <w:lang w:eastAsia="zh-CN" w:bidi="ar-SA"/>
        </w:rPr>
        <w:t>农业农村</w:t>
      </w:r>
      <w:r>
        <w:rPr>
          <w:rFonts w:hint="default" w:ascii="Times New Roman" w:hAnsi="Times New Roman" w:eastAsia="仿宋_GB2312" w:cs="Times New Roman"/>
          <w:b w:val="0"/>
          <w:bCs w:val="0"/>
          <w:color w:val="000000"/>
          <w:kern w:val="2"/>
          <w:sz w:val="32"/>
          <w:szCs w:val="32"/>
          <w:highlight w:val="none"/>
          <w:lang w:bidi="ar-SA"/>
        </w:rPr>
        <w:t>部门要建立健全专项资金使用管理、监督检查和跟踪问效制度，督促指导项目实施单位按规定使用专项资金，确保乡村振兴发展政策落实到位，对发现的问题要及时纠正，并向市财政局、市</w:t>
      </w:r>
      <w:r>
        <w:rPr>
          <w:rFonts w:hint="default" w:ascii="Times New Roman" w:hAnsi="Times New Roman" w:eastAsia="仿宋_GB2312" w:cs="Times New Roman"/>
          <w:b w:val="0"/>
          <w:bCs w:val="0"/>
          <w:color w:val="000000"/>
          <w:kern w:val="2"/>
          <w:sz w:val="32"/>
          <w:szCs w:val="32"/>
          <w:highlight w:val="none"/>
          <w:lang w:eastAsia="zh-CN" w:bidi="ar-SA"/>
        </w:rPr>
        <w:t>农业农村局</w:t>
      </w:r>
      <w:r>
        <w:rPr>
          <w:rFonts w:hint="default" w:ascii="Times New Roman" w:hAnsi="Times New Roman" w:eastAsia="仿宋_GB2312" w:cs="Times New Roman"/>
          <w:b w:val="0"/>
          <w:bCs w:val="0"/>
          <w:color w:val="000000"/>
          <w:kern w:val="2"/>
          <w:sz w:val="32"/>
          <w:szCs w:val="32"/>
          <w:highlight w:val="none"/>
          <w:lang w:bidi="ar-SA"/>
        </w:rPr>
        <w:t>报告。</w:t>
      </w:r>
    </w:p>
    <w:p w14:paraId="0B7AAC73">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（三）</w:t>
      </w:r>
      <w:r>
        <w:rPr>
          <w:rFonts w:hint="default" w:ascii="Times New Roman" w:hAnsi="Times New Roman" w:eastAsia="仿宋_GB2312" w:cs="Times New Roman"/>
          <w:b w:val="0"/>
          <w:bCs w:val="0"/>
          <w:color w:val="000000"/>
          <w:kern w:val="2"/>
          <w:sz w:val="32"/>
          <w:szCs w:val="32"/>
          <w:highlight w:val="none"/>
          <w:lang w:bidi="ar-SA"/>
        </w:rPr>
        <w:t>资金使用单位应按现行有关财务会计制度规定加强财务管理，按规定用途使用资金，按项目计划认真推进项目实施，自觉接受财政部门和</w:t>
      </w:r>
      <w:r>
        <w:rPr>
          <w:rFonts w:hint="default" w:ascii="Times New Roman" w:hAnsi="Times New Roman" w:eastAsia="仿宋_GB2312" w:cs="Times New Roman"/>
          <w:b w:val="0"/>
          <w:bCs w:val="0"/>
          <w:color w:val="000000"/>
          <w:kern w:val="2"/>
          <w:sz w:val="32"/>
          <w:szCs w:val="32"/>
          <w:highlight w:val="none"/>
          <w:lang w:eastAsia="zh-CN" w:bidi="ar-SA"/>
        </w:rPr>
        <w:t>农业农村</w:t>
      </w:r>
      <w:r>
        <w:rPr>
          <w:rFonts w:hint="default" w:ascii="Times New Roman" w:hAnsi="Times New Roman" w:eastAsia="仿宋_GB2312" w:cs="Times New Roman"/>
          <w:b w:val="0"/>
          <w:bCs w:val="0"/>
          <w:color w:val="000000"/>
          <w:kern w:val="2"/>
          <w:sz w:val="32"/>
          <w:szCs w:val="32"/>
          <w:highlight w:val="none"/>
          <w:lang w:bidi="ar-SA"/>
        </w:rPr>
        <w:t>部门的监督检查。资金使用单位或个人虚报冒领、骗取套取、挤占挪用专项资金，以及存在其他违法违纪行为的，按照《中华人民共和国预算法》《财政违法行为处罚处分条例》等有关规定追究相应责任。</w:t>
      </w:r>
    </w:p>
    <w:p w14:paraId="348741C6">
      <w:pPr>
        <w:pStyle w:val="4"/>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default" w:ascii="Times New Roman" w:hAnsi="Times New Roman" w:eastAsia="仿宋_GB2312" w:cs="Times New Roman"/>
          <w:b w:val="0"/>
          <w:bCs w:val="0"/>
          <w:color w:val="000000"/>
          <w:kern w:val="2"/>
          <w:sz w:val="32"/>
          <w:szCs w:val="32"/>
          <w:highlight w:val="none"/>
          <w:lang w:bidi="ar-SA"/>
        </w:rPr>
      </w:pPr>
      <w:r>
        <w:rPr>
          <w:rFonts w:hint="eastAsia" w:ascii="Times New Roman" w:hAnsi="Times New Roman" w:eastAsia="仿宋_GB2312" w:cs="Times New Roman"/>
          <w:b w:val="0"/>
          <w:bCs w:val="0"/>
          <w:color w:val="000000"/>
          <w:kern w:val="2"/>
          <w:sz w:val="32"/>
          <w:szCs w:val="32"/>
          <w:highlight w:val="none"/>
          <w:lang w:val="en-US" w:eastAsia="zh-CN" w:bidi="ar-SA"/>
        </w:rPr>
        <w:t>（四）</w:t>
      </w:r>
      <w:r>
        <w:rPr>
          <w:rFonts w:hint="default" w:ascii="Times New Roman" w:hAnsi="Times New Roman" w:eastAsia="仿宋_GB2312" w:cs="Times New Roman"/>
          <w:b w:val="0"/>
          <w:bCs w:val="0"/>
          <w:color w:val="000000"/>
          <w:kern w:val="2"/>
          <w:sz w:val="32"/>
          <w:szCs w:val="32"/>
          <w:highlight w:val="none"/>
          <w:lang w:bidi="ar-SA"/>
        </w:rPr>
        <w:t>各级财政部门和</w:t>
      </w:r>
      <w:r>
        <w:rPr>
          <w:rFonts w:hint="default" w:ascii="Times New Roman" w:hAnsi="Times New Roman" w:eastAsia="仿宋_GB2312" w:cs="Times New Roman"/>
          <w:b w:val="0"/>
          <w:bCs w:val="0"/>
          <w:color w:val="000000"/>
          <w:kern w:val="2"/>
          <w:sz w:val="32"/>
          <w:szCs w:val="32"/>
          <w:highlight w:val="none"/>
          <w:lang w:eastAsia="zh-CN" w:bidi="ar-SA"/>
        </w:rPr>
        <w:t>农业农村</w:t>
      </w:r>
      <w:r>
        <w:rPr>
          <w:rFonts w:hint="default" w:ascii="Times New Roman" w:hAnsi="Times New Roman" w:eastAsia="仿宋_GB2312" w:cs="Times New Roman"/>
          <w:b w:val="0"/>
          <w:bCs w:val="0"/>
          <w:color w:val="000000"/>
          <w:kern w:val="2"/>
          <w:sz w:val="32"/>
          <w:szCs w:val="32"/>
          <w:highlight w:val="none"/>
          <w:lang w:bidi="ar-SA"/>
        </w:rPr>
        <w:t>部门及其工作人员在专项资金的使用管理工作中，存在违规审批、分配、使用和管理资金，以及其他滥用职权、玩忽职守、徇私舞弊等违法违纪行为的，按照《中华人民共和国预算法》《中华人民共和国公务员法》《中华人民共和国监察法》《财政违法行为处罚处分条例》等国家有关规定追究相应责任；涉嫌犯罪的，依法移送司法机关处理。</w:t>
      </w:r>
    </w:p>
    <w:p w14:paraId="6A1D1BCD">
      <w:pPr>
        <w:spacing w:line="600" w:lineRule="exact"/>
        <w:ind w:firstLine="640" w:firstLineChars="200"/>
        <w:rPr>
          <w:rFonts w:hint="default" w:ascii="Times New Roman" w:hAnsi="Times New Roman" w:eastAsia="仿宋_GB2312" w:cs="Times New Roman"/>
          <w:kern w:val="2"/>
          <w:sz w:val="32"/>
          <w:szCs w:val="32"/>
          <w:highlight w:val="none"/>
          <w:lang w:val="en-US" w:eastAsia="zh-CN" w:bidi="ar-SA"/>
        </w:rPr>
      </w:pPr>
    </w:p>
    <w:p w14:paraId="69C86AE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eastAsia="zh-CN"/>
        </w:rPr>
      </w:pPr>
    </w:p>
    <w:p w14:paraId="172B26D0">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eastAsia="zh-CN"/>
        </w:rPr>
      </w:pPr>
    </w:p>
    <w:p w14:paraId="46020BAB">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eastAsia="zh-CN"/>
        </w:rPr>
      </w:pPr>
    </w:p>
    <w:p w14:paraId="4B9837D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eastAsia="zh-CN"/>
        </w:rPr>
      </w:pPr>
    </w:p>
    <w:p w14:paraId="7703BDA9">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eastAsia="zh-CN"/>
        </w:rPr>
      </w:pPr>
    </w:p>
    <w:p w14:paraId="7B3B348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YWQ3MmI2MjY0NmZiYTg3NThlMmU4NGFjYjNkZjkifQ=="/>
  </w:docVars>
  <w:rsids>
    <w:rsidRoot w:val="3909494D"/>
    <w:rsid w:val="3909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jc w:val="both"/>
    </w:pPr>
    <w:rPr>
      <w:rFonts w:eastAsia="方正仿宋_GBK" w:asciiTheme="minorHAnsi" w:hAnsiTheme="minorHAnsi" w:cstheme="minorBidi"/>
      <w:kern w:val="2"/>
      <w:sz w:val="32"/>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2024-10-30T06:51:00Z</dcterms:created>
  <dc:creator>WPS_1043734096</dc:creator>
  <cp:lastModifiedBy>WPS_1043734096</cp:lastModifiedBy>
  <dcterms:modified xsi:type="dcterms:W3CDTF">2024-10-30T06:52:22Z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71129EDE824749A180DD5EA97558EED0_11</vt:lpwstr>
  </property>
</Properties>
</file>