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2023年度炎陵县科学技术协会</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rPr>
          <w:rFonts w:eastAsia="楷体_GB2312"/>
          <w:sz w:val="32"/>
          <w:szCs w:val="32"/>
        </w:rPr>
      </w:pPr>
      <w:r>
        <w:rPr>
          <w:rFonts w:hint="eastAsia" w:ascii="仿宋_GB2312" w:hAnsi="仿宋_GB2312" w:eastAsia="仿宋_GB2312" w:cs="仿宋_GB2312"/>
          <w:sz w:val="32"/>
          <w:szCs w:val="32"/>
          <w:lang w:val="en-US" w:eastAsia="zh-CN"/>
        </w:rPr>
        <w:br w:type="page"/>
      </w:r>
      <w:bookmarkStart w:id="2" w:name="_GoBack"/>
      <w:bookmarkEnd w:id="2"/>
    </w:p>
    <w:p>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snapToGrid w:val="0"/>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60" w:lineRule="exact"/>
        <w:ind w:firstLine="640" w:firstLineChars="200"/>
        <w:rPr>
          <w:rFonts w:hint="eastAsia" w:ascii="仿宋" w:eastAsia="仿宋"/>
          <w:sz w:val="32"/>
          <w:szCs w:val="32"/>
        </w:rPr>
      </w:pPr>
      <w:r>
        <w:rPr>
          <w:rFonts w:hint="eastAsia" w:ascii="仿宋" w:eastAsia="仿宋"/>
          <w:sz w:val="32"/>
          <w:szCs w:val="32"/>
        </w:rPr>
        <w:t>制定全县科普工作规划和年度计划。团结和领导全县科技工作者贯彻执行国家科学技普及工作的基本方针和政策，弘扬科学精神，普及科学知识，推广先进技术，传播科学思想和科学方法，捍卫科学尊严，提高全民科学素质，促进科学技术的繁荣和发展。</w:t>
      </w:r>
      <w:r>
        <w:rPr>
          <w:rFonts w:hint="eastAsia" w:ascii="仿宋" w:hAnsi="仿宋" w:eastAsia="仿宋"/>
          <w:sz w:val="32"/>
          <w:szCs w:val="32"/>
        </w:rPr>
        <w:t>完成县委、县政府交办的其他工作。</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2．机构情况，包括当年变动情况及原因。</w:t>
      </w:r>
    </w:p>
    <w:p>
      <w:pPr>
        <w:snapToGrid w:val="0"/>
        <w:spacing w:line="560" w:lineRule="exact"/>
        <w:ind w:firstLine="640" w:firstLineChars="200"/>
        <w:rPr>
          <w:rFonts w:hint="eastAsia" w:ascii="仿宋" w:eastAsia="仿宋"/>
          <w:sz w:val="32"/>
          <w:szCs w:val="32"/>
        </w:rPr>
      </w:pPr>
      <w:r>
        <w:rPr>
          <w:rFonts w:hint="eastAsia" w:ascii="仿宋" w:eastAsia="仿宋"/>
          <w:sz w:val="32"/>
          <w:szCs w:val="32"/>
        </w:rPr>
        <w:t>炎陵县科学技术协会内设办公室、科学普及部（加挂学会部牌子），属于财政全额拨款的一级预算单位，执行行政单位会计制度。</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3．人员情况，包括当年变动情况及原因。</w:t>
      </w:r>
    </w:p>
    <w:p>
      <w:pPr>
        <w:snapToGrid w:val="0"/>
        <w:spacing w:line="560" w:lineRule="exact"/>
        <w:ind w:firstLine="640" w:firstLineChars="200"/>
        <w:rPr>
          <w:rFonts w:hint="eastAsia" w:ascii="仿宋" w:eastAsia="仿宋"/>
          <w:sz w:val="32"/>
          <w:szCs w:val="32"/>
        </w:rPr>
      </w:pPr>
      <w:r>
        <w:rPr>
          <w:rFonts w:hint="eastAsia" w:ascii="仿宋" w:eastAsia="仿宋"/>
          <w:sz w:val="32"/>
          <w:szCs w:val="32"/>
        </w:rPr>
        <w:t>截止2023年1</w:t>
      </w:r>
      <w:r>
        <w:rPr>
          <w:rFonts w:ascii="仿宋" w:eastAsia="仿宋"/>
          <w:sz w:val="32"/>
          <w:szCs w:val="32"/>
        </w:rPr>
        <w:t>2</w:t>
      </w:r>
      <w:r>
        <w:rPr>
          <w:rFonts w:hint="eastAsia" w:ascii="仿宋" w:eastAsia="仿宋"/>
          <w:sz w:val="32"/>
          <w:szCs w:val="32"/>
        </w:rPr>
        <w:t>月底，人员编制5人（参公管理），实有在职人员4人。</w:t>
      </w:r>
    </w:p>
    <w:p>
      <w:pPr>
        <w:snapToGrid w:val="0"/>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（二）当年取得的主要事业成效。</w:t>
      </w:r>
    </w:p>
    <w:p>
      <w:pPr>
        <w:snapToGrid w:val="0"/>
        <w:spacing w:line="560" w:lineRule="exact"/>
        <w:ind w:firstLine="640" w:firstLineChars="200"/>
        <w:rPr>
          <w:rFonts w:hint="eastAsia" w:ascii="仿宋" w:eastAsia="仿宋"/>
          <w:sz w:val="32"/>
          <w:szCs w:val="32"/>
        </w:rPr>
      </w:pPr>
      <w:r>
        <w:rPr>
          <w:rFonts w:hint="eastAsia" w:ascii="仿宋" w:eastAsia="仿宋"/>
          <w:sz w:val="32"/>
          <w:szCs w:val="32"/>
        </w:rPr>
        <w:t>2023年县科协以贯彻实施《炎陵县全民科学素质行动规划纲要》、全面推进全民科学素质建设为主要内容，在市科协指导下，根据自身业务工作，结合县委县政府中心工作，认真履行科协三个服务和一个加强工作职责，圆满完成了各项工作任务。</w:t>
      </w:r>
    </w:p>
    <w:p>
      <w:pPr>
        <w:snapToGrid w:val="0"/>
        <w:spacing w:line="560" w:lineRule="exact"/>
        <w:ind w:firstLine="640" w:firstLineChars="200"/>
        <w:rPr>
          <w:rFonts w:hint="eastAsia" w:ascii="仿宋" w:eastAsia="仿宋"/>
          <w:sz w:val="32"/>
          <w:szCs w:val="32"/>
        </w:rPr>
      </w:pPr>
      <w:r>
        <w:rPr>
          <w:rFonts w:hint="eastAsia" w:ascii="仿宋" w:eastAsia="仿宋"/>
          <w:sz w:val="32"/>
          <w:szCs w:val="32"/>
        </w:rPr>
        <w:t>1.加强理论学习，提升干部素质。一是坚持“第一议题”制度，积极开展主题教育活动。结合支部主题党日，每月组织不少于1次集中学习，学习党的二十大报告、习近平新时代中国特色社会主义思想专题摘编、全国两会精神和习近平总书记关于主题教育系列重要讲话重要指示批示精神，以及省市县党务和群团工作会议精神。二是扎实开展“作风建设年”活动，建设清廉机关和清廉家庭。通过组织“解放思想、转变作风”大讨论，“镜鉴”以案明纪以案促改肃流毒、正生态、促发展专题民主生活会，认真查摆作风问题。通过开展进社区、进校园、进企业、下乡村科技志愿服务活动，深入基层科普基地调研交流，促进单位党员干部转作风、树新风、提效能、促发展。</w:t>
      </w:r>
    </w:p>
    <w:p>
      <w:pPr>
        <w:snapToGrid w:val="0"/>
        <w:spacing w:line="560" w:lineRule="exact"/>
        <w:ind w:firstLine="640" w:firstLineChars="200"/>
        <w:rPr>
          <w:rFonts w:hint="eastAsia" w:ascii="仿宋" w:eastAsia="仿宋"/>
          <w:sz w:val="32"/>
          <w:szCs w:val="32"/>
        </w:rPr>
      </w:pPr>
      <w:r>
        <w:rPr>
          <w:rFonts w:hint="eastAsia" w:ascii="仿宋" w:eastAsia="仿宋"/>
          <w:sz w:val="32"/>
          <w:szCs w:val="32"/>
        </w:rPr>
        <w:t>2.立足职能职责，打造品牌活动。一是积极举办青少年科技创新大赛。3月份组织学生参加省、市青少年科创大赛，获得市级赛奖项61项，省级赛奖项3项，获奖数量创历史新高。10月份，组织开展第43届炎陵县青少年科技创新大赛，共收到参赛作品448件，评选出学生作品一等奖65项，二等奖46项，三等奖50项，优秀科技辅导员6名，优秀组织奖5个；二是开设“科普大讲堂”营造热爱科学和崇尚科学浓郁氛围。在全国科技工作者日、全国科普日期间，邀请知名专家6人，围绕科普助力“双减”、科技助力乡村振兴、卫生健康等主题，举办了5期“科普大讲堂”活动。科协组织的“百名院士进校园  万名科技工作者上讲台”科普专项行动获省全民素质纲要实施办公室表彰；三是开展送科技下乡志愿活动成效明显。围绕创新驱动发展、乡村振兴和精神文明建设，结合炎陵县实际和群众需求，广泛组织开展了送科技下乡等各类科技科普志愿服务活动，帮助群众科学致富，解决技术难题等实际问题。截至12月份，共组织开展送科技下乡志愿服务活动13场，免费发放科普宣传资料2万余份。四是全国科普日活动精彩纷呈。9月17日-21日县科协会同相关单位在全县范围内集中开展了炎陵主场活动、科普阵地联合行动、农技协科普专项行动、乡村振兴科普联合行动等全国科普日活动，邀请科教、卫生和农技等方面专家举办了4期培训班，参训人数达1000余人，发放科普资料近万份。县科协也被评为2023年全国科普日优秀组织单位；五是营造浓郁科普氛围。租赁县文体活动中心户外电子显示屏和湖南有线炎陵网络有限公司乙方机顶盒开机视频，每天播放《科普中国》平台的前沿科技、食品安全、应急科普、科教智农等科普视频，为提升全民科学素质发挥了积极作用。</w:t>
      </w:r>
    </w:p>
    <w:p>
      <w:pPr>
        <w:snapToGrid w:val="0"/>
        <w:spacing w:line="560" w:lineRule="exact"/>
        <w:ind w:firstLine="640" w:firstLineChars="200"/>
        <w:rPr>
          <w:rFonts w:hint="eastAsia" w:ascii="仿宋" w:eastAsia="仿宋"/>
          <w:sz w:val="32"/>
          <w:szCs w:val="32"/>
        </w:rPr>
      </w:pPr>
      <w:r>
        <w:rPr>
          <w:rFonts w:hint="eastAsia" w:ascii="仿宋" w:eastAsia="仿宋"/>
          <w:sz w:val="32"/>
          <w:szCs w:val="32"/>
        </w:rPr>
        <w:t>3.服务科技工作，凝聚科技力量。一是开展走访调研活动。县科协分别到县药学会药材基地、沔渡镇中学科技馆和东风油茶种植协会开展走访调研，了解他们的工作和生活情况，现场交流科普示范创建经验，征集相关工作意见建议；二是举办科技培训班。邀请全国科技发明制作专家袁兴台老师、全国“优秀科技辅导员”罗新旭老师，分别在城南小学、芙蓉学校开展科创知识讲座。推荐县优秀科技辅导员参加株洲市中小学科技教师科学素养提升班；三是开展科普示范创建。指导、推荐东风油茶种植协会成功创建2023年国家“基层科普行动计划”（湖南）奖补项目，这是近五年来县农技协首次入选“国字”项目，获得奖补资金10万元；</w:t>
      </w:r>
    </w:p>
    <w:p>
      <w:pPr>
        <w:snapToGrid w:val="0"/>
        <w:spacing w:line="560" w:lineRule="exact"/>
        <w:ind w:firstLine="640" w:firstLineChars="200"/>
        <w:rPr>
          <w:rFonts w:hint="eastAsia" w:ascii="仿宋" w:eastAsia="仿宋" w:cs="仿宋"/>
          <w:color w:val="FF0000"/>
          <w:sz w:val="32"/>
          <w:szCs w:val="32"/>
        </w:rPr>
      </w:pPr>
      <w:r>
        <w:rPr>
          <w:rFonts w:hint="eastAsia" w:ascii="仿宋" w:eastAsia="仿宋"/>
          <w:color w:val="000000"/>
          <w:sz w:val="32"/>
          <w:szCs w:val="32"/>
        </w:rPr>
        <w:t>4.服务中心大局，彰显科协担当。一是做好乡村振兴和驻村帮扶工作。克服单位人员力量薄弱的实际困难，派出一名同志脱产驻船形乡高路村开展乡村振兴帮扶工作。县科协班子通过参与村支两委座谈会、村民屋场会、入户走访了解群众所想、所需，整合资源，全面履行帮扶责任；二是开展大兴调查研究及“走找想促”活动，围绕调查研究课题深入基层开展调研活动，组织撰写了《炎陵县科普资源助力“双减”工作现状分析》调研报告；三是有条不紊做好文旅品牌宣传推广、文明城市创建、国家卫生城市提名复审等工作。</w:t>
      </w:r>
    </w:p>
    <w:p>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snapToGrid w:val="0"/>
        <w:spacing w:line="54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1．收入支出与预算对比分析。</w:t>
      </w:r>
    </w:p>
    <w:p>
      <w:pPr>
        <w:snapToGrid w:val="0"/>
        <w:spacing w:line="540" w:lineRule="exact"/>
        <w:ind w:firstLine="640" w:firstLineChars="200"/>
        <w:rPr>
          <w:rFonts w:ascii="仿宋" w:eastAsia="仿宋"/>
          <w:sz w:val="32"/>
          <w:szCs w:val="32"/>
        </w:rPr>
      </w:pPr>
      <w:r>
        <w:rPr>
          <w:rFonts w:hint="eastAsia" w:ascii="仿宋_GB2312" w:hAnsi="仿宋" w:eastAsia="仿宋_GB2312"/>
          <w:sz w:val="32"/>
          <w:szCs w:val="32"/>
        </w:rPr>
        <w:t>（1）</w:t>
      </w:r>
      <w:r>
        <w:rPr>
          <w:rFonts w:hint="eastAsia" w:ascii="仿宋" w:eastAsia="仿宋"/>
          <w:sz w:val="32"/>
          <w:szCs w:val="32"/>
        </w:rPr>
        <w:t>2023年预算执行情况：收入、支出为89.47万元，收入、支出差异数为24.3万元。</w:t>
      </w:r>
    </w:p>
    <w:tbl>
      <w:tblPr>
        <w:tblStyle w:val="4"/>
        <w:tblW w:w="7938" w:type="dxa"/>
        <w:tblInd w:w="392" w:type="dxa"/>
        <w:tblLayout w:type="fixed"/>
        <w:tblCellMar>
          <w:top w:w="0" w:type="dxa"/>
          <w:left w:w="108" w:type="dxa"/>
          <w:bottom w:w="0" w:type="dxa"/>
          <w:right w:w="108" w:type="dxa"/>
        </w:tblCellMar>
      </w:tblPr>
      <w:tblGrid>
        <w:gridCol w:w="3261"/>
        <w:gridCol w:w="2409"/>
        <w:gridCol w:w="2268"/>
      </w:tblGrid>
      <w:tr>
        <w:tblPrEx>
          <w:tblCellMar>
            <w:top w:w="0" w:type="dxa"/>
            <w:left w:w="108" w:type="dxa"/>
            <w:bottom w:w="0" w:type="dxa"/>
            <w:right w:w="108" w:type="dxa"/>
          </w:tblCellMar>
        </w:tblPrEx>
        <w:trPr>
          <w:trHeight w:val="465" w:hRule="atLeast"/>
        </w:trPr>
        <w:tc>
          <w:tcPr>
            <w:tcW w:w="3261" w:type="dxa"/>
            <w:tcBorders>
              <w:top w:val="single" w:color="000000" w:sz="4" w:space="0"/>
              <w:left w:val="single" w:color="000000" w:sz="4" w:space="0"/>
              <w:bottom w:val="single" w:color="000000" w:sz="4" w:space="0"/>
              <w:right w:val="single" w:color="000000" w:sz="4" w:space="0"/>
            </w:tcBorders>
            <w:noWrap w:val="0"/>
            <w:vAlign w:val="center"/>
          </w:tcPr>
          <w:p>
            <w:pPr>
              <w:widowControl/>
              <w:ind w:left="-250" w:leftChars="-119" w:firstLine="248" w:firstLineChars="113"/>
              <w:jc w:val="center"/>
              <w:rPr>
                <w:rFonts w:ascii="宋体" w:cs="Arial"/>
                <w:bCs/>
                <w:color w:val="000000"/>
                <w:kern w:val="0"/>
                <w:sz w:val="22"/>
                <w:szCs w:val="22"/>
              </w:rPr>
            </w:pPr>
            <w:r>
              <w:rPr>
                <w:rFonts w:hint="eastAsia" w:ascii="宋体" w:cs="Arial"/>
                <w:bCs/>
                <w:color w:val="000000"/>
                <w:kern w:val="0"/>
                <w:sz w:val="22"/>
                <w:szCs w:val="22"/>
              </w:rPr>
              <w:t>支出功能分类科目</w:t>
            </w:r>
          </w:p>
        </w:tc>
        <w:tc>
          <w:tcPr>
            <w:tcW w:w="2409" w:type="dxa"/>
            <w:tcBorders>
              <w:top w:val="single" w:color="000000" w:sz="4" w:space="0"/>
              <w:left w:val="nil"/>
              <w:bottom w:val="single" w:color="000000" w:sz="4" w:space="0"/>
              <w:right w:val="single" w:color="000000" w:sz="4" w:space="0"/>
            </w:tcBorders>
            <w:noWrap w:val="0"/>
            <w:vAlign w:val="center"/>
          </w:tcPr>
          <w:p>
            <w:pPr>
              <w:widowControl/>
              <w:ind w:left="-250" w:leftChars="-119" w:firstLine="248" w:firstLineChars="113"/>
              <w:jc w:val="center"/>
              <w:rPr>
                <w:rFonts w:ascii="宋体" w:cs="Arial"/>
                <w:bCs/>
                <w:color w:val="000000"/>
                <w:kern w:val="0"/>
                <w:sz w:val="22"/>
                <w:szCs w:val="22"/>
              </w:rPr>
            </w:pPr>
            <w:r>
              <w:rPr>
                <w:rFonts w:hint="eastAsia" w:ascii="宋体" w:cs="Arial"/>
                <w:bCs/>
                <w:color w:val="000000"/>
                <w:kern w:val="0"/>
                <w:sz w:val="22"/>
                <w:szCs w:val="22"/>
              </w:rPr>
              <w:t>年初预算（元）</w:t>
            </w:r>
          </w:p>
        </w:tc>
        <w:tc>
          <w:tcPr>
            <w:tcW w:w="2268" w:type="dxa"/>
            <w:tcBorders>
              <w:top w:val="single" w:color="000000" w:sz="4" w:space="0"/>
              <w:left w:val="nil"/>
              <w:bottom w:val="single" w:color="000000" w:sz="4" w:space="0"/>
              <w:right w:val="single" w:color="000000" w:sz="4" w:space="0"/>
            </w:tcBorders>
            <w:noWrap w:val="0"/>
            <w:vAlign w:val="center"/>
          </w:tcPr>
          <w:p>
            <w:pPr>
              <w:widowControl/>
              <w:ind w:left="-250" w:leftChars="-119" w:firstLine="248" w:firstLineChars="113"/>
              <w:jc w:val="center"/>
              <w:rPr>
                <w:rFonts w:ascii="宋体" w:cs="Arial"/>
                <w:bCs/>
                <w:color w:val="000000"/>
                <w:kern w:val="0"/>
                <w:sz w:val="22"/>
                <w:szCs w:val="22"/>
              </w:rPr>
            </w:pPr>
            <w:r>
              <w:rPr>
                <w:rFonts w:hint="eastAsia" w:ascii="宋体" w:cs="Arial"/>
                <w:bCs/>
                <w:color w:val="000000"/>
                <w:kern w:val="0"/>
                <w:sz w:val="22"/>
                <w:szCs w:val="22"/>
              </w:rPr>
              <w:t>决算数（元）</w:t>
            </w:r>
          </w:p>
        </w:tc>
      </w:tr>
      <w:tr>
        <w:tblPrEx>
          <w:tblCellMar>
            <w:top w:w="0" w:type="dxa"/>
            <w:left w:w="108" w:type="dxa"/>
            <w:bottom w:w="0" w:type="dxa"/>
            <w:right w:w="108" w:type="dxa"/>
          </w:tblCellMar>
        </w:tblPrEx>
        <w:trPr>
          <w:trHeight w:val="415"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2060101-行政运行</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443209</w:t>
            </w:r>
          </w:p>
        </w:tc>
        <w:tc>
          <w:tcPr>
            <w:tcW w:w="2268"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411585</w:t>
            </w:r>
          </w:p>
        </w:tc>
      </w:tr>
      <w:tr>
        <w:tblPrEx>
          <w:tblCellMar>
            <w:top w:w="0" w:type="dxa"/>
            <w:left w:w="108" w:type="dxa"/>
            <w:bottom w:w="0" w:type="dxa"/>
            <w:right w:w="108" w:type="dxa"/>
          </w:tblCellMar>
        </w:tblPrEx>
        <w:trPr>
          <w:trHeight w:val="421"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2060799-其他科学技术普及支出</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105000</w:t>
            </w:r>
          </w:p>
        </w:tc>
        <w:tc>
          <w:tcPr>
            <w:tcW w:w="2268"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155000</w:t>
            </w:r>
          </w:p>
        </w:tc>
      </w:tr>
      <w:tr>
        <w:tblPrEx>
          <w:tblCellMar>
            <w:top w:w="0" w:type="dxa"/>
            <w:left w:w="108" w:type="dxa"/>
            <w:bottom w:w="0" w:type="dxa"/>
            <w:right w:w="108" w:type="dxa"/>
          </w:tblCellMar>
        </w:tblPrEx>
        <w:trPr>
          <w:trHeight w:val="421"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2069999-</w:t>
            </w:r>
            <w:r>
              <w:rPr>
                <w:rFonts w:ascii="宋体" w:cs="Arial"/>
                <w:color w:val="000000"/>
                <w:kern w:val="0"/>
                <w:sz w:val="18"/>
                <w:szCs w:val="18"/>
              </w:rPr>
              <w:t>其他科学技术支出</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0</w:t>
            </w:r>
          </w:p>
        </w:tc>
        <w:tc>
          <w:tcPr>
            <w:tcW w:w="2268"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74994</w:t>
            </w:r>
          </w:p>
        </w:tc>
      </w:tr>
      <w:tr>
        <w:tblPrEx>
          <w:tblCellMar>
            <w:top w:w="0" w:type="dxa"/>
            <w:left w:w="108" w:type="dxa"/>
            <w:bottom w:w="0" w:type="dxa"/>
            <w:right w:w="108" w:type="dxa"/>
          </w:tblCellMar>
        </w:tblPrEx>
        <w:trPr>
          <w:trHeight w:val="421"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2060702-科普活动</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0</w:t>
            </w:r>
          </w:p>
        </w:tc>
        <w:tc>
          <w:tcPr>
            <w:tcW w:w="2268"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100000</w:t>
            </w:r>
          </w:p>
        </w:tc>
      </w:tr>
      <w:tr>
        <w:tblPrEx>
          <w:tblCellMar>
            <w:top w:w="0" w:type="dxa"/>
            <w:left w:w="108" w:type="dxa"/>
            <w:bottom w:w="0" w:type="dxa"/>
            <w:right w:w="108" w:type="dxa"/>
          </w:tblCellMar>
        </w:tblPrEx>
        <w:trPr>
          <w:trHeight w:val="421"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2080505-机关事业单位基本养老保险</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42966</w:t>
            </w:r>
          </w:p>
        </w:tc>
        <w:tc>
          <w:tcPr>
            <w:tcW w:w="2268"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54447.84</w:t>
            </w:r>
          </w:p>
        </w:tc>
      </w:tr>
      <w:tr>
        <w:tblPrEx>
          <w:tblCellMar>
            <w:top w:w="0" w:type="dxa"/>
            <w:left w:w="108" w:type="dxa"/>
            <w:bottom w:w="0" w:type="dxa"/>
            <w:right w:w="108" w:type="dxa"/>
          </w:tblCellMar>
        </w:tblPrEx>
        <w:trPr>
          <w:trHeight w:val="421"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2082702-财政对工伤保险基金的补助</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992</w:t>
            </w:r>
          </w:p>
        </w:tc>
        <w:tc>
          <w:tcPr>
            <w:tcW w:w="2268"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1252.29</w:t>
            </w:r>
          </w:p>
        </w:tc>
      </w:tr>
      <w:tr>
        <w:tblPrEx>
          <w:tblCellMar>
            <w:top w:w="0" w:type="dxa"/>
            <w:left w:w="108" w:type="dxa"/>
            <w:bottom w:w="0" w:type="dxa"/>
            <w:right w:w="108" w:type="dxa"/>
          </w:tblCellMar>
        </w:tblPrEx>
        <w:trPr>
          <w:trHeight w:val="421"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2101101-行政单位医疗</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17954</w:t>
            </w:r>
          </w:p>
        </w:tc>
        <w:tc>
          <w:tcPr>
            <w:tcW w:w="2268"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22698.41</w:t>
            </w:r>
          </w:p>
        </w:tc>
      </w:tr>
      <w:tr>
        <w:tblPrEx>
          <w:tblCellMar>
            <w:top w:w="0" w:type="dxa"/>
            <w:left w:w="108" w:type="dxa"/>
            <w:bottom w:w="0" w:type="dxa"/>
            <w:right w:w="108" w:type="dxa"/>
          </w:tblCellMar>
        </w:tblPrEx>
        <w:trPr>
          <w:trHeight w:val="421"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公务员医疗补助</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6191</w:t>
            </w:r>
          </w:p>
        </w:tc>
        <w:tc>
          <w:tcPr>
            <w:tcW w:w="2268"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0</w:t>
            </w:r>
          </w:p>
        </w:tc>
      </w:tr>
      <w:tr>
        <w:tblPrEx>
          <w:tblCellMar>
            <w:top w:w="0" w:type="dxa"/>
            <w:left w:w="108" w:type="dxa"/>
            <w:bottom w:w="0" w:type="dxa"/>
            <w:right w:w="108" w:type="dxa"/>
          </w:tblCellMar>
        </w:tblPrEx>
        <w:trPr>
          <w:trHeight w:val="421"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2101199其他行政事业单位医疗支出</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320</w:t>
            </w:r>
          </w:p>
        </w:tc>
        <w:tc>
          <w:tcPr>
            <w:tcW w:w="2268"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427.5</w:t>
            </w:r>
          </w:p>
        </w:tc>
      </w:tr>
      <w:tr>
        <w:tblPrEx>
          <w:tblCellMar>
            <w:top w:w="0" w:type="dxa"/>
            <w:left w:w="108" w:type="dxa"/>
            <w:bottom w:w="0" w:type="dxa"/>
            <w:right w:w="108" w:type="dxa"/>
          </w:tblCellMar>
        </w:tblPrEx>
        <w:trPr>
          <w:trHeight w:val="421"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hint="eastAsia" w:ascii="宋体" w:cs="Arial"/>
                <w:color w:val="000000"/>
                <w:kern w:val="0"/>
                <w:sz w:val="18"/>
                <w:szCs w:val="18"/>
              </w:rPr>
            </w:pPr>
            <w:r>
              <w:rPr>
                <w:rFonts w:hint="eastAsia" w:ascii="宋体" w:cs="Arial"/>
                <w:color w:val="000000"/>
                <w:kern w:val="0"/>
                <w:sz w:val="18"/>
                <w:szCs w:val="18"/>
              </w:rPr>
              <w:t>2120801-征地和拆迁补偿支出</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0</w:t>
            </w:r>
          </w:p>
        </w:tc>
        <w:tc>
          <w:tcPr>
            <w:tcW w:w="2268"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29999.19</w:t>
            </w:r>
          </w:p>
        </w:tc>
      </w:tr>
      <w:tr>
        <w:tblPrEx>
          <w:tblCellMar>
            <w:top w:w="0" w:type="dxa"/>
            <w:left w:w="108" w:type="dxa"/>
            <w:bottom w:w="0" w:type="dxa"/>
            <w:right w:w="108" w:type="dxa"/>
          </w:tblCellMar>
        </w:tblPrEx>
        <w:trPr>
          <w:trHeight w:val="421"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2210201-住房公积金</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35092</w:t>
            </w:r>
          </w:p>
        </w:tc>
        <w:tc>
          <w:tcPr>
            <w:tcW w:w="2268"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44256</w:t>
            </w:r>
          </w:p>
        </w:tc>
      </w:tr>
      <w:tr>
        <w:tblPrEx>
          <w:tblCellMar>
            <w:top w:w="0" w:type="dxa"/>
            <w:left w:w="108" w:type="dxa"/>
            <w:bottom w:w="0" w:type="dxa"/>
            <w:right w:w="108" w:type="dxa"/>
          </w:tblCellMar>
        </w:tblPrEx>
        <w:trPr>
          <w:trHeight w:val="412" w:hRule="atLeast"/>
        </w:trPr>
        <w:tc>
          <w:tcPr>
            <w:tcW w:w="3261" w:type="dxa"/>
            <w:tcBorders>
              <w:top w:val="nil"/>
              <w:left w:val="single" w:color="000000" w:sz="4" w:space="0"/>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合计</w:t>
            </w:r>
          </w:p>
        </w:tc>
        <w:tc>
          <w:tcPr>
            <w:tcW w:w="2409" w:type="dxa"/>
            <w:tcBorders>
              <w:top w:val="nil"/>
              <w:left w:val="nil"/>
              <w:bottom w:val="single" w:color="000000" w:sz="4" w:space="0"/>
              <w:right w:val="single" w:color="000000" w:sz="4" w:space="0"/>
            </w:tcBorders>
            <w:noWrap w:val="0"/>
            <w:vAlign w:val="center"/>
          </w:tcPr>
          <w:p>
            <w:pPr>
              <w:widowControl/>
              <w:ind w:left="-250" w:leftChars="-119" w:firstLine="203" w:firstLineChars="113"/>
              <w:jc w:val="center"/>
              <w:rPr>
                <w:rFonts w:ascii="宋体" w:cs="Arial"/>
                <w:color w:val="000000"/>
                <w:kern w:val="0"/>
                <w:sz w:val="18"/>
                <w:szCs w:val="18"/>
              </w:rPr>
            </w:pPr>
            <w:r>
              <w:rPr>
                <w:rFonts w:hint="eastAsia" w:ascii="宋体" w:cs="Arial"/>
                <w:color w:val="000000"/>
                <w:kern w:val="0"/>
                <w:sz w:val="18"/>
                <w:szCs w:val="18"/>
              </w:rPr>
              <w:t>651724</w:t>
            </w:r>
          </w:p>
        </w:tc>
        <w:tc>
          <w:tcPr>
            <w:tcW w:w="2268" w:type="dxa"/>
            <w:tcBorders>
              <w:top w:val="nil"/>
              <w:left w:val="nil"/>
              <w:bottom w:val="single" w:color="000000" w:sz="4" w:space="0"/>
              <w:right w:val="single" w:color="000000" w:sz="4" w:space="0"/>
            </w:tcBorders>
            <w:noWrap w:val="0"/>
            <w:vAlign w:val="center"/>
          </w:tcPr>
          <w:p>
            <w:pPr>
              <w:widowControl/>
              <w:jc w:val="center"/>
              <w:rPr>
                <w:rFonts w:ascii="宋体" w:cs="Arial"/>
                <w:color w:val="000000"/>
                <w:kern w:val="0"/>
                <w:sz w:val="18"/>
                <w:szCs w:val="18"/>
              </w:rPr>
            </w:pPr>
            <w:r>
              <w:rPr>
                <w:rFonts w:hint="eastAsia" w:ascii="宋体" w:cs="Arial"/>
                <w:color w:val="000000"/>
                <w:kern w:val="0"/>
                <w:sz w:val="18"/>
                <w:szCs w:val="18"/>
              </w:rPr>
              <w:t>894660.23</w:t>
            </w:r>
          </w:p>
        </w:tc>
      </w:tr>
    </w:tbl>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（2）差异原因分析。</w:t>
      </w:r>
    </w:p>
    <w:p>
      <w:pPr>
        <w:snapToGrid w:val="0"/>
        <w:spacing w:line="520" w:lineRule="exact"/>
        <w:ind w:firstLine="640" w:firstLineChars="200"/>
        <w:rPr>
          <w:rFonts w:hint="eastAsia" w:ascii="仿宋" w:eastAsia="仿宋"/>
          <w:sz w:val="32"/>
          <w:szCs w:val="32"/>
        </w:rPr>
      </w:pPr>
      <w:r>
        <w:rPr>
          <w:rFonts w:hint="eastAsia" w:ascii="仿宋" w:hAnsi="仿宋" w:eastAsia="仿宋"/>
          <w:sz w:val="32"/>
          <w:szCs w:val="32"/>
        </w:rPr>
        <w:t>2023年收入、支出为89.47万元，收入、支出差异数为24.3万元，原因追加国家基层科普行动度项目-炎陵县东风油茶种植协会、第43届青少年科技创新大赛等。</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2．收入支出结构分析。</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（1）各项收入占总收入的比重，各项支出占总支出的比重。</w:t>
      </w:r>
    </w:p>
    <w:p>
      <w:pPr>
        <w:snapToGrid w:val="0"/>
        <w:ind w:firstLine="640" w:firstLineChars="200"/>
        <w:rPr>
          <w:rFonts w:ascii="仿宋_GB2312" w:eastAsia="仿宋_GB2312"/>
          <w:sz w:val="32"/>
          <w:szCs w:val="32"/>
        </w:rPr>
      </w:pPr>
      <w:r>
        <w:rPr>
          <w:rFonts w:hint="eastAsia" w:ascii="仿宋_GB2312" w:eastAsia="仿宋_GB2312"/>
          <w:sz w:val="32"/>
          <w:szCs w:val="32"/>
        </w:rPr>
        <w:t>①各项收入构成比例分析：</w:t>
      </w:r>
    </w:p>
    <w:p>
      <w:pPr>
        <w:snapToGrid w:val="0"/>
        <w:ind w:firstLine="480" w:firstLineChars="150"/>
        <w:rPr>
          <w:rFonts w:ascii="仿宋" w:eastAsia="仿宋"/>
          <w:sz w:val="32"/>
          <w:szCs w:val="32"/>
        </w:rPr>
      </w:pPr>
      <w:r>
        <w:rPr>
          <w:rFonts w:hint="eastAsia" w:ascii="仿宋" w:eastAsia="仿宋"/>
          <w:sz w:val="32"/>
          <w:szCs w:val="32"/>
        </w:rPr>
        <w:t>本年财政拨款收入总额为89.47万元，其中科学技术支出收入为77.16万元，占本年财政拨款收入的86.24%，社会保障和就业支出收入5.57万元，占本年财政拨款收入的6.23%，卫生健康支出收入为2.31万元，占本年财政拨款收入的2.58%，住房保障支出收入为4.43万元，占本年财政拨款收入的4.95%</w:t>
      </w:r>
    </w:p>
    <w:p>
      <w:pPr>
        <w:snapToGrid w:val="0"/>
        <w:ind w:left="638" w:leftChars="304"/>
        <w:rPr>
          <w:rFonts w:ascii="仿宋_GB2312" w:eastAsia="仿宋_GB2312"/>
          <w:sz w:val="32"/>
          <w:szCs w:val="32"/>
        </w:rPr>
      </w:pPr>
      <w:r>
        <w:rPr>
          <w:rFonts w:hint="eastAsia" w:ascii="仿宋_GB2312" w:eastAsia="仿宋_GB2312"/>
          <w:sz w:val="32"/>
          <w:szCs w:val="32"/>
        </w:rPr>
        <w:t>②各项支出占总支出比重分析：</w:t>
      </w:r>
    </w:p>
    <w:p>
      <w:pPr>
        <w:snapToGrid w:val="0"/>
        <w:ind w:firstLine="480" w:firstLineChars="150"/>
        <w:rPr>
          <w:rFonts w:ascii="仿宋" w:eastAsia="仿宋"/>
          <w:sz w:val="32"/>
          <w:szCs w:val="32"/>
        </w:rPr>
      </w:pPr>
      <w:r>
        <w:rPr>
          <w:rFonts w:hint="eastAsia" w:ascii="仿宋" w:eastAsia="仿宋"/>
          <w:sz w:val="32"/>
          <w:szCs w:val="32"/>
        </w:rPr>
        <w:t>本年财政拨款支出总额为89.47万元，其中科学技术支出为77.16万元，占本年财政拨款支出的86.24%，社会保障和就业支出5.57万元，占本年财政拨款支出的6.23%，卫生健康支出的支出为2.31万元，占本年财政拨款支出的2.58%，住房保障支出的支出为4.43万元，占本年财政拨款支出的4.95%</w:t>
      </w:r>
      <w:r>
        <w:rPr>
          <w:rFonts w:ascii="仿宋" w:eastAsia="仿宋"/>
          <w:sz w:val="32"/>
          <w:szCs w:val="32"/>
        </w:rPr>
        <w:t>。</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（2）收入支出与上年度对比情况及原因分析</w:t>
      </w:r>
    </w:p>
    <w:p>
      <w:pPr>
        <w:snapToGrid w:val="0"/>
        <w:spacing w:line="520" w:lineRule="exact"/>
        <w:ind w:firstLine="640" w:firstLineChars="200"/>
        <w:rPr>
          <w:rFonts w:ascii="仿宋_GB2312" w:eastAsia="仿宋_GB2312"/>
          <w:sz w:val="32"/>
          <w:szCs w:val="32"/>
        </w:rPr>
      </w:pPr>
      <w:r>
        <w:rPr>
          <w:rFonts w:hint="eastAsia" w:ascii="仿宋" w:eastAsia="仿宋"/>
          <w:sz w:val="32"/>
          <w:szCs w:val="32"/>
        </w:rPr>
        <w:t>2023年预算执行情况：2023年收入89.47万元、比上年度增加1.09万元，增加原因为人员增加（2023年4月调进1人）；2023年支出为89.47万元，比上年增加1.09万元，增加原因为人员增加（2023年4月调进1人）</w:t>
      </w:r>
      <w:r>
        <w:rPr>
          <w:rFonts w:ascii="仿宋" w:eastAsia="仿宋"/>
          <w:sz w:val="32"/>
          <w:szCs w:val="32"/>
        </w:rPr>
        <w:t>。</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3．支出按经济分类科目分析。</w:t>
      </w:r>
    </w:p>
    <w:p>
      <w:pPr>
        <w:snapToGrid w:val="0"/>
        <w:spacing w:line="520" w:lineRule="exact"/>
        <w:ind w:firstLine="640" w:firstLineChars="200"/>
        <w:rPr>
          <w:rFonts w:ascii="仿宋" w:eastAsia="仿宋"/>
          <w:sz w:val="32"/>
          <w:szCs w:val="32"/>
        </w:rPr>
      </w:pPr>
      <w:r>
        <w:rPr>
          <w:rFonts w:hint="eastAsia" w:ascii="仿宋" w:eastAsia="仿宋"/>
          <w:sz w:val="32"/>
          <w:szCs w:val="32"/>
        </w:rPr>
        <w:t>（1）“三公”经费支出情况：</w:t>
      </w:r>
    </w:p>
    <w:p>
      <w:pPr>
        <w:snapToGrid w:val="0"/>
        <w:spacing w:line="520" w:lineRule="exact"/>
        <w:ind w:firstLine="800" w:firstLineChars="250"/>
        <w:rPr>
          <w:rFonts w:ascii="仿宋" w:eastAsia="仿宋"/>
          <w:sz w:val="32"/>
          <w:szCs w:val="32"/>
        </w:rPr>
      </w:pPr>
      <w:r>
        <w:rPr>
          <w:rFonts w:hint="eastAsia" w:ascii="仿宋" w:eastAsia="仿宋"/>
          <w:sz w:val="32"/>
          <w:szCs w:val="32"/>
        </w:rPr>
        <w:t>20</w:t>
      </w:r>
      <w:r>
        <w:rPr>
          <w:rFonts w:ascii="仿宋" w:eastAsia="仿宋"/>
          <w:sz w:val="32"/>
          <w:szCs w:val="32"/>
        </w:rPr>
        <w:t>2</w:t>
      </w:r>
      <w:r>
        <w:rPr>
          <w:rFonts w:hint="eastAsia" w:ascii="仿宋" w:eastAsia="仿宋"/>
          <w:sz w:val="32"/>
          <w:szCs w:val="32"/>
        </w:rPr>
        <w:t>3年度“三公”经费支出预算0.1万元，实际支出0.04万元，较预算减少0.06万元。</w:t>
      </w:r>
    </w:p>
    <w:p>
      <w:pPr>
        <w:snapToGrid w:val="0"/>
        <w:spacing w:line="520" w:lineRule="exact"/>
        <w:ind w:firstLine="640" w:firstLineChars="200"/>
        <w:rPr>
          <w:rFonts w:ascii="仿宋" w:eastAsia="仿宋"/>
          <w:sz w:val="32"/>
          <w:szCs w:val="32"/>
        </w:rPr>
      </w:pPr>
      <w:r>
        <w:rPr>
          <w:rFonts w:hint="eastAsia" w:ascii="仿宋" w:eastAsia="仿宋"/>
          <w:sz w:val="32"/>
          <w:szCs w:val="32"/>
        </w:rPr>
        <w:t>（2）会议费支出情况：会议费支出0万元。</w:t>
      </w:r>
    </w:p>
    <w:p>
      <w:pPr>
        <w:snapToGrid w:val="0"/>
        <w:spacing w:line="520" w:lineRule="exact"/>
        <w:ind w:firstLine="640" w:firstLineChars="200"/>
        <w:rPr>
          <w:rFonts w:ascii="仿宋" w:eastAsia="仿宋"/>
          <w:sz w:val="32"/>
          <w:szCs w:val="32"/>
        </w:rPr>
      </w:pPr>
      <w:r>
        <w:rPr>
          <w:rFonts w:hint="eastAsia" w:ascii="仿宋" w:eastAsia="仿宋"/>
          <w:sz w:val="32"/>
          <w:szCs w:val="32"/>
        </w:rPr>
        <w:t>（3）培训费支出情况：培训费支出1.5万元。</w:t>
      </w:r>
    </w:p>
    <w:p>
      <w:pPr>
        <w:snapToGrid w:val="0"/>
        <w:spacing w:line="520" w:lineRule="exact"/>
        <w:ind w:firstLine="640" w:firstLineChars="200"/>
        <w:rPr>
          <w:rFonts w:ascii="仿宋" w:eastAsia="仿宋"/>
          <w:sz w:val="32"/>
          <w:szCs w:val="32"/>
        </w:rPr>
      </w:pPr>
      <w:r>
        <w:rPr>
          <w:rFonts w:hint="eastAsia" w:ascii="仿宋" w:eastAsia="仿宋"/>
          <w:sz w:val="32"/>
          <w:szCs w:val="32"/>
        </w:rPr>
        <w:t>（4）其他对单位影响较大的支出情况。</w:t>
      </w:r>
    </w:p>
    <w:p>
      <w:pPr>
        <w:snapToGrid w:val="0"/>
        <w:spacing w:line="520" w:lineRule="exact"/>
        <w:ind w:firstLine="640" w:firstLineChars="200"/>
        <w:rPr>
          <w:rFonts w:ascii="仿宋" w:eastAsia="仿宋"/>
          <w:sz w:val="32"/>
          <w:szCs w:val="32"/>
        </w:rPr>
      </w:pPr>
      <w:r>
        <w:rPr>
          <w:rFonts w:hint="eastAsia" w:ascii="仿宋" w:eastAsia="仿宋"/>
          <w:sz w:val="32"/>
          <w:szCs w:val="32"/>
        </w:rPr>
        <w:t>无其他对单位影响较大的支出情况。</w:t>
      </w:r>
    </w:p>
    <w:p>
      <w:pPr>
        <w:snapToGrid w:val="0"/>
        <w:spacing w:line="520" w:lineRule="exact"/>
        <w:ind w:firstLine="640" w:firstLineChars="200"/>
        <w:rPr>
          <w:rFonts w:ascii="仿宋" w:eastAsia="仿宋"/>
          <w:sz w:val="32"/>
          <w:szCs w:val="32"/>
        </w:rPr>
      </w:pPr>
      <w:r>
        <w:rPr>
          <w:rFonts w:hint="eastAsia" w:ascii="仿宋" w:eastAsia="仿宋"/>
          <w:sz w:val="32"/>
          <w:szCs w:val="32"/>
        </w:rPr>
        <w:t>（5）重点经济分类支出中存在的问题及改进措施。</w:t>
      </w:r>
    </w:p>
    <w:p>
      <w:pPr>
        <w:snapToGrid w:val="0"/>
        <w:spacing w:line="520" w:lineRule="exact"/>
        <w:ind w:firstLine="640" w:firstLineChars="200"/>
        <w:rPr>
          <w:rFonts w:ascii="仿宋" w:eastAsia="仿宋"/>
          <w:sz w:val="32"/>
          <w:szCs w:val="32"/>
        </w:rPr>
      </w:pPr>
      <w:r>
        <w:rPr>
          <w:rFonts w:hint="eastAsia" w:ascii="仿宋" w:eastAsia="仿宋"/>
          <w:sz w:val="32"/>
          <w:szCs w:val="32"/>
        </w:rPr>
        <w:t xml:space="preserve">  无重点经济分类支出中存在的问题。</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4.财政拨款收入、支出分析。</w:t>
      </w:r>
    </w:p>
    <w:p>
      <w:pPr>
        <w:snapToGrid w:val="0"/>
        <w:spacing w:line="520" w:lineRule="exact"/>
        <w:ind w:firstLine="640" w:firstLineChars="200"/>
        <w:rPr>
          <w:rFonts w:ascii="仿宋" w:eastAsia="仿宋"/>
          <w:sz w:val="32"/>
          <w:szCs w:val="32"/>
        </w:rPr>
      </w:pPr>
      <w:r>
        <w:rPr>
          <w:rFonts w:hint="eastAsia" w:ascii="仿宋" w:eastAsia="仿宋"/>
          <w:sz w:val="32"/>
          <w:szCs w:val="32"/>
        </w:rPr>
        <w:t>本年度财政拨款收入为89.47万元，本年度财政拨款支出为89.47万元。其中基本支出为</w:t>
      </w:r>
      <w:r>
        <w:rPr>
          <w:rFonts w:hint="eastAsia" w:ascii="仿宋" w:eastAsia="仿宋"/>
          <w:sz w:val="32"/>
          <w:szCs w:val="32"/>
          <w:lang w:val="en-US" w:eastAsia="zh-CN"/>
        </w:rPr>
        <w:t>8</w:t>
      </w:r>
      <w:r>
        <w:rPr>
          <w:rFonts w:hint="eastAsia" w:ascii="仿宋" w:eastAsia="仿宋"/>
          <w:sz w:val="32"/>
          <w:szCs w:val="32"/>
        </w:rPr>
        <w:t>9.47万元。</w:t>
      </w:r>
    </w:p>
    <w:p>
      <w:pPr>
        <w:snapToGrid w:val="0"/>
        <w:spacing w:line="52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5.非财政拨款收入分析。</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2023年无非财政拨款收入。</w:t>
      </w:r>
    </w:p>
    <w:p>
      <w:pPr>
        <w:snapToGrid w:val="0"/>
        <w:spacing w:line="520" w:lineRule="exact"/>
        <w:ind w:firstLine="643" w:firstLineChars="200"/>
        <w:rPr>
          <w:rFonts w:hint="eastAsia" w:ascii="楷体_GB2312" w:hAnsi="仿宋" w:eastAsia="楷体_GB2312"/>
          <w:b/>
          <w:color w:val="000000"/>
          <w:sz w:val="32"/>
          <w:szCs w:val="32"/>
        </w:rPr>
      </w:pPr>
      <w:r>
        <w:rPr>
          <w:rFonts w:hint="eastAsia" w:ascii="楷体_GB2312" w:hAnsi="仿宋" w:eastAsia="楷体_GB2312"/>
          <w:b/>
          <w:color w:val="000000"/>
          <w:sz w:val="32"/>
          <w:szCs w:val="32"/>
        </w:rPr>
        <w:t>（三）年末结转和结余情况。</w:t>
      </w:r>
    </w:p>
    <w:p>
      <w:pPr>
        <w:snapToGrid w:val="0"/>
        <w:ind w:firstLine="640" w:firstLineChars="200"/>
        <w:rPr>
          <w:rFonts w:ascii="仿宋" w:eastAsia="仿宋"/>
          <w:color w:val="000000"/>
          <w:sz w:val="32"/>
          <w:szCs w:val="32"/>
        </w:rPr>
      </w:pPr>
      <w:bookmarkStart w:id="0" w:name="YS060103"/>
      <w:r>
        <w:rPr>
          <w:rFonts w:hint="eastAsia" w:ascii="仿宋" w:eastAsia="仿宋"/>
          <w:color w:val="000000"/>
          <w:sz w:val="32"/>
          <w:szCs w:val="32"/>
        </w:rPr>
        <w:t>本单位收支结余情况：本年收支平衡无结余。</w:t>
      </w:r>
    </w:p>
    <w:p>
      <w:pPr>
        <w:snapToGrid w:val="0"/>
        <w:spacing w:line="520" w:lineRule="exact"/>
        <w:ind w:firstLine="643" w:firstLineChars="200"/>
        <w:rPr>
          <w:rFonts w:hint="eastAsia" w:ascii="楷体_GB2312" w:hAnsi="仿宋" w:eastAsia="楷体_GB2312"/>
          <w:b/>
          <w:color w:val="000000"/>
          <w:sz w:val="32"/>
          <w:szCs w:val="32"/>
        </w:rPr>
      </w:pPr>
      <w:r>
        <w:rPr>
          <w:rFonts w:hint="eastAsia" w:ascii="楷体_GB2312" w:hAnsi="仿宋" w:eastAsia="楷体_GB2312"/>
          <w:b/>
          <w:color w:val="000000"/>
          <w:sz w:val="32"/>
          <w:szCs w:val="32"/>
        </w:rPr>
        <w:t>（四）与预算支出相关的其他指标分析。</w:t>
      </w:r>
    </w:p>
    <w:p>
      <w:pPr>
        <w:snapToGrid w:val="0"/>
        <w:spacing w:line="520" w:lineRule="exact"/>
        <w:ind w:firstLine="640" w:firstLineChars="200"/>
        <w:rPr>
          <w:rFonts w:ascii="仿宋" w:eastAsia="仿宋"/>
          <w:color w:val="000000"/>
          <w:sz w:val="32"/>
          <w:szCs w:val="32"/>
        </w:rPr>
      </w:pPr>
      <w:r>
        <w:rPr>
          <w:rFonts w:hint="eastAsia" w:ascii="仿宋" w:eastAsia="仿宋"/>
          <w:color w:val="000000"/>
          <w:sz w:val="32"/>
          <w:szCs w:val="32"/>
        </w:rPr>
        <w:t>年末单位资产总值为5.92万元，上年资产总值6.64万元，减少原因为固定资产累计折旧；负债总值为0万元，上年负债总值0万元。</w:t>
      </w:r>
    </w:p>
    <w:p>
      <w:pPr>
        <w:snapToGrid w:val="0"/>
        <w:spacing w:line="520" w:lineRule="exact"/>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（五）绩效目标完成情况。</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1.概述项目绩效目标完成情况。</w:t>
      </w:r>
    </w:p>
    <w:p>
      <w:pPr>
        <w:snapToGrid w:val="0"/>
        <w:spacing w:line="520" w:lineRule="exact"/>
        <w:ind w:firstLine="640" w:firstLineChars="200"/>
        <w:rPr>
          <w:rFonts w:ascii="仿宋" w:eastAsia="仿宋"/>
          <w:color w:val="000000"/>
          <w:sz w:val="32"/>
          <w:szCs w:val="32"/>
        </w:rPr>
      </w:pPr>
      <w:r>
        <w:rPr>
          <w:rFonts w:hint="eastAsia" w:ascii="仿宋" w:eastAsia="仿宋"/>
          <w:color w:val="000000"/>
          <w:sz w:val="32"/>
          <w:szCs w:val="32"/>
        </w:rPr>
        <w:t>全面完成绩效目标任务：</w:t>
      </w:r>
    </w:p>
    <w:p>
      <w:pPr>
        <w:spacing w:line="540" w:lineRule="exact"/>
        <w:ind w:firstLine="640" w:firstLineChars="200"/>
        <w:rPr>
          <w:rFonts w:hint="eastAsia" w:ascii="仿宋" w:eastAsia="仿宋" w:cs="宋体"/>
          <w:color w:val="FF0000"/>
          <w:kern w:val="0"/>
          <w:sz w:val="32"/>
          <w:szCs w:val="32"/>
        </w:rPr>
      </w:pPr>
      <w:r>
        <w:rPr>
          <w:rFonts w:hint="eastAsia" w:ascii="仿宋" w:eastAsia="仿宋"/>
          <w:color w:val="000000"/>
          <w:sz w:val="32"/>
          <w:szCs w:val="32"/>
        </w:rPr>
        <w:t>市对县重点工作绩效评估党建带群建科协部门指标任务全面完成。提升公民科学素质活动、服务科技工作者实效明显。乡村振兴驻村帮扶、文明建设等工作持续推进，常态长效。</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2.概述本单位整体支出绩效目标实现情况。</w:t>
      </w:r>
    </w:p>
    <w:p>
      <w:pPr>
        <w:snapToGrid w:val="0"/>
        <w:spacing w:line="520" w:lineRule="exact"/>
        <w:ind w:firstLine="643" w:firstLineChars="200"/>
        <w:rPr>
          <w:rFonts w:hint="eastAsia" w:ascii="仿宋" w:eastAsia="仿宋"/>
          <w:sz w:val="32"/>
          <w:szCs w:val="32"/>
        </w:rPr>
      </w:pPr>
      <w:r>
        <w:rPr>
          <w:rFonts w:hint="eastAsia" w:ascii="仿宋" w:hAnsi="仿宋" w:eastAsia="仿宋" w:cs="楷体_GB2312"/>
          <w:b/>
          <w:sz w:val="32"/>
          <w:szCs w:val="32"/>
        </w:rPr>
        <w:t>1.全力提升全民科学素质。</w:t>
      </w:r>
      <w:r>
        <w:rPr>
          <w:rFonts w:hint="eastAsia" w:ascii="仿宋" w:eastAsia="仿宋"/>
          <w:sz w:val="32"/>
          <w:szCs w:val="32"/>
        </w:rPr>
        <w:t>“线上线下”双管齐下。线下结合全国科普日、科技活动周和全国科技工作者日等活动，组织开展科技科普志愿服务活动16场，期间邀请知名专家6人，围绕科普助力“双减”、科技助力乡村振兴、卫生健康等主题，举办了5期“科普大讲堂”活动。共免费发放科普宣传资料3万余份。县科协被评为2023年全国科普日优秀组织单位，组织的“炎陵县‘百名院士进校园 万名科技工作者上讲台’科普专项行动”被评为2023年湖南省全国科普日优秀活动。线上通过租赁县文体活动中心户外电子显示屏和湖南有线炎陵网络有限公司乙方机顶盒开机视频，播放《科普中国》平台科普视频的方式，常态化开展科普宣传。</w:t>
      </w:r>
    </w:p>
    <w:p>
      <w:pPr>
        <w:snapToGrid w:val="0"/>
        <w:spacing w:line="520" w:lineRule="exact"/>
        <w:ind w:firstLine="643" w:firstLineChars="200"/>
        <w:rPr>
          <w:rFonts w:hint="eastAsia" w:ascii="仿宋" w:eastAsia="仿宋"/>
          <w:sz w:val="32"/>
          <w:szCs w:val="32"/>
        </w:rPr>
      </w:pPr>
      <w:r>
        <w:rPr>
          <w:rFonts w:hint="eastAsia" w:ascii="仿宋" w:hAnsi="仿宋" w:eastAsia="仿宋" w:cs="楷体_GB2312"/>
          <w:b/>
          <w:sz w:val="32"/>
          <w:szCs w:val="32"/>
        </w:rPr>
        <w:t>2.积极举办青少年科技创新大赛。</w:t>
      </w:r>
      <w:r>
        <w:rPr>
          <w:rFonts w:hint="eastAsia" w:ascii="仿宋" w:eastAsia="仿宋"/>
          <w:sz w:val="32"/>
          <w:szCs w:val="32"/>
        </w:rPr>
        <w:t>2023年3月份组织学生参加省、市青少年科技创新大赛，获得市赛奖项61项，省赛奖项3项，获奖数量创历史新高。10月份，组织开展的第43届炎陵县青少年科技创新大赛，共收到参赛作品448件，评选出学生作品一等奖65项，二等奖46项，三等奖50项，优秀科技辅导员6名，优秀组织奖5个。今年1月份，组织优秀学生作品参加了株洲市第44届科技创新大赛，参赛结果暂未公布。</w:t>
      </w:r>
    </w:p>
    <w:p>
      <w:pPr>
        <w:spacing w:line="600" w:lineRule="exact"/>
        <w:ind w:firstLine="643" w:firstLineChars="200"/>
        <w:rPr>
          <w:rFonts w:hint="eastAsia" w:ascii="仿宋" w:eastAsia="仿宋"/>
          <w:sz w:val="32"/>
          <w:szCs w:val="32"/>
        </w:rPr>
      </w:pPr>
      <w:r>
        <w:rPr>
          <w:rFonts w:hint="eastAsia" w:ascii="仿宋" w:hAnsi="仿宋" w:eastAsia="仿宋" w:cs="楷体_GB2312"/>
          <w:b/>
          <w:sz w:val="32"/>
          <w:szCs w:val="32"/>
        </w:rPr>
        <w:t>3.用心用情服务科技工作者。</w:t>
      </w:r>
      <w:r>
        <w:rPr>
          <w:rFonts w:hint="eastAsia" w:ascii="仿宋" w:eastAsia="仿宋"/>
          <w:sz w:val="32"/>
          <w:szCs w:val="32"/>
        </w:rPr>
        <w:t>一是开展走访调研活动。县科协分别到县药学会药材基地、沔渡镇中学科技馆和东风油茶种植协会开展走访调研，了解他们的工作和生活情况，现场交流科普示范创建经验，征集相关工作意见建议；二是举办科技培训班。邀请全国科技发明制作专家袁兴台老师、全国“优秀科技辅导员”罗新旭老师，分别在城南小学、芙蓉学校开展科创知识讲座。推荐县优秀科技辅导员参加株洲市中小学科技教师科学素养提升班；三是开展科普示范创建。指导、推荐东风油茶种植协会成功创建2023年国家“基层科普行动计划”（湖南）奖补项目，这是近五年来县农技协首次入选“国字”项目，获得奖补资金10万元。</w:t>
      </w:r>
    </w:p>
    <w:p>
      <w:pPr>
        <w:snapToGrid w:val="0"/>
        <w:spacing w:line="560" w:lineRule="exact"/>
        <w:ind w:firstLine="643" w:firstLineChars="200"/>
        <w:rPr>
          <w:rFonts w:hint="eastAsia" w:ascii="仿宋" w:eastAsia="仿宋" w:cs="仿宋"/>
          <w:color w:val="000000"/>
          <w:sz w:val="32"/>
          <w:szCs w:val="32"/>
        </w:rPr>
      </w:pPr>
      <w:r>
        <w:rPr>
          <w:rFonts w:hint="eastAsia" w:ascii="仿宋" w:hAnsi="仿宋" w:eastAsia="仿宋" w:cs="楷体_GB2312"/>
          <w:b/>
          <w:color w:val="000000"/>
          <w:sz w:val="32"/>
          <w:szCs w:val="32"/>
        </w:rPr>
        <w:t>4.服务中心大局。</w:t>
      </w:r>
      <w:r>
        <w:rPr>
          <w:rFonts w:hint="eastAsia" w:ascii="仿宋" w:eastAsia="仿宋"/>
          <w:color w:val="000000"/>
          <w:sz w:val="32"/>
          <w:szCs w:val="32"/>
        </w:rPr>
        <w:t>一是做好乡村振兴和驻村帮扶工作。克服单位人员力量薄弱的实际困难，派出一名同志脱产驻船形乡高路村开展乡村振兴帮扶工作，</w:t>
      </w:r>
      <w:r>
        <w:rPr>
          <w:rFonts w:hint="eastAsia" w:ascii="仿宋" w:eastAsia="仿宋" w:cs="仿宋"/>
          <w:color w:val="000000"/>
          <w:sz w:val="32"/>
          <w:szCs w:val="32"/>
        </w:rPr>
        <w:t>并在车辆等方面为其提供坚强保障</w:t>
      </w:r>
      <w:r>
        <w:rPr>
          <w:rFonts w:ascii="仿宋" w:eastAsia="仿宋" w:cs="仿宋"/>
          <w:color w:val="000000"/>
          <w:sz w:val="32"/>
          <w:szCs w:val="32"/>
        </w:rPr>
        <w:t>。</w:t>
      </w:r>
      <w:r>
        <w:rPr>
          <w:rFonts w:hint="eastAsia" w:ascii="仿宋" w:eastAsia="仿宋"/>
          <w:color w:val="000000"/>
          <w:sz w:val="32"/>
          <w:szCs w:val="32"/>
        </w:rPr>
        <w:t>单位领导多次到村调研指导，开展走访、宣传政策、精准帮扶等工作；二是开展大兴调查研究及“走找想促”活动，围绕调查研究课题深入基层开展调研活动；三是有条不紊做好文旅品牌宣传推广、文明城市创建、国家卫生城市提名复审等工作。</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（六）当年预算执行及绩效管理中存在问题、原因及改进措施。</w:t>
      </w:r>
    </w:p>
    <w:bookmarkEnd w:id="0"/>
    <w:p>
      <w:pPr>
        <w:snapToGrid w:val="0"/>
        <w:spacing w:line="520" w:lineRule="exact"/>
        <w:ind w:firstLine="640" w:firstLineChars="200"/>
        <w:rPr>
          <w:rFonts w:hint="eastAsia" w:ascii="仿宋" w:hAnsi="仿宋" w:eastAsia="仿宋"/>
          <w:sz w:val="32"/>
          <w:szCs w:val="32"/>
        </w:rPr>
      </w:pPr>
      <w:bookmarkStart w:id="1" w:name="YS060104"/>
      <w:r>
        <w:rPr>
          <w:rFonts w:hint="eastAsia" w:ascii="仿宋" w:hAnsi="仿宋" w:eastAsia="仿宋"/>
          <w:sz w:val="32"/>
          <w:szCs w:val="32"/>
        </w:rPr>
        <w:t>1.</w:t>
      </w:r>
      <w:r>
        <w:rPr>
          <w:rFonts w:ascii="仿宋" w:hAnsi="仿宋" w:eastAsia="仿宋"/>
          <w:sz w:val="32"/>
          <w:szCs w:val="32"/>
        </w:rPr>
        <w:t xml:space="preserve">进一步细化预算编制工作。进一步加强我会的预算管理意识,严格预算编制的相关制度和要求,规范预算编制程序。根据年度工作重点和项目工作规划,本着“勤俭节约、保障运转”的原则进行预算的编制。编制范围尽可能的全面,不漏项。进一步提高预算编制的科学性、合理性、严谨性和可控性。 </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进一步加强预算执行管理。遵循预算管理办法,对于年度无法预计的临时追加的相关工作所需经费,严格按照预算调整追加程序,逐级申报报批,有效降低预算控制率。</w:t>
      </w:r>
    </w:p>
    <w:p>
      <w:pPr>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三、本年度部门决算等财务工作开展情况</w:t>
      </w:r>
    </w:p>
    <w:bookmarkEnd w:id="1"/>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本单位财务管理、绩效管理、决算组织、编报、审核情况。</w:t>
      </w:r>
    </w:p>
    <w:p>
      <w:pPr>
        <w:snapToGrid w:val="0"/>
        <w:spacing w:line="520" w:lineRule="exact"/>
        <w:ind w:firstLine="640" w:firstLineChars="200"/>
        <w:rPr>
          <w:rFonts w:ascii="仿宋" w:eastAsia="仿宋"/>
          <w:sz w:val="32"/>
          <w:szCs w:val="32"/>
        </w:rPr>
      </w:pPr>
      <w:r>
        <w:rPr>
          <w:rFonts w:ascii="仿宋" w:eastAsia="仿宋"/>
          <w:sz w:val="32"/>
          <w:szCs w:val="32"/>
        </w:rPr>
        <w:t>本单位</w:t>
      </w:r>
      <w:r>
        <w:rPr>
          <w:rFonts w:hint="eastAsia" w:ascii="仿宋" w:eastAsia="仿宋"/>
          <w:sz w:val="32"/>
          <w:szCs w:val="32"/>
        </w:rPr>
        <w:t>严格执行《预算法》、《会计法》等财经法规,健全了单位财务管理制度和内部控制制度，</w:t>
      </w:r>
      <w:r>
        <w:rPr>
          <w:rFonts w:ascii="仿宋" w:eastAsia="仿宋"/>
          <w:sz w:val="32"/>
          <w:szCs w:val="32"/>
        </w:rPr>
        <w:t>严格按照相关</w:t>
      </w:r>
      <w:r>
        <w:rPr>
          <w:rFonts w:hint="eastAsia" w:ascii="仿宋" w:eastAsia="仿宋"/>
          <w:sz w:val="32"/>
          <w:szCs w:val="32"/>
        </w:rPr>
        <w:t>财经法规和规章制度进行</w:t>
      </w:r>
      <w:r>
        <w:rPr>
          <w:rFonts w:ascii="仿宋" w:eastAsia="仿宋"/>
          <w:sz w:val="32"/>
          <w:szCs w:val="32"/>
        </w:rPr>
        <w:t>财务管理</w:t>
      </w:r>
      <w:r>
        <w:rPr>
          <w:rFonts w:hint="eastAsia" w:ascii="仿宋" w:eastAsia="仿宋"/>
          <w:sz w:val="32"/>
          <w:szCs w:val="32"/>
        </w:rPr>
        <w:t>、绩效管理，组织决算、编报、审核等</w:t>
      </w:r>
      <w:r>
        <w:rPr>
          <w:rFonts w:ascii="仿宋" w:eastAsia="仿宋"/>
          <w:sz w:val="32"/>
          <w:szCs w:val="32"/>
        </w:rPr>
        <w:t>，及时上报县财政，需公开的</w:t>
      </w:r>
      <w:r>
        <w:rPr>
          <w:rFonts w:hint="eastAsia" w:ascii="仿宋" w:eastAsia="仿宋"/>
          <w:sz w:val="32"/>
          <w:szCs w:val="32"/>
        </w:rPr>
        <w:t>也</w:t>
      </w:r>
      <w:r>
        <w:rPr>
          <w:rFonts w:ascii="仿宋" w:eastAsia="仿宋"/>
          <w:sz w:val="32"/>
          <w:szCs w:val="32"/>
        </w:rPr>
        <w:t>及时</w:t>
      </w:r>
      <w:r>
        <w:rPr>
          <w:rFonts w:hint="eastAsia" w:ascii="仿宋" w:eastAsia="仿宋"/>
          <w:sz w:val="32"/>
          <w:szCs w:val="32"/>
        </w:rPr>
        <w:t>进行了</w:t>
      </w:r>
      <w:r>
        <w:rPr>
          <w:rFonts w:ascii="仿宋" w:eastAsia="仿宋"/>
          <w:sz w:val="32"/>
          <w:szCs w:val="32"/>
        </w:rPr>
        <w:t>公开发布。</w:t>
      </w:r>
    </w:p>
    <w:p>
      <w:pPr>
        <w:snapToGrid w:val="0"/>
        <w:spacing w:line="520" w:lineRule="exact"/>
        <w:ind w:firstLine="640" w:firstLineChars="200"/>
        <w:rPr>
          <w:rFonts w:hint="eastAsia" w:ascii="仿宋_GB2312" w:hAnsi="仿宋" w:eastAsia="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NzBjNzBiMmU0MDA0YjRhMDU1ZjY0ZGQ3ZmE3OGIifQ=="/>
    <w:docVar w:name="KSO_WPS_MARK_KEY" w:val="0d5ca36c-c3eb-4764-b208-b9fddd89b010"/>
  </w:docVars>
  <w:rsids>
    <w:rsidRoot w:val="00000000"/>
    <w:rsid w:val="15BF56EC"/>
    <w:rsid w:val="359778C9"/>
    <w:rsid w:val="35CB6416"/>
    <w:rsid w:val="4B4334AB"/>
    <w:rsid w:val="5403276E"/>
    <w:rsid w:val="54C57A37"/>
    <w:rsid w:val="6E385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4505</Words>
  <Characters>4892</Characters>
  <Lines>0</Lines>
  <Paragraphs>0</Paragraphs>
  <TotalTime>10</TotalTime>
  <ScaleCrop>false</ScaleCrop>
  <LinksUpToDate>false</LinksUpToDate>
  <CharactersWithSpaces>4898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cp:lastPrinted>2024-09-02T09:43:05Z</cp:lastPrinted>
  <dcterms:modified xsi:type="dcterms:W3CDTF">2024-09-02T09:47:22Z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DEC29D6FF1984251977FAFE43F2C91AB_12</vt:lpwstr>
  </property>
</Properties>
</file>