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E779B">
      <w:pPr>
        <w:pStyle w:val="2"/>
        <w:keepNext w:val="0"/>
        <w:keepLines w:val="0"/>
        <w:pageBreakBefore w:val="0"/>
        <w:widowControl/>
        <w:kinsoku w:val="0"/>
        <w:wordWrap/>
        <w:overflowPunct/>
        <w:topLinePunct w:val="0"/>
        <w:autoSpaceDE w:val="0"/>
        <w:autoSpaceDN w:val="0"/>
        <w:bidi w:val="0"/>
        <w:adjustRightInd w:val="0"/>
        <w:snapToGrid w:val="0"/>
        <w:spacing w:before="162" w:line="560" w:lineRule="exact"/>
        <w:textAlignment w:val="baseline"/>
        <w:rPr>
          <w:rFonts w:hint="eastAsia" w:ascii="黑体" w:hAnsi="黑体" w:eastAsia="黑体" w:cs="黑体"/>
          <w:sz w:val="34"/>
          <w:szCs w:val="34"/>
          <w:lang w:eastAsia="zh-CN"/>
        </w:rPr>
      </w:pPr>
      <w:r>
        <w:rPr>
          <w:rFonts w:hint="eastAsia" w:ascii="黑体" w:hAnsi="黑体" w:eastAsia="黑体" w:cs="黑体"/>
          <w:spacing w:val="14"/>
          <w:sz w:val="34"/>
          <w:szCs w:val="34"/>
        </w:rPr>
        <w:t>附件</w:t>
      </w:r>
      <w:r>
        <w:rPr>
          <w:rFonts w:hint="eastAsia" w:ascii="黑体" w:hAnsi="黑体" w:eastAsia="黑体" w:cs="黑体"/>
          <w:spacing w:val="14"/>
          <w:sz w:val="34"/>
          <w:szCs w:val="34"/>
          <w:lang w:val="en-US" w:eastAsia="zh-CN"/>
        </w:rPr>
        <w:t>3</w:t>
      </w:r>
    </w:p>
    <w:p w14:paraId="3373898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097EFB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44A74DC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z w:val="44"/>
          <w:szCs w:val="44"/>
        </w:rPr>
      </w:pPr>
    </w:p>
    <w:p w14:paraId="0DFB6BB4">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2023年度炎陵县水口镇人民政府</w:t>
      </w:r>
      <w:r>
        <w:rPr>
          <w:rFonts w:hint="eastAsia" w:ascii="方正小标宋简体" w:hAnsi="方正小标宋简体" w:eastAsia="方正小标宋简体" w:cs="方正小标宋简体"/>
          <w:sz w:val="44"/>
          <w:szCs w:val="44"/>
        </w:rPr>
        <w:t>整体支出绩效</w:t>
      </w:r>
      <w:r>
        <w:rPr>
          <w:rFonts w:hint="eastAsia" w:ascii="方正小标宋简体" w:hAnsi="方正小标宋简体" w:eastAsia="方正小标宋简体" w:cs="方正小标宋简体"/>
          <w:sz w:val="44"/>
          <w:szCs w:val="44"/>
          <w:lang w:val="en-US" w:eastAsia="zh-CN"/>
        </w:rPr>
        <w:t>自评</w:t>
      </w:r>
      <w:r>
        <w:rPr>
          <w:rFonts w:hint="eastAsia" w:ascii="方正小标宋简体" w:hAnsi="方正小标宋简体" w:eastAsia="方正小标宋简体" w:cs="方正小标宋简体"/>
          <w:sz w:val="44"/>
          <w:szCs w:val="44"/>
        </w:rPr>
        <w:t>报告</w:t>
      </w:r>
    </w:p>
    <w:p w14:paraId="17F58897">
      <w:pPr>
        <w:spacing w:line="600" w:lineRule="exact"/>
        <w:jc w:val="center"/>
        <w:rPr>
          <w:rFonts w:eastAsia="楷体_GB2312"/>
          <w:sz w:val="32"/>
          <w:szCs w:val="32"/>
        </w:rPr>
      </w:pPr>
    </w:p>
    <w:p w14:paraId="033AED1B">
      <w:pPr>
        <w:spacing w:line="600" w:lineRule="exact"/>
        <w:jc w:val="center"/>
        <w:rPr>
          <w:rFonts w:eastAsia="楷体_GB2312"/>
          <w:sz w:val="32"/>
          <w:szCs w:val="32"/>
        </w:rPr>
      </w:pPr>
    </w:p>
    <w:p w14:paraId="315F8578">
      <w:pPr>
        <w:spacing w:line="600" w:lineRule="exact"/>
        <w:jc w:val="center"/>
        <w:rPr>
          <w:rFonts w:eastAsia="楷体_GB2312"/>
          <w:sz w:val="32"/>
          <w:szCs w:val="32"/>
        </w:rPr>
      </w:pPr>
    </w:p>
    <w:p w14:paraId="2E029910">
      <w:pPr>
        <w:spacing w:line="600" w:lineRule="exact"/>
        <w:jc w:val="center"/>
        <w:rPr>
          <w:rFonts w:eastAsia="楷体_GB2312"/>
          <w:sz w:val="32"/>
          <w:szCs w:val="32"/>
        </w:rPr>
      </w:pPr>
    </w:p>
    <w:p w14:paraId="1C92C148">
      <w:pPr>
        <w:spacing w:line="600" w:lineRule="exact"/>
        <w:jc w:val="center"/>
        <w:rPr>
          <w:rFonts w:eastAsia="楷体_GB2312"/>
          <w:sz w:val="32"/>
          <w:szCs w:val="32"/>
        </w:rPr>
      </w:pPr>
    </w:p>
    <w:p w14:paraId="2E9017B2">
      <w:pPr>
        <w:spacing w:line="600" w:lineRule="exact"/>
        <w:jc w:val="center"/>
        <w:rPr>
          <w:rFonts w:eastAsia="楷体_GB2312"/>
          <w:sz w:val="32"/>
          <w:szCs w:val="32"/>
        </w:rPr>
      </w:pPr>
    </w:p>
    <w:p w14:paraId="0FA4C78A">
      <w:pPr>
        <w:spacing w:line="600" w:lineRule="exact"/>
        <w:jc w:val="center"/>
        <w:rPr>
          <w:rFonts w:eastAsia="楷体_GB2312"/>
          <w:sz w:val="32"/>
          <w:szCs w:val="32"/>
        </w:rPr>
      </w:pPr>
    </w:p>
    <w:p w14:paraId="6833FC49">
      <w:pPr>
        <w:spacing w:line="600" w:lineRule="exact"/>
        <w:jc w:val="center"/>
        <w:rPr>
          <w:rFonts w:eastAsia="楷体_GB2312"/>
          <w:sz w:val="32"/>
          <w:szCs w:val="32"/>
        </w:rPr>
      </w:pPr>
    </w:p>
    <w:p w14:paraId="082DCFC8">
      <w:pPr>
        <w:spacing w:line="600" w:lineRule="exact"/>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单位名称（盖章）：</w:t>
      </w:r>
    </w:p>
    <w:p w14:paraId="123D12D1">
      <w:pPr>
        <w:spacing w:line="600" w:lineRule="exact"/>
        <w:jc w:val="center"/>
        <w:rPr>
          <w:rFonts w:hint="eastAsia" w:ascii="黑体" w:hAnsi="黑体" w:eastAsia="黑体" w:cs="黑体"/>
          <w:sz w:val="36"/>
          <w:szCs w:val="36"/>
          <w:lang w:val="en-US" w:eastAsia="zh-CN"/>
        </w:rPr>
      </w:pPr>
    </w:p>
    <w:p w14:paraId="70828991">
      <w:pPr>
        <w:spacing w:line="600" w:lineRule="exact"/>
        <w:jc w:val="center"/>
        <w:rPr>
          <w:rFonts w:hint="eastAsia" w:ascii="黑体" w:hAnsi="黑体" w:eastAsia="黑体" w:cs="黑体"/>
          <w:sz w:val="36"/>
          <w:szCs w:val="36"/>
          <w:lang w:val="en-US" w:eastAsia="zh-CN"/>
        </w:rPr>
      </w:pPr>
    </w:p>
    <w:p w14:paraId="17DB65AB">
      <w:pPr>
        <w:spacing w:line="600" w:lineRule="exact"/>
        <w:jc w:val="center"/>
        <w:rPr>
          <w:rFonts w:hint="eastAsia" w:ascii="黑体" w:hAnsi="黑体" w:eastAsia="黑体" w:cs="黑体"/>
          <w:sz w:val="36"/>
          <w:szCs w:val="36"/>
          <w:lang w:val="en-US" w:eastAsia="zh-CN"/>
        </w:rPr>
      </w:pPr>
    </w:p>
    <w:p w14:paraId="2010740C">
      <w:pPr>
        <w:spacing w:line="600" w:lineRule="exact"/>
        <w:jc w:val="center"/>
        <w:rPr>
          <w:rFonts w:hint="eastAsia" w:ascii="黑体" w:hAnsi="黑体" w:eastAsia="黑体" w:cs="黑体"/>
          <w:sz w:val="36"/>
          <w:szCs w:val="36"/>
          <w:lang w:val="en-US" w:eastAsia="zh-CN"/>
        </w:rPr>
      </w:pPr>
    </w:p>
    <w:p w14:paraId="084269F2">
      <w:pPr>
        <w:spacing w:line="600" w:lineRule="exact"/>
        <w:jc w:val="center"/>
        <w:rPr>
          <w:rFonts w:hint="eastAsia" w:ascii="黑体" w:hAnsi="黑体" w:eastAsia="黑体" w:cs="黑体"/>
          <w:sz w:val="36"/>
          <w:szCs w:val="36"/>
          <w:lang w:val="en-US" w:eastAsia="zh-CN"/>
        </w:rPr>
      </w:pPr>
    </w:p>
    <w:p w14:paraId="660F4AB2">
      <w:pPr>
        <w:rPr>
          <w:rFonts w:eastAsia="楷体_GB2312"/>
          <w:sz w:val="32"/>
          <w:szCs w:val="32"/>
        </w:rPr>
      </w:pPr>
      <w:r>
        <w:rPr>
          <w:rFonts w:hint="eastAsia" w:ascii="仿宋_GB2312" w:hAnsi="仿宋_GB2312" w:eastAsia="仿宋_GB2312" w:cs="仿宋_GB2312"/>
          <w:sz w:val="32"/>
          <w:szCs w:val="32"/>
          <w:lang w:val="en-US" w:eastAsia="zh-CN"/>
        </w:rPr>
        <w:br w:type="page"/>
      </w:r>
    </w:p>
    <w:p w14:paraId="69FD9C40">
      <w:pPr>
        <w:pStyle w:val="6"/>
        <w:widowControl/>
        <w:numPr>
          <w:ilvl w:val="0"/>
          <w:numId w:val="1"/>
        </w:numPr>
        <w:spacing w:line="520" w:lineRule="exact"/>
        <w:ind w:firstLine="640"/>
        <w:rPr>
          <w:rFonts w:ascii="Times New Roman" w:hAnsi="Times New Roman" w:eastAsia="黑体"/>
          <w:sz w:val="32"/>
          <w:szCs w:val="32"/>
        </w:rPr>
      </w:pPr>
      <w:r>
        <w:rPr>
          <w:rFonts w:ascii="Times New Roman" w:hAnsi="Times New Roman" w:eastAsia="黑体"/>
          <w:sz w:val="32"/>
          <w:szCs w:val="32"/>
        </w:rPr>
        <w:t>基本情况</w:t>
      </w:r>
    </w:p>
    <w:p w14:paraId="049DC1A2">
      <w:pPr>
        <w:pStyle w:val="6"/>
        <w:widowControl/>
        <w:numPr>
          <w:ilvl w:val="0"/>
          <w:numId w:val="2"/>
        </w:numPr>
        <w:spacing w:line="520" w:lineRule="exact"/>
        <w:ind w:left="-10" w:leftChars="0" w:firstLine="640" w:firstLine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基本情况</w:t>
      </w:r>
    </w:p>
    <w:p w14:paraId="49AEA49B">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本单位为一级预算单位，单位性质为行政单位。根据县委办2019年9月30日下发的炎办发〔2019〕67号文件规定，水口镇机关承担的主要职责如下：</w:t>
      </w:r>
    </w:p>
    <w:p w14:paraId="3AE469D0">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党的建设。落实基层党建工作责任制，严格抓好基层党组织建设各项制度，统筹抓好基层党建、意识形态和统一战线工作；推进全面从严治党，增强“四个意识”、坚定“四个自信”、做到“两个维护”，全面加强农村基层宣传思想文化工作，健全完善党建引领基层体系，进一步增强党在农村的政治领导力、思想引领力、群众组织力、社会号召力；贯彻落实党和国家在农村的各项方针政策和法律法规，对村民进行思想政治教育和社会主义法制教育，依法保障村民合法权益。</w:t>
      </w:r>
    </w:p>
    <w:p w14:paraId="2C3D159E">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促进经济发展。推进区域发展，全面实施乡村振兴战略，统筹落实辖区发展的重大决策和建设规划；组织制定乡村经济发展规划并组织实施；负责推动产业结构调整，指导、管理第一、二、三产业的发展；负责产业发展、民营经济、招商引资和推进科技普及工作；负责农村经济管理、指导村级财务管理、农村土地承包和农民权益维护工作；负责社会经济调查统计工作；负责农业经营主体和适度规模经营的指导和管理，示范引导农村合作经济组织，形成地域产业特色。</w:t>
      </w:r>
    </w:p>
    <w:p w14:paraId="1584C766">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公共管理。负责落实辖区内集镇管理、人口管理、社会管理、综合执法、市场监管、农业农机畜牧管理、林业管理、水利管理等工作；负责生态环境保护、农村人居环境整治等工作；负责城镇规划发展、道路交通建设管理相关工作；负责移民开发和精准扶贫的相关工作；负责领导基层自治工作，指导村（居）务公开、村（居）民议事委员会和“一约四会”建设。</w:t>
      </w:r>
    </w:p>
    <w:p w14:paraId="24DC1ED6">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加强公共安全。负责辖区公共安全及安全生产监管，构建公共安全防控体系，建立应对突发公共事件的处理预案，做好安全生产、防汛抗旱、防火、防疫、气象灾害防御、抗震、地质灾害、食品药品安全等应急管理工作。负责辖区社会治安、信访维稳等工作；协调平安创建和政法综治、群防群治等工作，负责辖区内网格化建设和管理工作，落实社会矛盾纠纷排查调处机制，综合发挥人民调解、行政调解和司法调解的作用，及时化解辖区社会矛盾，维护安全稳定。</w:t>
      </w:r>
    </w:p>
    <w:p w14:paraId="61AF7CC1">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加强公共服务。组织实施与群众生活密切相关的各项公共服务，负责辖区内就业、社会保障、民政优抚、医疗保障、儿童福利、科技教育、社会救助、文化体育旅游、卫生健康、退役军人事务等方面相关工作；推进审批服务便民化改革，落实基层“最多跑一次”改革工作，拓宽服务渠道，改进服务方式，建立健全群众办事一次办结机制，推进镇便民服务平台标准化建设，提升群众获得感和幸福感。</w:t>
      </w:r>
    </w:p>
    <w:p w14:paraId="3E8FBF58">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（6）法律、法规、规章的规定和县委、县政府交办的其他事项。</w:t>
      </w:r>
      <w:bookmarkStart w:id="0" w:name="_GoBack"/>
      <w:bookmarkEnd w:id="0"/>
    </w:p>
    <w:p w14:paraId="3EE8808F">
      <w:pPr>
        <w:pStyle w:val="6"/>
        <w:widowControl/>
        <w:numPr>
          <w:ilvl w:val="0"/>
          <w:numId w:val="0"/>
        </w:numPr>
        <w:spacing w:line="520" w:lineRule="exact"/>
        <w:ind w:left="630" w:leftChars="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（二）机构情况</w:t>
      </w:r>
    </w:p>
    <w:p w14:paraId="32118B78">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炎陵县水口镇人民政府内设机构包括：党政办公室、党建办公室、经济发展办公室（农业农村工作办公室）、民政办公室（卫生健康办公室）、生态环境办公室、社会治安办公室、应急管理办公室。设立6个镇直属事业单位：党群服务中心（综合便民服务中心）、社会事务综合服务站（文化综合服务站）、农业综合服务站（林业工作站）、退役军人服务站、综合行政执法大队、信息咨询服务站。其他机构：财政所以及按有关规定或章程设置的人大、纪检监察、人民武装部、工会、共青团、妇联等组织。</w:t>
      </w:r>
    </w:p>
    <w:p w14:paraId="3316D4D2">
      <w:pPr>
        <w:pStyle w:val="6"/>
        <w:widowControl/>
        <w:numPr>
          <w:ilvl w:val="0"/>
          <w:numId w:val="0"/>
        </w:numPr>
        <w:spacing w:line="520" w:lineRule="exac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 xml:space="preserve">    （三）人员情况</w:t>
      </w:r>
    </w:p>
    <w:p w14:paraId="2A076096">
      <w:pPr>
        <w:pStyle w:val="6"/>
        <w:widowControl/>
        <w:numPr>
          <w:ilvl w:val="0"/>
          <w:numId w:val="0"/>
        </w:numPr>
        <w:spacing w:line="52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我镇总编制数77人，其中：行政编制35人、事业编制42人。2023年末全镇实有在职人数为67人 ，按部门科目：人大事务2人、政府办公厅（室）及相关机构事务22人、财政事务5人、党委办公厅（室）及相关机构事务7人、文化和旅游2人、退役军人管理事务2人、农业农村27人。</w:t>
      </w:r>
    </w:p>
    <w:p w14:paraId="5556C9CE">
      <w:pPr>
        <w:pStyle w:val="6"/>
        <w:widowControl/>
        <w:numPr>
          <w:ilvl w:val="0"/>
          <w:numId w:val="2"/>
        </w:numPr>
        <w:spacing w:line="520" w:lineRule="exact"/>
        <w:ind w:left="-10" w:leftChars="0" w:firstLine="640" w:firstLineChars="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部门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年度整体支出绩效目标，专项资金绩效目标、其他项目支出（除专项资金以外）绩效目标</w:t>
      </w:r>
    </w:p>
    <w:p w14:paraId="6151C7AB">
      <w:pPr>
        <w:pStyle w:val="6"/>
        <w:widowControl/>
        <w:numPr>
          <w:ilvl w:val="0"/>
          <w:numId w:val="0"/>
        </w:numPr>
        <w:spacing w:line="520" w:lineRule="exact"/>
        <w:ind w:firstLine="640" w:firstLineChars="200"/>
        <w:rPr>
          <w:rFonts w:hint="eastAsia" w:ascii="楷体_GB2312" w:hAnsi="楷体_GB2312" w:eastAsia="楷体_GB2312" w:cs="楷体_GB2312"/>
          <w:sz w:val="32"/>
          <w:szCs w:val="32"/>
          <w:lang w:val="en-US" w:eastAsia="zh-CN"/>
        </w:rPr>
      </w:pPr>
      <w:r>
        <w:rPr>
          <w:rFonts w:hint="eastAsia" w:ascii="仿宋" w:hAnsi="仿宋" w:eastAsia="仿宋" w:cs="仿宋"/>
          <w:sz w:val="32"/>
          <w:szCs w:val="32"/>
          <w:lang w:val="en-US" w:eastAsia="zh-CN"/>
        </w:rPr>
        <w:t>2023年度整体支出绩效目标一般公共预算支出2413.85万元，政府性基金预算支出125.83万元，其中基本支出1395.11万元，占</w:t>
      </w:r>
      <w:r>
        <w:rPr>
          <w:rFonts w:hint="eastAsia" w:ascii="Arial" w:hAnsi="Arial" w:eastAsia="仿宋_GB2312" w:cs="Arial"/>
          <w:snapToGrid w:val="0"/>
          <w:color w:val="000000"/>
          <w:kern w:val="0"/>
          <w:sz w:val="32"/>
          <w:szCs w:val="32"/>
          <w:lang w:val="en-US" w:eastAsia="zh-CN" w:bidi="ar-SA"/>
        </w:rPr>
        <w:t>总</w:t>
      </w:r>
      <w:r>
        <w:rPr>
          <w:rFonts w:hint="eastAsia" w:ascii="仿宋" w:hAnsi="仿宋" w:eastAsia="仿宋" w:cs="仿宋"/>
          <w:sz w:val="32"/>
          <w:szCs w:val="32"/>
          <w:lang w:val="en-US" w:eastAsia="zh-CN"/>
        </w:rPr>
        <w:t>支出的54.93%，项目支出1144.56万元，占总支出的45.07%。</w:t>
      </w:r>
    </w:p>
    <w:p w14:paraId="7587B28A">
      <w:pPr>
        <w:pStyle w:val="6"/>
        <w:widowControl/>
        <w:spacing w:line="52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14:paraId="55115D6B">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（一）基本支出情况</w:t>
      </w:r>
    </w:p>
    <w:p w14:paraId="1FF658F3">
      <w:pPr>
        <w:pStyle w:val="6"/>
        <w:widowControl/>
        <w:spacing w:line="520" w:lineRule="exac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3</w:t>
      </w:r>
      <w:r>
        <w:rPr>
          <w:rFonts w:hint="eastAsia" w:ascii="仿宋" w:hAnsi="仿宋" w:eastAsia="仿宋" w:cs="仿宋"/>
          <w:snapToGrid w:val="0"/>
          <w:color w:val="000000"/>
          <w:kern w:val="0"/>
          <w:sz w:val="32"/>
          <w:szCs w:val="32"/>
          <w:lang w:val="en-US" w:eastAsia="en-US" w:bidi="ar-SA"/>
        </w:rPr>
        <w:t>年度基本支出中人员经费支出</w:t>
      </w:r>
      <w:r>
        <w:rPr>
          <w:rFonts w:hint="eastAsia" w:ascii="仿宋" w:hAnsi="仿宋" w:eastAsia="仿宋" w:cs="仿宋"/>
          <w:snapToGrid w:val="0"/>
          <w:color w:val="000000"/>
          <w:kern w:val="0"/>
          <w:sz w:val="32"/>
          <w:szCs w:val="32"/>
          <w:lang w:val="en-US" w:eastAsia="zh-CN" w:bidi="ar-SA"/>
        </w:rPr>
        <w:t>1130.40万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81.03</w:t>
      </w:r>
      <w:r>
        <w:rPr>
          <w:rFonts w:hint="eastAsia" w:ascii="仿宋" w:hAnsi="仿宋" w:eastAsia="仿宋" w:cs="仿宋"/>
          <w:snapToGrid w:val="0"/>
          <w:color w:val="000000"/>
          <w:kern w:val="0"/>
          <w:sz w:val="32"/>
          <w:szCs w:val="32"/>
          <w:lang w:val="en-US" w:eastAsia="en-US" w:bidi="ar-SA"/>
        </w:rPr>
        <w:t>%；日常公用经费支出</w:t>
      </w:r>
      <w:r>
        <w:rPr>
          <w:rFonts w:hint="eastAsia" w:ascii="仿宋" w:hAnsi="仿宋" w:eastAsia="仿宋" w:cs="仿宋"/>
          <w:snapToGrid w:val="0"/>
          <w:color w:val="000000"/>
          <w:kern w:val="0"/>
          <w:sz w:val="32"/>
          <w:szCs w:val="32"/>
          <w:lang w:val="en-US" w:eastAsia="zh-CN" w:bidi="ar-SA"/>
        </w:rPr>
        <w:t>264.72万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18.97</w:t>
      </w:r>
      <w:r>
        <w:rPr>
          <w:rFonts w:hint="eastAsia" w:ascii="仿宋" w:hAnsi="仿宋" w:eastAsia="仿宋" w:cs="仿宋"/>
          <w:snapToGrid w:val="0"/>
          <w:color w:val="000000"/>
          <w:kern w:val="0"/>
          <w:sz w:val="32"/>
          <w:szCs w:val="32"/>
          <w:lang w:val="en-US" w:eastAsia="en-US" w:bidi="ar-SA"/>
        </w:rPr>
        <w:t>%。</w:t>
      </w:r>
    </w:p>
    <w:p w14:paraId="7C11EFB6">
      <w:pPr>
        <w:pStyle w:val="6"/>
        <w:widowControl/>
        <w:spacing w:line="520" w:lineRule="exact"/>
        <w:ind w:left="640" w:firstLine="0" w:firstLineChars="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（二）项目支出情况</w:t>
      </w:r>
    </w:p>
    <w:p w14:paraId="3109494D">
      <w:pPr>
        <w:pStyle w:val="6"/>
        <w:widowControl/>
        <w:spacing w:line="520" w:lineRule="exact"/>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202</w:t>
      </w:r>
      <w:r>
        <w:rPr>
          <w:rFonts w:hint="eastAsia" w:ascii="仿宋" w:hAnsi="仿宋" w:eastAsia="仿宋" w:cs="仿宋"/>
          <w:snapToGrid w:val="0"/>
          <w:color w:val="000000"/>
          <w:kern w:val="0"/>
          <w:sz w:val="32"/>
          <w:szCs w:val="32"/>
          <w:lang w:val="en-US" w:eastAsia="zh-CN" w:bidi="ar-SA"/>
        </w:rPr>
        <w:t>3</w:t>
      </w:r>
      <w:r>
        <w:rPr>
          <w:rFonts w:hint="eastAsia" w:ascii="仿宋" w:hAnsi="仿宋" w:eastAsia="仿宋" w:cs="仿宋"/>
          <w:snapToGrid w:val="0"/>
          <w:color w:val="000000"/>
          <w:kern w:val="0"/>
          <w:sz w:val="32"/>
          <w:szCs w:val="32"/>
          <w:lang w:val="en-US" w:eastAsia="en-US" w:bidi="ar-SA"/>
        </w:rPr>
        <w:t>年度项目支出</w:t>
      </w:r>
      <w:r>
        <w:rPr>
          <w:rFonts w:hint="eastAsia" w:ascii="仿宋" w:hAnsi="仿宋" w:eastAsia="仿宋" w:cs="仿宋"/>
          <w:snapToGrid w:val="0"/>
          <w:color w:val="000000"/>
          <w:kern w:val="0"/>
          <w:sz w:val="32"/>
          <w:szCs w:val="32"/>
          <w:lang w:val="en-US" w:eastAsia="zh-CN" w:bidi="ar-SA"/>
        </w:rPr>
        <w:t>1144.56万</w:t>
      </w:r>
      <w:r>
        <w:rPr>
          <w:rFonts w:hint="eastAsia" w:ascii="仿宋" w:hAnsi="仿宋" w:eastAsia="仿宋" w:cs="仿宋"/>
          <w:snapToGrid w:val="0"/>
          <w:color w:val="000000"/>
          <w:kern w:val="0"/>
          <w:sz w:val="32"/>
          <w:szCs w:val="32"/>
          <w:lang w:val="en-US" w:eastAsia="en-US" w:bidi="ar-SA"/>
        </w:rPr>
        <w:t>元，其中</w:t>
      </w:r>
      <w:r>
        <w:rPr>
          <w:rFonts w:hint="eastAsia" w:ascii="仿宋" w:hAnsi="仿宋" w:eastAsia="仿宋" w:cs="仿宋"/>
          <w:snapToGrid w:val="0"/>
          <w:color w:val="000000"/>
          <w:kern w:val="0"/>
          <w:sz w:val="32"/>
          <w:szCs w:val="32"/>
          <w:lang w:val="en-US" w:eastAsia="zh-CN" w:bidi="ar-SA"/>
        </w:rPr>
        <w:t>科学技术支出966.31万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84.43</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城乡社区支出126.67万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11.07</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农林水支出51.58万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4.50</w:t>
      </w:r>
      <w:r>
        <w:rPr>
          <w:rFonts w:hint="eastAsia" w:ascii="仿宋" w:hAnsi="仿宋" w:eastAsia="仿宋" w:cs="仿宋"/>
          <w:snapToGrid w:val="0"/>
          <w:color w:val="000000"/>
          <w:kern w:val="0"/>
          <w:sz w:val="32"/>
          <w:szCs w:val="32"/>
          <w:lang w:val="en-US" w:eastAsia="en-US" w:bidi="ar-SA"/>
        </w:rPr>
        <w:t>%。</w:t>
      </w:r>
    </w:p>
    <w:p w14:paraId="751A51C8">
      <w:pPr>
        <w:pStyle w:val="6"/>
        <w:widowControl/>
        <w:spacing w:line="520" w:lineRule="exact"/>
        <w:jc w:val="left"/>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7359C586">
      <w:pPr>
        <w:pStyle w:val="6"/>
        <w:widowControl/>
        <w:spacing w:line="520" w:lineRule="exact"/>
        <w:jc w:val="left"/>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年度政府性基金预算支出</w:t>
      </w:r>
      <w:r>
        <w:rPr>
          <w:rFonts w:hint="eastAsia" w:ascii="仿宋" w:hAnsi="仿宋" w:eastAsia="仿宋" w:cs="仿宋"/>
          <w:sz w:val="32"/>
          <w:szCs w:val="32"/>
          <w:lang w:val="en-US" w:eastAsia="zh-CN"/>
        </w:rPr>
        <w:t>125.83万</w:t>
      </w:r>
      <w:r>
        <w:rPr>
          <w:rFonts w:hint="eastAsia" w:ascii="仿宋" w:hAnsi="仿宋" w:eastAsia="仿宋" w:cs="仿宋"/>
          <w:sz w:val="32"/>
          <w:szCs w:val="32"/>
        </w:rPr>
        <w:t>元，其中</w:t>
      </w:r>
      <w:r>
        <w:rPr>
          <w:rFonts w:hint="eastAsia" w:ascii="仿宋" w:hAnsi="仿宋" w:eastAsia="仿宋" w:cs="仿宋"/>
          <w:snapToGrid w:val="0"/>
          <w:color w:val="000000"/>
          <w:kern w:val="0"/>
          <w:sz w:val="32"/>
          <w:szCs w:val="32"/>
          <w:lang w:val="en-US" w:eastAsia="zh-CN" w:bidi="ar-SA"/>
        </w:rPr>
        <w:t>城乡社区支出123.83万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98.41</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其他支出2万</w:t>
      </w:r>
      <w:r>
        <w:rPr>
          <w:rFonts w:hint="eastAsia" w:ascii="仿宋" w:hAnsi="仿宋" w:eastAsia="仿宋" w:cs="仿宋"/>
          <w:snapToGrid w:val="0"/>
          <w:color w:val="000000"/>
          <w:kern w:val="0"/>
          <w:sz w:val="32"/>
          <w:szCs w:val="32"/>
          <w:lang w:val="en-US" w:eastAsia="en-US" w:bidi="ar-SA"/>
        </w:rPr>
        <w:t>元，占比</w:t>
      </w:r>
      <w:r>
        <w:rPr>
          <w:rFonts w:hint="eastAsia" w:ascii="仿宋" w:hAnsi="仿宋" w:eastAsia="仿宋" w:cs="仿宋"/>
          <w:snapToGrid w:val="0"/>
          <w:color w:val="000000"/>
          <w:kern w:val="0"/>
          <w:sz w:val="32"/>
          <w:szCs w:val="32"/>
          <w:lang w:val="en-US" w:eastAsia="zh-CN" w:bidi="ar-SA"/>
        </w:rPr>
        <w:t>1.59</w:t>
      </w: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w:t>
      </w:r>
    </w:p>
    <w:p w14:paraId="216101D4">
      <w:pPr>
        <w:pStyle w:val="6"/>
        <w:widowControl/>
        <w:numPr>
          <w:ilvl w:val="0"/>
          <w:numId w:val="3"/>
        </w:numPr>
        <w:spacing w:line="520" w:lineRule="exact"/>
        <w:ind w:left="640" w:firstLine="0" w:firstLineChars="0"/>
        <w:jc w:val="left"/>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国有资本经营预算支出情况</w:t>
      </w:r>
    </w:p>
    <w:p w14:paraId="3F201709">
      <w:pPr>
        <w:pStyle w:val="6"/>
        <w:widowControl/>
        <w:spacing w:line="520" w:lineRule="exact"/>
        <w:ind w:left="640" w:firstLine="0" w:firstLineChars="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无</w:t>
      </w:r>
    </w:p>
    <w:p w14:paraId="690EE68D">
      <w:pPr>
        <w:pStyle w:val="6"/>
        <w:widowControl/>
        <w:numPr>
          <w:ilvl w:val="0"/>
          <w:numId w:val="3"/>
        </w:numPr>
        <w:spacing w:line="520" w:lineRule="exact"/>
        <w:ind w:left="640" w:leftChars="0" w:firstLine="0" w:firstLineChars="0"/>
        <w:jc w:val="left"/>
        <w:rPr>
          <w:rFonts w:ascii="Times New Roman" w:hAnsi="Times New Roman" w:eastAsia="黑体"/>
          <w:sz w:val="32"/>
          <w:szCs w:val="32"/>
        </w:rPr>
      </w:pPr>
      <w:r>
        <w:rPr>
          <w:rFonts w:ascii="Times New Roman" w:hAnsi="Times New Roman" w:eastAsia="黑体"/>
          <w:sz w:val="32"/>
          <w:szCs w:val="32"/>
        </w:rPr>
        <w:t>社会保险基金预算支出情况</w:t>
      </w:r>
    </w:p>
    <w:p w14:paraId="41F19577">
      <w:pPr>
        <w:pStyle w:val="6"/>
        <w:widowControl/>
        <w:spacing w:line="520" w:lineRule="exact"/>
        <w:ind w:left="640" w:firstLine="0" w:firstLineChars="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无</w:t>
      </w:r>
    </w:p>
    <w:p w14:paraId="7074D3E2">
      <w:pPr>
        <w:widowControl/>
        <w:spacing w:line="520" w:lineRule="exact"/>
        <w:ind w:firstLine="645"/>
        <w:jc w:val="left"/>
        <w:rPr>
          <w:rFonts w:eastAsia="黑体"/>
          <w:sz w:val="32"/>
          <w:szCs w:val="32"/>
        </w:rPr>
      </w:pPr>
      <w:r>
        <w:rPr>
          <w:rFonts w:hint="eastAsia" w:eastAsia="黑体"/>
          <w:sz w:val="32"/>
          <w:szCs w:val="32"/>
          <w:lang w:val="en-US" w:eastAsia="zh-CN"/>
        </w:rPr>
        <w:t>六</w:t>
      </w:r>
      <w:r>
        <w:rPr>
          <w:rFonts w:eastAsia="黑体"/>
          <w:sz w:val="32"/>
          <w:szCs w:val="32"/>
        </w:rPr>
        <w:t>、部门整体支出绩效情况</w:t>
      </w:r>
    </w:p>
    <w:p w14:paraId="5FBBF75E">
      <w:pPr>
        <w:pStyle w:val="6"/>
        <w:widowControl/>
        <w:spacing w:line="520" w:lineRule="exact"/>
        <w:jc w:val="left"/>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202</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年度，我镇紧扣工作重点，锐意进取</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攻坚克难，较好的完成了全年工作目标和任务，突出抓好产业项目建设发展、乡村振兴、民生改善、基层党建等工作，完成整体绩效目标</w:t>
      </w:r>
      <w:r>
        <w:rPr>
          <w:rFonts w:hint="eastAsia" w:ascii="仿宋" w:hAnsi="仿宋" w:eastAsia="仿宋" w:cs="仿宋"/>
          <w:color w:val="000000"/>
          <w:sz w:val="32"/>
          <w:szCs w:val="32"/>
          <w:lang w:val="en-US" w:eastAsia="zh-CN"/>
        </w:rPr>
        <w:t>2539.68</w:t>
      </w:r>
      <w:r>
        <w:rPr>
          <w:rFonts w:hint="eastAsia" w:ascii="仿宋" w:hAnsi="仿宋" w:eastAsia="仿宋" w:cs="仿宋"/>
          <w:color w:val="000000"/>
          <w:sz w:val="32"/>
          <w:szCs w:val="32"/>
        </w:rPr>
        <w:t>万元，各项工作都达到预期目标，成本控制率在合理范围之中。希望下年度继续努力向经济稳键运行、发展稳中求进的工作目标迈进</w:t>
      </w:r>
      <w:r>
        <w:rPr>
          <w:rFonts w:hint="eastAsia" w:ascii="仿宋" w:hAnsi="仿宋" w:eastAsia="仿宋" w:cs="仿宋"/>
          <w:color w:val="000000"/>
          <w:sz w:val="32"/>
          <w:szCs w:val="32"/>
          <w:lang w:eastAsia="zh-CN"/>
        </w:rPr>
        <w:t>。</w:t>
      </w:r>
    </w:p>
    <w:p w14:paraId="40A07C61">
      <w:pPr>
        <w:pStyle w:val="6"/>
        <w:widowControl/>
        <w:spacing w:line="52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lang w:val="en-US" w:eastAsia="zh-CN"/>
        </w:rPr>
        <w:t>七</w:t>
      </w:r>
      <w:r>
        <w:rPr>
          <w:rFonts w:hint="eastAsia" w:ascii="Times New Roman" w:hAnsi="Times New Roman" w:eastAsia="黑体"/>
          <w:sz w:val="32"/>
          <w:szCs w:val="32"/>
        </w:rPr>
        <w:t>、</w:t>
      </w:r>
      <w:r>
        <w:rPr>
          <w:rFonts w:ascii="Times New Roman" w:hAnsi="Times New Roman" w:eastAsia="黑体"/>
          <w:sz w:val="32"/>
          <w:szCs w:val="32"/>
        </w:rPr>
        <w:t>存在的问题及原因分析</w:t>
      </w:r>
    </w:p>
    <w:p w14:paraId="65776713">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（一）内部</w:t>
      </w:r>
      <w:r>
        <w:rPr>
          <w:rFonts w:hint="eastAsia" w:ascii="仿宋" w:hAnsi="仿宋" w:eastAsia="仿宋" w:cs="仿宋"/>
          <w:snapToGrid w:val="0"/>
          <w:color w:val="000000"/>
          <w:kern w:val="0"/>
          <w:sz w:val="32"/>
          <w:szCs w:val="32"/>
          <w:lang w:val="en-US" w:eastAsia="zh-CN" w:bidi="ar-SA"/>
        </w:rPr>
        <w:t>管理机制</w:t>
      </w:r>
      <w:r>
        <w:rPr>
          <w:rFonts w:hint="eastAsia" w:ascii="仿宋" w:hAnsi="仿宋" w:eastAsia="仿宋" w:cs="仿宋"/>
          <w:snapToGrid w:val="0"/>
          <w:color w:val="000000"/>
          <w:kern w:val="0"/>
          <w:sz w:val="32"/>
          <w:szCs w:val="32"/>
          <w:lang w:val="en-US" w:eastAsia="en-US" w:bidi="ar-SA"/>
        </w:rPr>
        <w:t>有待完善和进一步更新；</w:t>
      </w:r>
    </w:p>
    <w:p w14:paraId="4968CEB1">
      <w:pPr>
        <w:widowControl/>
        <w:spacing w:line="520" w:lineRule="exact"/>
        <w:ind w:firstLine="640" w:firstLineChars="20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（二）对绩效管理的重视程度有待提高；</w:t>
      </w:r>
    </w:p>
    <w:p w14:paraId="70244CD3">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三</w:t>
      </w:r>
      <w:r>
        <w:rPr>
          <w:rFonts w:hint="eastAsia" w:ascii="仿宋" w:hAnsi="仿宋" w:eastAsia="仿宋" w:cs="仿宋"/>
          <w:snapToGrid w:val="0"/>
          <w:color w:val="000000"/>
          <w:kern w:val="0"/>
          <w:sz w:val="32"/>
          <w:szCs w:val="32"/>
          <w:lang w:val="en-US" w:eastAsia="en-US" w:bidi="ar-SA"/>
        </w:rPr>
        <w:t>）用于各村乡村振兴资金以及基础设施建设资金的报账审核需按照要求严格把关，开展项目进度跟踪和绩效评价，确保绩效目标的完成；</w:t>
      </w:r>
    </w:p>
    <w:p w14:paraId="5F227A28">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四</w:t>
      </w:r>
      <w:r>
        <w:rPr>
          <w:rFonts w:hint="eastAsia" w:ascii="仿宋" w:hAnsi="仿宋" w:eastAsia="仿宋" w:cs="仿宋"/>
          <w:snapToGrid w:val="0"/>
          <w:color w:val="000000"/>
          <w:kern w:val="0"/>
          <w:sz w:val="32"/>
          <w:szCs w:val="32"/>
          <w:lang w:val="en-US" w:eastAsia="en-US" w:bidi="ar-SA"/>
        </w:rPr>
        <w:t>）镇、村两级收支矛盾仍然突出，预算缺口较大。</w:t>
      </w:r>
    </w:p>
    <w:p w14:paraId="455796B8">
      <w:pPr>
        <w:widowControl/>
        <w:spacing w:line="520" w:lineRule="exact"/>
        <w:ind w:firstLine="640" w:firstLineChars="200"/>
        <w:jc w:val="left"/>
        <w:rPr>
          <w:rFonts w:eastAsia="黑体"/>
          <w:sz w:val="32"/>
          <w:szCs w:val="32"/>
        </w:rPr>
      </w:pPr>
      <w:r>
        <w:rPr>
          <w:rFonts w:hint="eastAsia" w:eastAsia="黑体"/>
          <w:sz w:val="32"/>
          <w:szCs w:val="32"/>
          <w:lang w:val="en-US" w:eastAsia="zh-CN"/>
        </w:rPr>
        <w:t>八</w:t>
      </w:r>
      <w:r>
        <w:rPr>
          <w:rFonts w:eastAsia="黑体"/>
          <w:sz w:val="32"/>
          <w:szCs w:val="32"/>
        </w:rPr>
        <w:t>、下一步改进措施</w:t>
      </w:r>
    </w:p>
    <w:p w14:paraId="5F2263C0">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eastAsia="黑体"/>
          <w:sz w:val="32"/>
          <w:szCs w:val="32"/>
        </w:rPr>
        <w:t>（</w:t>
      </w:r>
      <w:r>
        <w:rPr>
          <w:rFonts w:hint="eastAsia" w:ascii="仿宋" w:hAnsi="仿宋" w:eastAsia="仿宋" w:cs="仿宋"/>
          <w:snapToGrid w:val="0"/>
          <w:color w:val="000000"/>
          <w:kern w:val="0"/>
          <w:sz w:val="32"/>
          <w:szCs w:val="32"/>
          <w:lang w:val="en-US" w:eastAsia="en-US" w:bidi="ar-SA"/>
        </w:rPr>
        <w:t>一）合理安排收支预算，严格预算管理，坚持按照“以收定支、量入为出、保证重点、兼顾一般”的原则，增强预算约束意识，提高科学化、精细化预算管理水平；</w:t>
      </w:r>
    </w:p>
    <w:p w14:paraId="3E680D63">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（二）进一步完善和更新内部控制制度；</w:t>
      </w:r>
    </w:p>
    <w:p w14:paraId="4CE187DA">
      <w:pPr>
        <w:widowControl/>
        <w:spacing w:line="520" w:lineRule="exact"/>
        <w:ind w:firstLine="640" w:firstLineChars="200"/>
        <w:jc w:val="left"/>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（三）进一步规范绩效目标编制，在编制绩效目标时，要求指向明确，细化量化、合理可行、相应匹配；</w:t>
      </w:r>
    </w:p>
    <w:p w14:paraId="78E4E3AE">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四</w:t>
      </w:r>
      <w:r>
        <w:rPr>
          <w:rFonts w:hint="eastAsia" w:ascii="仿宋" w:hAnsi="仿宋" w:eastAsia="仿宋" w:cs="仿宋"/>
          <w:snapToGrid w:val="0"/>
          <w:color w:val="000000"/>
          <w:kern w:val="0"/>
          <w:sz w:val="32"/>
          <w:szCs w:val="32"/>
          <w:lang w:val="en-US" w:eastAsia="en-US" w:bidi="ar-SA"/>
        </w:rPr>
        <w:t>）加强项目开展进度跟踪，开展项目绩效评价；</w:t>
      </w:r>
    </w:p>
    <w:p w14:paraId="363106ED">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五</w:t>
      </w:r>
      <w:r>
        <w:rPr>
          <w:rFonts w:hint="eastAsia" w:ascii="仿宋" w:hAnsi="仿宋" w:eastAsia="仿宋" w:cs="仿宋"/>
          <w:snapToGrid w:val="0"/>
          <w:color w:val="000000"/>
          <w:kern w:val="0"/>
          <w:sz w:val="32"/>
          <w:szCs w:val="32"/>
          <w:lang w:val="en-US" w:eastAsia="en-US" w:bidi="ar-SA"/>
        </w:rPr>
        <w:t>）除了对人员经费全额安排，还应对</w:t>
      </w:r>
      <w:r>
        <w:rPr>
          <w:rFonts w:hint="eastAsia" w:ascii="仿宋" w:hAnsi="仿宋" w:eastAsia="仿宋" w:cs="仿宋"/>
          <w:snapToGrid w:val="0"/>
          <w:color w:val="000000"/>
          <w:kern w:val="0"/>
          <w:sz w:val="32"/>
          <w:szCs w:val="32"/>
          <w:lang w:val="en-US" w:eastAsia="zh-CN" w:bidi="ar-SA"/>
        </w:rPr>
        <w:t>镇</w:t>
      </w:r>
      <w:r>
        <w:rPr>
          <w:rFonts w:hint="eastAsia" w:ascii="仿宋" w:hAnsi="仿宋" w:eastAsia="仿宋" w:cs="仿宋"/>
          <w:snapToGrid w:val="0"/>
          <w:color w:val="000000"/>
          <w:kern w:val="0"/>
          <w:sz w:val="32"/>
          <w:szCs w:val="32"/>
          <w:lang w:val="en-US" w:eastAsia="en-US" w:bidi="ar-SA"/>
        </w:rPr>
        <w:t>办公费、会议费、招待费、公务用车费给予安排并保障其基本运转，特别是一些工作专项经费，缺口较大；</w:t>
      </w:r>
    </w:p>
    <w:p w14:paraId="52885F08">
      <w:pPr>
        <w:widowControl/>
        <w:spacing w:line="520" w:lineRule="exact"/>
        <w:ind w:firstLine="640" w:firstLineChars="200"/>
        <w:jc w:val="left"/>
        <w:rPr>
          <w:rFonts w:hint="eastAsia" w:ascii="仿宋" w:hAnsi="仿宋" w:eastAsia="仿宋" w:cs="仿宋"/>
          <w:snapToGrid w:val="0"/>
          <w:color w:val="000000"/>
          <w:kern w:val="0"/>
          <w:sz w:val="32"/>
          <w:szCs w:val="32"/>
          <w:lang w:val="en-US" w:eastAsia="en-US" w:bidi="ar-SA"/>
        </w:rPr>
      </w:pPr>
      <w:r>
        <w:rPr>
          <w:rFonts w:hint="eastAsia" w:ascii="仿宋" w:hAnsi="仿宋" w:eastAsia="仿宋" w:cs="仿宋"/>
          <w:snapToGrid w:val="0"/>
          <w:color w:val="000000"/>
          <w:kern w:val="0"/>
          <w:sz w:val="32"/>
          <w:szCs w:val="32"/>
          <w:lang w:val="en-US" w:eastAsia="en-US" w:bidi="ar-SA"/>
        </w:rPr>
        <w:t>（</w:t>
      </w:r>
      <w:r>
        <w:rPr>
          <w:rFonts w:hint="eastAsia" w:ascii="仿宋" w:hAnsi="仿宋" w:eastAsia="仿宋" w:cs="仿宋"/>
          <w:snapToGrid w:val="0"/>
          <w:color w:val="000000"/>
          <w:kern w:val="0"/>
          <w:sz w:val="32"/>
          <w:szCs w:val="32"/>
          <w:lang w:val="en-US" w:eastAsia="zh-CN" w:bidi="ar-SA"/>
        </w:rPr>
        <w:t>六</w:t>
      </w:r>
      <w:r>
        <w:rPr>
          <w:rFonts w:hint="eastAsia" w:ascii="仿宋" w:hAnsi="仿宋" w:eastAsia="仿宋" w:cs="仿宋"/>
          <w:snapToGrid w:val="0"/>
          <w:color w:val="000000"/>
          <w:kern w:val="0"/>
          <w:sz w:val="32"/>
          <w:szCs w:val="32"/>
          <w:lang w:val="en-US" w:eastAsia="en-US" w:bidi="ar-SA"/>
        </w:rPr>
        <w:t>）对于村级支出，应保证每村运转经费到位，充分调动村级组织工作积极性，强化服务意识，严格落实惠农政策。</w:t>
      </w:r>
    </w:p>
    <w:p w14:paraId="47BCC704">
      <w:pPr>
        <w:widowControl/>
        <w:spacing w:line="520" w:lineRule="exact"/>
        <w:ind w:firstLine="645"/>
        <w:jc w:val="left"/>
        <w:rPr>
          <w:rFonts w:eastAsia="黑体"/>
          <w:sz w:val="32"/>
          <w:szCs w:val="32"/>
        </w:rPr>
      </w:pPr>
      <w:r>
        <w:rPr>
          <w:rFonts w:hint="eastAsia" w:eastAsia="黑体"/>
          <w:sz w:val="32"/>
          <w:szCs w:val="32"/>
          <w:lang w:val="en-US" w:eastAsia="zh-CN"/>
        </w:rPr>
        <w:t>九</w:t>
      </w:r>
      <w:r>
        <w:rPr>
          <w:rFonts w:eastAsia="黑体"/>
          <w:sz w:val="32"/>
          <w:szCs w:val="32"/>
        </w:rPr>
        <w:t>、</w:t>
      </w:r>
      <w:r>
        <w:rPr>
          <w:rFonts w:hint="eastAsia" w:eastAsia="黑体"/>
          <w:sz w:val="32"/>
          <w:szCs w:val="32"/>
          <w:lang w:val="en-US" w:eastAsia="zh-CN"/>
        </w:rPr>
        <w:t>绩效自评结果及</w:t>
      </w:r>
      <w:r>
        <w:rPr>
          <w:rFonts w:eastAsia="黑体"/>
          <w:sz w:val="32"/>
          <w:szCs w:val="32"/>
        </w:rPr>
        <w:t>其他需要说明的情况</w:t>
      </w:r>
    </w:p>
    <w:p w14:paraId="0B7E9A41">
      <w:pPr>
        <w:widowControl/>
        <w:spacing w:line="520" w:lineRule="exact"/>
        <w:ind w:firstLine="645"/>
        <w:jc w:val="left"/>
        <w:rPr>
          <w:rFonts w:hint="eastAsia" w:eastAsia="黑体"/>
          <w:sz w:val="32"/>
          <w:szCs w:val="32"/>
          <w:lang w:eastAsia="zh-CN"/>
        </w:rPr>
      </w:pPr>
      <w:r>
        <w:rPr>
          <w:rFonts w:hint="eastAsia" w:ascii="仿宋" w:hAnsi="仿宋" w:eastAsia="仿宋" w:cs="仿宋"/>
          <w:sz w:val="32"/>
          <w:szCs w:val="32"/>
          <w:lang w:eastAsia="zh-CN"/>
        </w:rPr>
        <w:t>无</w:t>
      </w:r>
    </w:p>
    <w:p w14:paraId="48C275C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B514">
    <w:pPr>
      <w:spacing w:line="176" w:lineRule="auto"/>
      <w:ind w:left="4039"/>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8E7EC"/>
    <w:multiLevelType w:val="singleLevel"/>
    <w:tmpl w:val="A418E7EC"/>
    <w:lvl w:ilvl="0" w:tentative="0">
      <w:start w:val="1"/>
      <w:numFmt w:val="chineseCounting"/>
      <w:suff w:val="nothing"/>
      <w:lvlText w:val="（%1）"/>
      <w:lvlJc w:val="left"/>
      <w:pPr>
        <w:ind w:left="-10"/>
      </w:pPr>
      <w:rPr>
        <w:rFonts w:hint="eastAsia"/>
      </w:rPr>
    </w:lvl>
  </w:abstractNum>
  <w:abstractNum w:abstractNumId="1">
    <w:nsid w:val="FA2D17B7"/>
    <w:multiLevelType w:val="singleLevel"/>
    <w:tmpl w:val="FA2D17B7"/>
    <w:lvl w:ilvl="0" w:tentative="0">
      <w:start w:val="4"/>
      <w:numFmt w:val="chineseCounting"/>
      <w:suff w:val="nothing"/>
      <w:lvlText w:val="%1、"/>
      <w:lvlJc w:val="left"/>
      <w:rPr>
        <w:rFonts w:hint="eastAsia"/>
      </w:rPr>
    </w:lvl>
  </w:abstractNum>
  <w:abstractNum w:abstractNumId="2">
    <w:nsid w:val="FDC310B5"/>
    <w:multiLevelType w:val="singleLevel"/>
    <w:tmpl w:val="FDC310B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ZjU1MmEyNDM0YTIzZTkxY2RiNjY4NzdmODM0ZjkifQ=="/>
  </w:docVars>
  <w:rsids>
    <w:rsidRoot w:val="00000000"/>
    <w:rsid w:val="018F1DF3"/>
    <w:rsid w:val="04CA2292"/>
    <w:rsid w:val="07750484"/>
    <w:rsid w:val="09727371"/>
    <w:rsid w:val="0B4C7DFC"/>
    <w:rsid w:val="0FB73D2F"/>
    <w:rsid w:val="15BF56EC"/>
    <w:rsid w:val="17793CEF"/>
    <w:rsid w:val="1A9B129F"/>
    <w:rsid w:val="1CDD5B4D"/>
    <w:rsid w:val="1EF84E65"/>
    <w:rsid w:val="1F380351"/>
    <w:rsid w:val="1FDB75C6"/>
    <w:rsid w:val="24211F50"/>
    <w:rsid w:val="2FD3438D"/>
    <w:rsid w:val="32DF6F75"/>
    <w:rsid w:val="338E62A6"/>
    <w:rsid w:val="35CB6416"/>
    <w:rsid w:val="36A23151"/>
    <w:rsid w:val="385411AF"/>
    <w:rsid w:val="3AEA4793"/>
    <w:rsid w:val="3B5F50F7"/>
    <w:rsid w:val="3E2148E6"/>
    <w:rsid w:val="412C782A"/>
    <w:rsid w:val="41564658"/>
    <w:rsid w:val="41B92F1D"/>
    <w:rsid w:val="42C03164"/>
    <w:rsid w:val="43157FE9"/>
    <w:rsid w:val="4B4334AB"/>
    <w:rsid w:val="4E231FB4"/>
    <w:rsid w:val="4FD317B8"/>
    <w:rsid w:val="50722D7F"/>
    <w:rsid w:val="51022355"/>
    <w:rsid w:val="5403276E"/>
    <w:rsid w:val="54C57A37"/>
    <w:rsid w:val="54D51B2F"/>
    <w:rsid w:val="58ED5699"/>
    <w:rsid w:val="59444A7D"/>
    <w:rsid w:val="5D1419F6"/>
    <w:rsid w:val="6292105F"/>
    <w:rsid w:val="658237FC"/>
    <w:rsid w:val="68243D79"/>
    <w:rsid w:val="6B6704AB"/>
    <w:rsid w:val="6D192AA9"/>
    <w:rsid w:val="6F0D1F93"/>
    <w:rsid w:val="6F563A4D"/>
    <w:rsid w:val="7A7D1DEE"/>
    <w:rsid w:val="7CA13F21"/>
    <w:rsid w:val="7DA5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1821</Words>
  <Characters>1967</Characters>
  <Lines>0</Lines>
  <Paragraphs>0</Paragraphs>
  <TotalTime>0</TotalTime>
  <ScaleCrop>false</ScaleCrop>
  <LinksUpToDate>false</LinksUpToDate>
  <CharactersWithSpaces>1972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2024-08-12T02:40:00Z</dcterms:created>
  <dc:creator>mini4use</dc:creator>
  <cp:lastModifiedBy>Sharon</cp:lastModifiedBy>
  <cp:lastPrinted>2024-09-03T07:46:00Z</cp:lastPrinted>
  <dcterms:modified xsi:type="dcterms:W3CDTF">2024-10-22T02:44:42Z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DEC29D6FF1984251977FAFE43F2C91AB_12</vt:lpwstr>
  </property>
</Properties>
</file>